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1A5AE6" w:rsidRDefault="002A2C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Обґрунтування</w:t>
      </w:r>
    </w:p>
    <w:p w14:paraId="00000005" w14:textId="1B75F19A" w:rsidR="001A5AE6" w:rsidRDefault="002A2C55" w:rsidP="00E15FBB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E15FB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до </w:t>
      </w:r>
      <w:r w:rsidR="00E15FBB" w:rsidRPr="00E15FBB">
        <w:rPr>
          <w:rFonts w:ascii="Times New Roman" w:hAnsi="Times New Roman" w:cs="Times New Roman"/>
          <w:b/>
          <w:sz w:val="28"/>
          <w:szCs w:val="28"/>
        </w:rPr>
        <w:t xml:space="preserve">питання про схвалення проєкту рішення, що має ознаки регуляторного </w:t>
      </w:r>
      <w:proofErr w:type="spellStart"/>
      <w:r w:rsidR="00E15FBB" w:rsidRPr="00E15FBB">
        <w:rPr>
          <w:rFonts w:ascii="Times New Roman" w:hAnsi="Times New Roman" w:cs="Times New Roman"/>
          <w:b/>
          <w:sz w:val="28"/>
          <w:szCs w:val="28"/>
        </w:rPr>
        <w:t>акта</w:t>
      </w:r>
      <w:proofErr w:type="spellEnd"/>
      <w:r w:rsidR="00E15FBB" w:rsidRPr="00E15FBB">
        <w:rPr>
          <w:rFonts w:ascii="Times New Roman" w:hAnsi="Times New Roman" w:cs="Times New Roman"/>
          <w:b/>
          <w:sz w:val="28"/>
          <w:szCs w:val="28"/>
        </w:rPr>
        <w:t>, - постанови НКРЕКП «Про затвердження Змін до деяких постанов НКРЕКП»</w:t>
      </w:r>
      <w:r w:rsidR="00E15FBB">
        <w:rPr>
          <w:rFonts w:ascii="Times New Roman" w:hAnsi="Times New Roman" w:cs="Times New Roman"/>
          <w:sz w:val="28"/>
          <w:szCs w:val="28"/>
        </w:rPr>
        <w:t xml:space="preserve"> </w:t>
      </w:r>
      <w:r w:rsidR="00E15FBB" w:rsidRPr="00B1732C">
        <w:rPr>
          <w:rFonts w:ascii="Times New Roman" w:hAnsi="Times New Roman" w:cs="Times New Roman"/>
          <w:i/>
          <w:sz w:val="28"/>
          <w:szCs w:val="28"/>
        </w:rPr>
        <w:t>(</w:t>
      </w:r>
      <w:r w:rsidR="00E15FBB">
        <w:rPr>
          <w:rFonts w:ascii="Times New Roman" w:eastAsia="Times New Roman" w:hAnsi="Times New Roman" w:cs="Times New Roman"/>
          <w:i/>
          <w:iCs/>
          <w:sz w:val="28"/>
          <w:szCs w:val="28"/>
        </w:rPr>
        <w:t>зміни до Кодексу газосховищ та Типового договору зберігання (закачування, відбору) природного газу</w:t>
      </w:r>
      <w:r w:rsidR="00E15FB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</w:t>
      </w:r>
    </w:p>
    <w:p w14:paraId="16C261F3" w14:textId="3A345D90" w:rsidR="00E15FBB" w:rsidRDefault="00E15FBB" w:rsidP="00E15FBB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5F63AF0" w14:textId="77777777" w:rsidR="00E15FBB" w:rsidRDefault="00E15FBB" w:rsidP="00E15FBB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06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Правові, технічні, організаційні і економічні засади функціонування газосховищ природного газу, умови доступу до газосховищ та порядок надання послуг із зберігання (закачування, відбору) природного газу визначені Кодексом газосховищ, затвердженим постановою НКРЕКП від 30.09.2015 № 2495, та Типовим договором зберігання (закачування, відбору) природного газу, затвердженим постановою НКРЕКП від 30.09.2015 № 2499 (далі – Типовий договір зберігання).</w:t>
      </w:r>
    </w:p>
    <w:p w14:paraId="00000007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Так, відповідно до положень пункту 6 глави 2 розділу VII Кодексу газосховищ, розподіл переривчастої потужності відбору на базовий сезон закачування та переривчастої потужності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закачування на базовий сезон відбору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здійснюється виключно на розмір потужності закачування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/відбору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який було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розподілено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як гарантована та умовно-гарантована потужність на відповідний базовий сезон.</w:t>
      </w:r>
    </w:p>
    <w:p w14:paraId="00000008" w14:textId="111C265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0" w:name="_heading=h.gmnu30va7500" w:colFirst="0" w:colLast="0"/>
      <w:bookmarkEnd w:id="0"/>
      <w:r>
        <w:rPr>
          <w:rFonts w:ascii="Times New Roman" w:eastAsia="Times New Roman" w:hAnsi="Times New Roman" w:cs="Times New Roman"/>
          <w:sz w:val="28"/>
          <w:szCs w:val="28"/>
        </w:rPr>
        <w:t>Аналогічні умови щодо  розподілу переривчастої потужності 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акачування на місяць, що входить до базового сезону відбору, та переривчастої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потужності відбору на місяць, що входить до базового сезону закачування, </w:t>
      </w:r>
      <w:r>
        <w:rPr>
          <w:rFonts w:ascii="Times New Roman" w:eastAsia="Times New Roman" w:hAnsi="Times New Roman" w:cs="Times New Roman"/>
          <w:sz w:val="28"/>
          <w:szCs w:val="28"/>
        </w:rPr>
        <w:t>передбачені у пункті 5 глави 4 та 5 розділу VII Кодексу газосховищ.</w:t>
      </w:r>
    </w:p>
    <w:p w14:paraId="00000009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 цьому, за результатами аналізу результативності застосування вищезазначених положень Кодексу газосховищ було виявлено необхідність їх удосконалення шляхом внесення відповідних змін, у частині розширення можливості отримання замовниками послуг зберігання (закачування, відбору) природного газу доступу до потужності газосховищ на переривчастій основі незалежно від розміру потужності закачування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/відбору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який було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розподілено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як гарантована та умовно-гарантована потужність.</w:t>
      </w:r>
    </w:p>
    <w:p w14:paraId="0000000A" w14:textId="77777777" w:rsidR="001A5AE6" w:rsidRDefault="002A2C5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Разом з тим, положеннями статті 9 Закону України «Про бухгалтерський облік та фінансову звітність в Україні» (із змінами внесеними Законом України № 4791-IX) передбачено надання суб’єктам господарювання права визначати при укладенні договору спрощений порядок оформлення первинних документів з надання послуг, зокрема під час оформлення акту наданих послуг такі реквізити як особистий підпис особи, відповідальної за здійснення господарської операції зі сторони замовника послуги, не є обов’язковим за умови, що такий порядок оформлення первинних документів передбачено договором і вартість наданих послуг була оплачена замовником у повному обсязі у безготівковій формі.</w:t>
      </w:r>
    </w:p>
    <w:p w14:paraId="0000000B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 цьому, </w:t>
      </w:r>
      <w:r>
        <w:rPr>
          <w:rFonts w:ascii="Times New Roman" w:eastAsia="Times New Roman" w:hAnsi="Times New Roman" w:cs="Times New Roman"/>
          <w:sz w:val="28"/>
          <w:szCs w:val="28"/>
        </w:rPr>
        <w:t>пунктом 6.10 розділу VІ Типового договору зберігання передбачено, що послуги, що надаються за цим Договором у звітному місяці, оформлюються двосторонніми актами наданих послуг між Оператором і Замовником до 12 числа місяця, наступного за звітним.</w:t>
      </w:r>
    </w:p>
    <w:p w14:paraId="0000000C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Таким чином, з метою спрощення документообігу між Оператором газосховищ та замовником послуг зберігання (закачування, відбору) природного газу необхідним є внесення змін, у частині встановлення, що послуги, що надаються в рамках Типового договору зберігання оформлюються актами наданих послуг, складеними Оператором газосховищ в односторонньому порядку.</w:t>
      </w:r>
    </w:p>
    <w:p w14:paraId="0000000D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Слід також зазначити, що положеннями глави 8 розділу ІІІ Кодексу газосховищ визначено, що до закінчення строку надання послуг зберігання (закачування, відбору) природного газу згідно з договором зберігання, якщо на рахунку замовника обліковується залишок природного газу, замовник  зобов’язується: </w:t>
      </w:r>
    </w:p>
    <w:p w14:paraId="0000000E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замовити послугу зберігання (закачування, відбору) на наступний період, яка враховує зберігання залишків на кінець строку надання послуг (зберігання, закачування) природного газу;</w:t>
      </w:r>
    </w:p>
    <w:p w14:paraId="0000000F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або передати зазначений обсяг природного газу третій особі (особам) у порядку, встановленому цим Кодексом;</w:t>
      </w:r>
    </w:p>
    <w:p w14:paraId="00000010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або відібрати весь обсяг природного газу, що зберігається в газосховищах на його рахунку зберігання.</w:t>
      </w:r>
    </w:p>
    <w:p w14:paraId="00000011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Разом з тим, на практиці існують випадки коли після закінчення строку дії договору зберігання замовники послуг зберігання не виконують зазначені вище зобов’язання та залишають певний обсяг природного газу, який є їх власністю, у підземних сховищах. Як наслідок, у зазначеному випадку Оператор газосховищ продовжує надавати послугу зберігання залишку природного газу замовника послуг зберігання та нести відповідні витрати, проте у зв’язку із закінченням дії договору Оператор газосховищ не має правових підстав для виставлення плати за надані послуги зберігання.</w:t>
      </w:r>
    </w:p>
    <w:p w14:paraId="00000012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 зв’язку із зазначеним, керуючись положеннями статті 17 Закону України «Про Національну комісію, що здійснює державне регулювання у сферах енергетики та комунальних послуг» (далі – Закон про НКРЕКП) Департаментом розвитку газового ринку було розроблено проєкт постанови НКРЕКП «Про затвердження Змін до деяких постанов НКРЕКП» (далі – Проєкт постанови), положеннями якого передбачається внесення змін до положень Кодексу газосховищ та Типового договору зберігання в частині:</w:t>
      </w:r>
    </w:p>
    <w:p w14:paraId="00000013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підвищення гнучкості використання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потужностей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газосховищ шляхом розширення можливості отримання замовниками послуг зберігання доступу до потужності газосховищ на переривчастій основі, а також наділення замовників послуг зберігання правом на передачу права користування потужністю, яка була йому розподілена на базовий сезон відбору, базовий сезон закачування та на місяць, іншому замовнику;</w:t>
      </w:r>
    </w:p>
    <w:p w14:paraId="00000014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вдосконалення порядку обліку залишків природного газу в газосховищах та подальшого оформлення договірних відносин шляхом продовження строку дії договору зберігання у випадку, якщо на дату закінчення строку дії договору зберігання у замовника послуг обліковується залишок природного газу;</w:t>
      </w:r>
    </w:p>
    <w:p w14:paraId="00000015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визначення вимоги щодо одностороннього оформлення Оператором газосховищ актів наданих послуг на підставі договору зберігання (закачування, відбору) природного газу.</w:t>
      </w:r>
    </w:p>
    <w:p w14:paraId="00000016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Цей Проєкт постанови має ознаки регуляторного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17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Враховуючи вищевикладене, Департамент розвитку газового ринку пропонує:</w:t>
      </w:r>
    </w:p>
    <w:p w14:paraId="00000018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 Схвалити проєкт постанови НКРЕКП «Про затвердження Змін до деяких постанов НКРЕКП»;</w:t>
      </w:r>
    </w:p>
    <w:p w14:paraId="00000019" w14:textId="77777777" w:rsidR="001A5AE6" w:rsidRDefault="002A2C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 На виконання положень статті 15 Закону України «Про Національну комісію, що здійснює державне регулювання у сферах енергетики та комунальних послуг» оприлюднити проєкт постанови НКРЕКП «Про затвердження Змін до деяких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постанов НКРЕКП» на офіційному вебсайті НКРЕКП www.nerc.gov.ua з метою одержання зауважень і пропозицій від інших органів державної влади, фізичних та юридичних осіб, їх об’єднань та інших заінтересованих осіб.</w:t>
      </w:r>
    </w:p>
    <w:p w14:paraId="0000001A" w14:textId="77777777" w:rsidR="001A5AE6" w:rsidRDefault="001A5AE6">
      <w:pPr>
        <w:spacing w:after="0" w:line="21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1B" w14:textId="77777777" w:rsidR="001A5AE6" w:rsidRDefault="001A5AE6">
      <w:pPr>
        <w:spacing w:after="0" w:line="21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1C" w14:textId="77777777" w:rsidR="001A5AE6" w:rsidRDefault="002A2C55">
      <w:pPr>
        <w:spacing w:after="0" w:line="21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Заступник директора Департаменту-</w:t>
      </w:r>
    </w:p>
    <w:p w14:paraId="0000001D" w14:textId="77777777" w:rsidR="001A5AE6" w:rsidRDefault="002A2C55">
      <w:pPr>
        <w:spacing w:after="0" w:line="21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начальник відділу методологічного</w:t>
      </w:r>
    </w:p>
    <w:p w14:paraId="0000001E" w14:textId="77777777" w:rsidR="001A5AE6" w:rsidRDefault="002A2C55">
      <w:pPr>
        <w:spacing w:after="0" w:line="21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забезпечення функціонування</w:t>
      </w:r>
    </w:p>
    <w:p w14:paraId="0000001F" w14:textId="77777777" w:rsidR="001A5AE6" w:rsidRDefault="002A2C55">
      <w:pPr>
        <w:spacing w:after="0" w:line="21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ринку природного газу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ab/>
        <w:t xml:space="preserve">                Олексій ЯЦЕВЮК</w:t>
      </w:r>
    </w:p>
    <w:sectPr w:rsidR="001A5AE6" w:rsidSect="00D42D74">
      <w:headerReference w:type="default" r:id="rId7"/>
      <w:pgSz w:w="11906" w:h="16838"/>
      <w:pgMar w:top="567" w:right="567" w:bottom="709" w:left="1134" w:header="709" w:footer="709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F4B489" w14:textId="77777777" w:rsidR="00563E17" w:rsidRDefault="00563E17">
      <w:pPr>
        <w:spacing w:after="0" w:line="240" w:lineRule="auto"/>
      </w:pPr>
      <w:r>
        <w:separator/>
      </w:r>
    </w:p>
  </w:endnote>
  <w:endnote w:type="continuationSeparator" w:id="0">
    <w:p w14:paraId="4EFA7FFB" w14:textId="77777777" w:rsidR="00563E17" w:rsidRDefault="00563E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1B687BC0-7817-48E8-ABEE-9AAE9D64CCD4}"/>
    <w:embedBold r:id="rId2" w:fontKey="{614785B9-49B5-46B2-8770-F2530A216B44}"/>
    <w:embedItalic r:id="rId3" w:fontKey="{C43816D5-12E3-49A0-B78E-7B5D3587A285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CF631A64-D900-472F-BAF8-BE9E8E35B39A}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  <w:embedRegular r:id="rId5" w:fontKey="{769AB7D2-29CD-4B3B-ADC5-84E629C452C2}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6" w:fontKey="{A2DCBD6B-9FF7-4ED4-84E1-DD877B0C2F9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01BD8312-D8B8-467A-84F7-C52F86A7096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5911EC" w14:textId="77777777" w:rsidR="00563E17" w:rsidRDefault="00563E17">
      <w:pPr>
        <w:spacing w:after="0" w:line="240" w:lineRule="auto"/>
      </w:pPr>
      <w:r>
        <w:separator/>
      </w:r>
    </w:p>
  </w:footnote>
  <w:footnote w:type="continuationSeparator" w:id="0">
    <w:p w14:paraId="2A4F8F7A" w14:textId="77777777" w:rsidR="00563E17" w:rsidRDefault="00563E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0" w14:textId="40CD292B" w:rsidR="001A5AE6" w:rsidRPr="00D42D74" w:rsidRDefault="001A5AE6" w:rsidP="00D42D74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9"/>
        <w:tab w:val="left" w:pos="225"/>
        <w:tab w:val="left" w:pos="2490"/>
        <w:tab w:val="right" w:pos="10205"/>
      </w:tabs>
      <w:spacing w:after="0" w:line="240" w:lineRule="auto"/>
      <w:jc w:val="right"/>
      <w:rPr>
        <w:rFonts w:ascii="Times New Roman" w:eastAsia="Times New Roman" w:hAnsi="Times New Roman" w:cs="Times New Roman"/>
        <w:color w:val="FF0000"/>
        <w:sz w:val="28"/>
        <w:szCs w:val="28"/>
        <w:lang w:val="uk-U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5AE6"/>
    <w:rsid w:val="00014946"/>
    <w:rsid w:val="001A5AE6"/>
    <w:rsid w:val="002A2C55"/>
    <w:rsid w:val="00345831"/>
    <w:rsid w:val="004B3EDA"/>
    <w:rsid w:val="00563E17"/>
    <w:rsid w:val="007E5E96"/>
    <w:rsid w:val="008F22F5"/>
    <w:rsid w:val="00AC3E8F"/>
    <w:rsid w:val="00D31073"/>
    <w:rsid w:val="00D42D74"/>
    <w:rsid w:val="00E15F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862CEB"/>
  <w15:docId w15:val="{641A6049-DE58-4820-AEAD-B1BBA27F15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spacing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uiPriority w:val="9"/>
    <w:semiHidden/>
    <w:unhideWhenUsed/>
    <w:qFormat/>
    <w:pPr>
      <w:spacing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20">
    <w:name w:val="Заголовок 2 Знак"/>
    <w:basedOn w:val="a0"/>
    <w:uiPriority w:val="9"/>
    <w:rsid w:val="009E357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uiPriority w:val="9"/>
    <w:rsid w:val="009E357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uiPriority w:val="9"/>
    <w:rsid w:val="009E357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4">
    <w:name w:val="Normal (Web)"/>
    <w:uiPriority w:val="99"/>
    <w:unhideWhenUsed/>
    <w:rsid w:val="009E35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5">
    <w:name w:val="Hyperlink"/>
    <w:basedOn w:val="a0"/>
    <w:uiPriority w:val="99"/>
    <w:unhideWhenUsed/>
    <w:rsid w:val="009E3570"/>
    <w:rPr>
      <w:color w:val="0000FF"/>
      <w:u w:val="single"/>
    </w:rPr>
  </w:style>
  <w:style w:type="paragraph" w:customStyle="1" w:styleId="western">
    <w:name w:val="western"/>
    <w:rsid w:val="009E35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link w:val="a7"/>
    <w:uiPriority w:val="99"/>
    <w:semiHidden/>
    <w:unhideWhenUsed/>
    <w:rsid w:val="009E35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у виносці Знак"/>
    <w:basedOn w:val="a0"/>
    <w:link w:val="a6"/>
    <w:uiPriority w:val="99"/>
    <w:semiHidden/>
    <w:rsid w:val="009E3570"/>
    <w:rPr>
      <w:rFonts w:ascii="Tahoma" w:hAnsi="Tahoma" w:cs="Tahoma"/>
      <w:sz w:val="16"/>
      <w:szCs w:val="16"/>
    </w:rPr>
  </w:style>
  <w:style w:type="paragraph" w:customStyle="1" w:styleId="Normal1">
    <w:name w:val="Normal1"/>
    <w:rsid w:val="00B3442F"/>
    <w:rPr>
      <w:lang w:val="uk-UA" w:eastAsia="ru-RU"/>
    </w:rPr>
  </w:style>
  <w:style w:type="paragraph" w:customStyle="1" w:styleId="10">
    <w:name w:val="Знак Знак1 Знак Знак Знак Знак Знак Знак Знак Знак"/>
    <w:rsid w:val="00447B7A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rvps2">
    <w:name w:val="rvps2"/>
    <w:rsid w:val="007A2D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Знак Знак1 Знак Знак Знак Знак"/>
    <w:rsid w:val="00387951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styleId="a8">
    <w:name w:val="annotation reference"/>
    <w:basedOn w:val="a0"/>
    <w:uiPriority w:val="99"/>
    <w:semiHidden/>
    <w:unhideWhenUsed/>
    <w:rsid w:val="007B6A69"/>
    <w:rPr>
      <w:sz w:val="16"/>
      <w:szCs w:val="16"/>
    </w:rPr>
  </w:style>
  <w:style w:type="paragraph" w:styleId="a9">
    <w:name w:val="annotation text"/>
    <w:link w:val="aa"/>
    <w:uiPriority w:val="99"/>
    <w:semiHidden/>
    <w:unhideWhenUsed/>
    <w:rsid w:val="007B6A69"/>
    <w:pPr>
      <w:spacing w:line="240" w:lineRule="auto"/>
    </w:pPr>
    <w:rPr>
      <w:sz w:val="20"/>
      <w:szCs w:val="20"/>
    </w:rPr>
  </w:style>
  <w:style w:type="character" w:customStyle="1" w:styleId="aa">
    <w:name w:val="Текст примітки Знак"/>
    <w:basedOn w:val="a0"/>
    <w:link w:val="a9"/>
    <w:uiPriority w:val="99"/>
    <w:semiHidden/>
    <w:rsid w:val="007B6A69"/>
    <w:rPr>
      <w:rFonts w:ascii="Calibri" w:eastAsia="Calibri" w:hAnsi="Calibri" w:cs="Calibri"/>
      <w:sz w:val="20"/>
      <w:szCs w:val="20"/>
      <w:lang w:val="uk-UA" w:eastAsia="ru-RU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7B6A69"/>
    <w:rPr>
      <w:b/>
      <w:bCs/>
    </w:rPr>
  </w:style>
  <w:style w:type="character" w:customStyle="1" w:styleId="ac">
    <w:name w:val="Тема примітки Знак"/>
    <w:basedOn w:val="aa"/>
    <w:link w:val="ab"/>
    <w:uiPriority w:val="99"/>
    <w:semiHidden/>
    <w:rsid w:val="007B6A69"/>
    <w:rPr>
      <w:rFonts w:ascii="Calibri" w:eastAsia="Calibri" w:hAnsi="Calibri" w:cs="Calibri"/>
      <w:b/>
      <w:bCs/>
      <w:sz w:val="20"/>
      <w:szCs w:val="20"/>
      <w:lang w:val="uk-UA" w:eastAsia="ru-RU"/>
    </w:rPr>
  </w:style>
  <w:style w:type="paragraph" w:styleId="ad">
    <w:name w:val="List Paragraph"/>
    <w:uiPriority w:val="34"/>
    <w:qFormat/>
    <w:rsid w:val="00D65A89"/>
    <w:pPr>
      <w:ind w:left="720"/>
      <w:contextualSpacing/>
    </w:pPr>
  </w:style>
  <w:style w:type="paragraph" w:styleId="ae">
    <w:name w:val="header"/>
    <w:link w:val="af"/>
    <w:uiPriority w:val="99"/>
    <w:unhideWhenUsed/>
    <w:rsid w:val="00E6328B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">
    <w:name w:val="Верхній колонтитул Знак"/>
    <w:basedOn w:val="a0"/>
    <w:link w:val="ae"/>
    <w:uiPriority w:val="99"/>
    <w:rsid w:val="00E6328B"/>
    <w:rPr>
      <w:rFonts w:ascii="Calibri" w:eastAsia="Calibri" w:hAnsi="Calibri" w:cs="Calibri"/>
      <w:lang w:val="uk-UA" w:eastAsia="ru-RU"/>
    </w:rPr>
  </w:style>
  <w:style w:type="paragraph" w:styleId="af0">
    <w:name w:val="footer"/>
    <w:link w:val="af1"/>
    <w:uiPriority w:val="99"/>
    <w:unhideWhenUsed/>
    <w:rsid w:val="00E6328B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1">
    <w:name w:val="Нижній колонтитул Знак"/>
    <w:basedOn w:val="a0"/>
    <w:link w:val="af0"/>
    <w:uiPriority w:val="99"/>
    <w:rsid w:val="00E6328B"/>
    <w:rPr>
      <w:rFonts w:ascii="Calibri" w:eastAsia="Calibri" w:hAnsi="Calibri" w:cs="Calibri"/>
      <w:lang w:val="uk-UA" w:eastAsia="ru-RU"/>
    </w:rPr>
  </w:style>
  <w:style w:type="character" w:customStyle="1" w:styleId="fontstyle01">
    <w:name w:val="fontstyle01"/>
    <w:basedOn w:val="a0"/>
    <w:rsid w:val="00F93C4A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12">
    <w:name w:val="Незакрита згадка1"/>
    <w:basedOn w:val="a0"/>
    <w:uiPriority w:val="99"/>
    <w:semiHidden/>
    <w:unhideWhenUsed/>
    <w:rsid w:val="00882D2B"/>
    <w:rPr>
      <w:color w:val="605E5C"/>
      <w:shd w:val="clear" w:color="auto" w:fill="E1DFDD"/>
    </w:rPr>
  </w:style>
  <w:style w:type="character" w:customStyle="1" w:styleId="rvts46">
    <w:name w:val="rvts46"/>
    <w:basedOn w:val="a0"/>
    <w:rsid w:val="00C90B9B"/>
  </w:style>
  <w:style w:type="character" w:customStyle="1" w:styleId="rvts11">
    <w:name w:val="rvts11"/>
    <w:basedOn w:val="a0"/>
    <w:rsid w:val="00C90B9B"/>
  </w:style>
  <w:style w:type="character" w:styleId="af2">
    <w:name w:val="Unresolved Mention"/>
    <w:basedOn w:val="a0"/>
    <w:uiPriority w:val="99"/>
    <w:semiHidden/>
    <w:unhideWhenUsed/>
    <w:rsid w:val="0043220C"/>
    <w:rPr>
      <w:color w:val="605E5C"/>
      <w:shd w:val="clear" w:color="auto" w:fill="E1DFDD"/>
    </w:rPr>
  </w:style>
  <w:style w:type="paragraph" w:customStyle="1" w:styleId="13">
    <w:name w:val="Абзац списка1"/>
    <w:rsid w:val="009D6298"/>
    <w:pPr>
      <w:spacing w:after="200" w:line="276" w:lineRule="auto"/>
      <w:ind w:left="720"/>
      <w:contextualSpacing/>
      <w:jc w:val="both"/>
    </w:pPr>
    <w:rPr>
      <w:rFonts w:ascii="Arial" w:eastAsia="Times New Roman" w:hAnsi="Arial" w:cs="Times New Roman"/>
      <w:sz w:val="20"/>
      <w:szCs w:val="20"/>
      <w:lang w:val="en-US" w:eastAsia="en-US"/>
    </w:rPr>
  </w:style>
  <w:style w:type="paragraph" w:styleId="af3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a6wsBSajeu331Q3AJhMiqfik1g==">CgMxLjAyDmguZ21udTMwdmE3NTAwOAByITFFb2tHbU9UWFBNRUlUS1dFOVBSX1lUaE8tNmZ4TDkwNg==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4138</Words>
  <Characters>2359</Characters>
  <Application>Microsoft Office Word</Application>
  <DocSecurity>0</DocSecurity>
  <Lines>19</Lines>
  <Paragraphs>12</Paragraphs>
  <ScaleCrop>false</ScaleCrop>
  <Company>NERC</Company>
  <LinksUpToDate>false</LinksUpToDate>
  <CharactersWithSpaces>6485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</dc:creator>
  <cp:lastModifiedBy>Володимир Отрощенко</cp:lastModifiedBy>
  <cp:revision>2</cp:revision>
  <dcterms:created xsi:type="dcterms:W3CDTF">2026-09-09T07:29:00Z</dcterms:created>
  <dcterms:modified xsi:type="dcterms:W3CDTF">2026-09-09T07:29:00Z</dcterms:modified>
</cp:coreProperties>
</file>