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9BCB3A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АНАЛІЗ ВПЛИВУ</w:t>
      </w:r>
    </w:p>
    <w:p w14:paraId="6FD04C28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проєкту постанови Національної комісії, що здійснює державне регулювання у сферах енергетики та комунальних послуг «Про затвердження Змін до деяких постанов НКРЕКП», що має ознаки регуляторного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акта</w:t>
      </w:r>
      <w:proofErr w:type="spellEnd"/>
    </w:p>
    <w:p w14:paraId="25067D70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507028A" w14:textId="42EE45F3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І. Визначення проблеми</w:t>
      </w:r>
    </w:p>
    <w:p w14:paraId="49FE55F1" w14:textId="4A5CA910" w:rsidR="00D92D56" w:rsidRDefault="00D92D5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796A1FE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8D154FB" w14:textId="361AF47C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Правові, технічні, організаційні і економічні засади функціонування газосховищ природного газу, умови доступу до газосховищ та порядок надання послуг із зберігання (закачування, відбору) природного газу визначені Кодексом газосховищ, затвердженим постановою НКРЕКП від 30.09.2015 № 2495</w:t>
      </w:r>
      <w:r w:rsidR="000F34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0F34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br/>
        <w:t>(далі – Кодекс газосховищ)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та Типовим договором зберігання (закачування, відбору) природного газу, затвердженим постановою НКРЕКП від 30.09.2015 №</w:t>
      </w:r>
      <w:r w:rsidR="000F34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2499 (далі – Типовий договір зберігання).</w:t>
      </w:r>
    </w:p>
    <w:p w14:paraId="51B5F481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Так, відповідно до положень пункту 6 глави 2 розділу VII Кодексу газосховищ, розподіл переривчастої потужності відбору на базовий сезон закачування та переривчастої потужності закачування на базовий сезон відбору здійснюється виключно на розмір потужності закачування/відбору, який було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розподілено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як гарантована та умовно-гарантована потужність на відповідний базовий сезон.</w:t>
      </w:r>
    </w:p>
    <w:p w14:paraId="4C71D21A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Аналогічні умови щодо розподілу переривчастої потужності закачування на місяць, що входить до базового сезону відбору, та переривчастої потужності відбору на місяць, що входить до базового сезону закачування, передбачені у пункті 5 глави 4 та 5 розділу VII Кодексу газосховищ.</w:t>
      </w:r>
    </w:p>
    <w:p w14:paraId="45961619" w14:textId="4C685269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цьому, за результатами аналізу результативності застосування вищезазначених положень Кодексу газосховищ виявлено необхідність їх удосконалення шляхом внесення відповідних змін, у частині розширення можливості отримання замовниками послуг зберігання (закачування, відбору) природного газу доступу до потужності газосховищ на переривчастій основі незалежно від розміру потужності закачування/відбору, який було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розподілено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як гарантована та умовно- гарантована потужність.</w:t>
      </w:r>
    </w:p>
    <w:p w14:paraId="29DA9114" w14:textId="592E55B8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Крім цього, Законом України від 24.02.2026 № 4791-IX «Про внесення зміни до статті 9 Закону України «Про бухгалтерський облік та фінансову звітність в Україні</w:t>
      </w:r>
      <w:r w:rsidR="00360C0B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щодо спрощення оформлення первинних документів з надання послуг» (далі – Закон № 4791-ІХ) частину другу статті 9 Закону України «Про бухгалтерський облік та фінансову звітність в Україні» (далі – Закон) доповнено   новим абзацом восьмим згідно з яким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якщо первинний документ містить інформацію про дату (період) надання послуг, виконання робіт або найму (оренди), то відсутність передбачених абзацами шостим і сьомим цієї частини реквізитів із сторони замовника послуг (робіт) або наймача (орендаря) не є порушенням вимог до оформлення первинного документа, за умови що такий порядок документування господарських операцій передбачено договором, укладеним у письмовій формі, і такі господарські операції відображаються у бухгалтерському обліку в періоді їх здійснення.</w:t>
      </w:r>
    </w:p>
    <w:p w14:paraId="40FC777E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 цьому абзацами шостим і сьомим частини другої статті 9 Закону передбачено, що первинні документи повинні мати такі обов’язкові реквізити, зокрема:</w:t>
      </w:r>
    </w:p>
    <w:p w14:paraId="308104B3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посади і прізвища (крім первинних документів, вимоги до яких встановлюються Національним банком України) осіб, відповідальних за здійснення господарської операції і правил</w:t>
      </w:r>
      <w:bookmarkStart w:id="0" w:name="2vcqi1wfsfre" w:colFirst="0" w:colLast="0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ьність її оформлення;</w:t>
      </w:r>
    </w:p>
    <w:p w14:paraId="609E1E64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особистий підпис або інші дані, що дають змогу ідентифікувати особу, яка брала участь у здійсненні господарської операції.</w:t>
      </w:r>
    </w:p>
    <w:p w14:paraId="2D00DA97" w14:textId="5F8FE5CE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Таким чином, Законом № 4791-ІХ, який набрав чинності 01.04.2026, надано суб’єктам господарювання право визначати при укладенні договору спрощений порядок оформлення первинних документів з надання послуг, зокрема під час оформлення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наданих послуг такі реквізити як особистий підпис особи, відповідальної за здійснення господарської операції зі сторони замовника послуги, не є обов’язковим за умови, що такий порядок оформлення первинних документів передбачено договором і вартість наданих послуг була оплачена замовником у повному обсязі у безготівковій формі.</w:t>
      </w:r>
    </w:p>
    <w:p w14:paraId="14CE9ACA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 цьому, пунктом 6.10 розділу VІ Типового договору зберігання передбачено, що послуги, що надаються за цим Договором у звітному місяці, оформлюються двосторонніми актами наданих послуг між Оператором і Замовником до 12 числа місяця, наступного за звітним.</w:t>
      </w:r>
    </w:p>
    <w:p w14:paraId="5514F93E" w14:textId="71714095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Таким чином, з метою спрощення документообігу </w:t>
      </w:r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між </w:t>
      </w:r>
      <w:r w:rsidR="0018114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ператором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газосховищ та замовником послуг зберігання (закачування, відбору) природного газу необхідним є внесення змін, у частині встановлення, що послуги, що надаються в рамках Типового договору зберігання оформлюються актами наданих послуг, складеними </w:t>
      </w:r>
      <w:r w:rsidR="0018114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ператором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газосховищ в односторонньому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порядку.</w:t>
      </w:r>
    </w:p>
    <w:p w14:paraId="20AAB2C4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Слід також зазначити, що положеннями глави 8 розділу ІІІ Кодексу газосховищ визначено, що до закінчення строку надання послуг зберігання (закачування, відбору) природного газу згідно з договором зберігання, якщо на рахунку замовника обліковується залишок природного газу, замовник зобов’язується:</w:t>
      </w:r>
    </w:p>
    <w:p w14:paraId="4F98CA9D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замовити послугу зберігання (закачування, відбору) на наступний період, яка враховує зберігання залишків на кінець строку надання послуг (зберігання, закачування) природного газу;</w:t>
      </w:r>
    </w:p>
    <w:p w14:paraId="33A1D8D4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або передати зазначений обсяг природного газу третій особі (особам) у порядку, встановленому цим Кодексом;</w:t>
      </w:r>
    </w:p>
    <w:p w14:paraId="63081727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або відібрати весь обсяг природного газу, що зберігається в газосховищах на його рахунку зберігання.</w:t>
      </w:r>
    </w:p>
    <w:p w14:paraId="486D20B7" w14:textId="74F1C872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Разом з </w:t>
      </w:r>
      <w:r w:rsidR="00360C0B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ц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им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, на практиці існують випадки коли після закінчення строку дії договору зберігання замовники послуг зберігання не виконують зазначені вище зобов’язання та залишають певний обсяг природного газу, який є їх власністю, у підземних сховищах. Як наслідок, у зазначеному випадку </w:t>
      </w:r>
      <w:r w:rsidR="000B531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ператор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газосховищ продовжує надавати послугу зберігання залишку природного газу замовника послуг зберігання та нести відповідні витрати, проте у зв’язку із закінченням дії договору </w:t>
      </w:r>
      <w:r w:rsidR="000B531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ператор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газосховищ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 має правових підстав для виставлення плати за надані послуги зберігання.</w:t>
      </w:r>
    </w:p>
    <w:p w14:paraId="1D8CD563" w14:textId="43B3AD62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зв’язку із зазначеним, керуючись положеннями статті 17 Закону України «Про Національну комісію, що здійснює державне регулювання у сферах енергетики та комунальних послуг» </w:t>
      </w:r>
      <w:r w:rsidR="00360C0B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Регулятором</w:t>
      </w:r>
      <w:r w:rsidR="00360C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розроблено проєкт постанови НКРЕКП «Про затвердження Змін до деяких постанов НКРЕКП» (далі – Проєкт постанови), положеннями якого передбачається внесення змін до положень Кодексу газосховищ та Типового договору зберігання в частині:</w:t>
      </w:r>
    </w:p>
    <w:p w14:paraId="3EE306B0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підвищення гнучкості використання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потужностей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газосховищ шляхом розширення можливості отримання замовниками послуг зберігання доступу до потужності газосховищ на переривчастій основі, а також наділення замовників послуг зберігання правом на передачу права користування потужністю, яка була йому розподілена на базовий сезон відбору, базовий сезон закачування та на місяць, іншому замовнику;</w:t>
      </w:r>
    </w:p>
    <w:p w14:paraId="268471F8" w14:textId="58D8B9BF" w:rsidR="00DC4DC3" w:rsidRPr="008D47FE" w:rsidRDefault="000B5312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у</w:t>
      </w:r>
      <w:proofErr w:type="spellStart"/>
      <w:r w:rsidR="00EB00B6" w:rsidRPr="008D47FE">
        <w:rPr>
          <w:rFonts w:ascii="Times New Roman" w:eastAsia="Times New Roman" w:hAnsi="Times New Roman" w:cs="Times New Roman"/>
          <w:sz w:val="28"/>
          <w:szCs w:val="28"/>
        </w:rPr>
        <w:t>досконалення</w:t>
      </w:r>
      <w:proofErr w:type="spellEnd"/>
      <w:r w:rsidR="00EB00B6" w:rsidRPr="008D47FE">
        <w:rPr>
          <w:rFonts w:ascii="Times New Roman" w:eastAsia="Times New Roman" w:hAnsi="Times New Roman" w:cs="Times New Roman"/>
          <w:sz w:val="28"/>
          <w:szCs w:val="28"/>
        </w:rPr>
        <w:t xml:space="preserve"> порядку обліку залишків природного газу в газосховищах та подальшого оформлення договірних відносин шляхом продовження строку дії договору зберігання у випадку, якщо на дату закінчення строку дії договору зберігання у замовника послуг обліковується залишок природного газу;</w:t>
      </w:r>
    </w:p>
    <w:p w14:paraId="4214FD60" w14:textId="54B2CB21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визначення вимоги щодо одностороннього оформлення </w:t>
      </w:r>
      <w:r w:rsidR="000B531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ператором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газосховищ актів наданих послуг на підставі договору зберігання (закачування, відбору) природного газу.</w:t>
      </w:r>
    </w:p>
    <w:p w14:paraId="3A493440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5665611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2008358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Основні групи (підгрупи), на які проблема справляє вплив:</w:t>
      </w:r>
    </w:p>
    <w:tbl>
      <w:tblPr>
        <w:tblStyle w:val="a5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15"/>
        <w:gridCol w:w="3833"/>
        <w:gridCol w:w="3060"/>
      </w:tblGrid>
      <w:tr w:rsidR="00DC4DC3" w14:paraId="7D690514" w14:textId="77777777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BB783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Групи (підгрупи)</w: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BEFA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Так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F747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Ні</w:t>
            </w:r>
          </w:p>
        </w:tc>
      </w:tr>
      <w:tr w:rsidR="00DC4DC3" w14:paraId="745D9E3F" w14:textId="77777777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4C98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Громадяни</w: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314D6" w14:textId="77777777" w:rsidR="00DC4DC3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30758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Ні</w:t>
            </w:r>
          </w:p>
        </w:tc>
      </w:tr>
      <w:tr w:rsidR="00DC4DC3" w14:paraId="7424152F" w14:textId="77777777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CCA93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Держава</w: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454A0" w14:textId="77777777" w:rsidR="00DC4DC3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F5531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Ні</w:t>
            </w:r>
          </w:p>
        </w:tc>
      </w:tr>
      <w:tr w:rsidR="00DC4DC3" w14:paraId="5D241D22" w14:textId="77777777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DAAD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Суб’єкти господарювання</w: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053E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Так 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05FB2" w14:textId="77777777" w:rsidR="00DC4DC3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4D7E89A7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A739F84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0BB483F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ІІ. Цілі державного регулювання</w:t>
      </w:r>
    </w:p>
    <w:p w14:paraId="7BCF62B0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E09F6EB" w14:textId="3B2C902B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Цілями державного регулювання є розроблення Проєкту постанови, положеннями якого передбачено внесення змін до Кодексу газосховищ та Типового договору зберігання, які спрямовані на підвищення гнучкості використання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потужностей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газосховищ шляхом розширення можливості отримання замовниками послуг зберігання доступу до потужності газосховищ на переривчастій основі, </w:t>
      </w:r>
      <w:r w:rsidR="000B531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у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досконалення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порядку обліку залишків природного газу в газосховищах та подальшого оформлення договірних відносин, а також спрощення документообігу між </w:t>
      </w:r>
      <w:r w:rsidR="000B531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ператором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газосховищ та замовником послуг зберігання.</w:t>
      </w:r>
    </w:p>
    <w:p w14:paraId="3F526E50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85EBDD7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ІІІ. Визначення та оцінка альтернативних способів досягнення цілей</w:t>
      </w:r>
    </w:p>
    <w:p w14:paraId="45A5C596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399D53A" w14:textId="77777777" w:rsidR="00DC4DC3" w:rsidRDefault="00EB00B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hanging="86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Визначення альтернативних способів</w:t>
      </w:r>
    </w:p>
    <w:tbl>
      <w:tblPr>
        <w:tblStyle w:val="a6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90"/>
        <w:gridCol w:w="7418"/>
      </w:tblGrid>
      <w:tr w:rsidR="00DC4DC3" w14:paraId="5F50C2AA" w14:textId="77777777"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5BB5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Вид альтернативи</w:t>
            </w:r>
          </w:p>
        </w:tc>
        <w:tc>
          <w:tcPr>
            <w:tcW w:w="7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16F1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Опис альтернативи</w:t>
            </w:r>
          </w:p>
        </w:tc>
      </w:tr>
      <w:tr w:rsidR="00DC4DC3" w14:paraId="217C8FB8" w14:textId="77777777"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8DBD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1 </w:t>
            </w:r>
          </w:p>
          <w:p w14:paraId="5E265FA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Збереження чинного регулювання</w:t>
            </w:r>
          </w:p>
        </w:tc>
        <w:tc>
          <w:tcPr>
            <w:tcW w:w="7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1863C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 забезпечує досягнення цілей.</w:t>
            </w:r>
          </w:p>
          <w:p w14:paraId="63F74E1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Продовжить існувати необхідність внесення змін до Кодексу газосховищ та Типового договору зберігання</w:t>
            </w:r>
          </w:p>
        </w:tc>
      </w:tr>
      <w:tr w:rsidR="00DC4DC3" w14:paraId="500CA642" w14:textId="77777777"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25B5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2 </w:t>
            </w:r>
          </w:p>
          <w:p w14:paraId="6996D5B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  <w:tc>
          <w:tcPr>
            <w:tcW w:w="7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2E29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Цілі будуть досягнуті, проте, 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є недоцільним, оскільки більшість норм залишаються незмінними</w:t>
            </w:r>
          </w:p>
        </w:tc>
      </w:tr>
      <w:tr w:rsidR="00DC4DC3" w14:paraId="49BBDA39" w14:textId="77777777"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30A2C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Альтернатива 3</w:t>
            </w:r>
          </w:p>
          <w:p w14:paraId="5CB9E571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Внесення змін до чинних регуляторних актів</w:t>
            </w:r>
          </w:p>
        </w:tc>
        <w:tc>
          <w:tcPr>
            <w:tcW w:w="7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40760" w14:textId="090E7B01" w:rsidR="00DC4DC3" w:rsidRDefault="00EB00B6" w:rsidP="000B53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Унесення змін до Кодексу газосховищ та Типового договору зберігання дозволить розширити можливості отримання замовниками послуг зберігання доступу до потужності газосховищ на переривчастій </w:t>
            </w: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основі, </w:t>
            </w:r>
            <w:r w:rsidR="000B5312" w:rsidRPr="008D47F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</w:t>
            </w:r>
            <w:proofErr w:type="spellStart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досконалити</w:t>
            </w:r>
            <w:proofErr w:type="spellEnd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порядок обліку залишків </w:t>
            </w: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природного газу в газосховищах та подальше оформлення договірних відносин, а також спростити документообіг між </w:t>
            </w:r>
            <w:r w:rsidR="000B5312" w:rsidRPr="008D47F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о</w:t>
            </w:r>
            <w:proofErr w:type="spellStart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ператором</w:t>
            </w:r>
            <w:proofErr w:type="spellEnd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газосховищ та замовником послуг зберігання</w:t>
            </w:r>
          </w:p>
        </w:tc>
      </w:tr>
    </w:tbl>
    <w:p w14:paraId="46AF8935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after="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72FA18D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after="1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2. Оцінка вибраних альтернативних способів досягнення цілей</w:t>
      </w:r>
    </w:p>
    <w:p w14:paraId="59557C42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1) Оцінка впливу на сферу інтересів держави:</w:t>
      </w:r>
    </w:p>
    <w:tbl>
      <w:tblPr>
        <w:tblStyle w:val="a7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3"/>
        <w:gridCol w:w="3965"/>
        <w:gridCol w:w="3780"/>
      </w:tblGrid>
      <w:tr w:rsidR="00DC4DC3" w14:paraId="6F98E06C" w14:textId="77777777"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CC83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Вид альтернативи</w:t>
            </w:r>
          </w:p>
        </w:tc>
        <w:tc>
          <w:tcPr>
            <w:tcW w:w="3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ACB51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Вигоди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69F44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Витрати</w:t>
            </w:r>
          </w:p>
        </w:tc>
      </w:tr>
      <w:tr w:rsidR="00DC4DC3" w14:paraId="7BA5E07A" w14:textId="77777777"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67E94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1 </w:t>
            </w:r>
          </w:p>
          <w:p w14:paraId="6392CA9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Збереження чин-ного регулювання</w:t>
            </w:r>
          </w:p>
        </w:tc>
        <w:tc>
          <w:tcPr>
            <w:tcW w:w="3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38A28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7DEF3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  <w:p w14:paraId="2F80CF85" w14:textId="77777777" w:rsidR="00DC4DC3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C4DC3" w14:paraId="5B4786E7" w14:textId="77777777">
        <w:trPr>
          <w:trHeight w:val="1379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1AD3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2 </w:t>
            </w:r>
          </w:p>
          <w:p w14:paraId="4680065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  <w:tc>
          <w:tcPr>
            <w:tcW w:w="3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09AF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  <w:p w14:paraId="38C4C6C6" w14:textId="77777777" w:rsidR="00DC4DC3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A6EB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  <w:tr w:rsidR="00DC4DC3" w14:paraId="0C76D361" w14:textId="77777777">
        <w:trPr>
          <w:trHeight w:val="358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F2CF3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Альтернатива 3</w:t>
            </w:r>
          </w:p>
          <w:p w14:paraId="7B3C48B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Внесення змін до чинних регуляторних актів</w:t>
            </w:r>
          </w:p>
        </w:tc>
        <w:tc>
          <w:tcPr>
            <w:tcW w:w="3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F21B2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C9BE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</w:tbl>
    <w:p w14:paraId="4597E284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2) Оцінка впливу на сферу інтересів громадян:</w:t>
      </w:r>
    </w:p>
    <w:tbl>
      <w:tblPr>
        <w:tblStyle w:val="a8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28"/>
        <w:gridCol w:w="3179"/>
        <w:gridCol w:w="4201"/>
      </w:tblGrid>
      <w:tr w:rsidR="00DC4DC3" w14:paraId="1E494212" w14:textId="77777777"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9B738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Вид альтернативи</w:t>
            </w:r>
          </w:p>
        </w:tc>
        <w:tc>
          <w:tcPr>
            <w:tcW w:w="3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6D44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Вигоди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BA301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Витрати</w:t>
            </w:r>
          </w:p>
        </w:tc>
      </w:tr>
      <w:tr w:rsidR="00DC4DC3" w14:paraId="7936E2F0" w14:textId="77777777"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864C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1 </w:t>
            </w:r>
          </w:p>
          <w:p w14:paraId="54C042D9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Збереження чинного регулювання</w:t>
            </w:r>
          </w:p>
        </w:tc>
        <w:tc>
          <w:tcPr>
            <w:tcW w:w="3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15D2A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  <w:p w14:paraId="70F00865" w14:textId="77777777" w:rsidR="00DC4DC3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1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EF983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  <w:tr w:rsidR="00DC4DC3" w14:paraId="653EE816" w14:textId="77777777"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D14E9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2 </w:t>
            </w:r>
          </w:p>
          <w:p w14:paraId="10081513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  <w:tc>
          <w:tcPr>
            <w:tcW w:w="3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D38F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03FD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  <w:tr w:rsidR="00DC4DC3" w14:paraId="3E538872" w14:textId="77777777"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A75E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Альтернатива 3</w:t>
            </w:r>
          </w:p>
          <w:p w14:paraId="5E6AC815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Внесення змін до чинних регуляторних актів</w:t>
            </w:r>
          </w:p>
        </w:tc>
        <w:tc>
          <w:tcPr>
            <w:tcW w:w="3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AB64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4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09EAA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</w:tbl>
    <w:p w14:paraId="25A64918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3) Оцінка впливу на сферу інтересів суб’єктів господарювання:</w:t>
      </w:r>
    </w:p>
    <w:tbl>
      <w:tblPr>
        <w:tblStyle w:val="a9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48"/>
        <w:gridCol w:w="4181"/>
        <w:gridCol w:w="3379"/>
      </w:tblGrid>
      <w:tr w:rsidR="00DC4DC3" w14:paraId="7EBC7FEA" w14:textId="77777777">
        <w:trPr>
          <w:trHeight w:val="891"/>
        </w:trPr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EEE3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Вид альтернативи</w:t>
            </w:r>
          </w:p>
        </w:tc>
        <w:tc>
          <w:tcPr>
            <w:tcW w:w="4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4AACA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Вигоди</w:t>
            </w:r>
          </w:p>
        </w:tc>
        <w:tc>
          <w:tcPr>
            <w:tcW w:w="3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8CAE4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Витрати</w:t>
            </w:r>
          </w:p>
        </w:tc>
      </w:tr>
      <w:tr w:rsidR="00DC4DC3" w14:paraId="6FB3AEAD" w14:textId="77777777"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4343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1 </w:t>
            </w:r>
          </w:p>
          <w:p w14:paraId="0AD3CD5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Збереження чинного регулювання</w:t>
            </w:r>
          </w:p>
        </w:tc>
        <w:tc>
          <w:tcPr>
            <w:tcW w:w="4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A4924" w14:textId="77777777" w:rsidR="00DC4DC3" w:rsidRPr="008D47FE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Відсутні</w:t>
            </w:r>
          </w:p>
          <w:p w14:paraId="4054DA8C" w14:textId="77777777" w:rsidR="00DC4DC3" w:rsidRPr="008D47FE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0F911" w14:textId="7EAD3B4A" w:rsidR="00DC4DC3" w:rsidRPr="008D47FE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Існуватиме необхідність у врегулюванні випадків, коли після закінчення строку дії договору зберігання, замовники послуг зберігання не виконують свої зобов’язання та залишають певний обсяг природного газу, </w:t>
            </w: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який є їх власністю, у підземних сховищах, та потреба у спрощенні документообігу між </w:t>
            </w:r>
            <w:r w:rsidR="000B5312" w:rsidRPr="008D47F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о</w:t>
            </w:r>
            <w:proofErr w:type="spellStart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ператором</w:t>
            </w:r>
            <w:proofErr w:type="spellEnd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газосховищ та замовником послуг зберігання</w:t>
            </w:r>
          </w:p>
          <w:p w14:paraId="476FAA3D" w14:textId="77777777" w:rsidR="00DC4DC3" w:rsidRPr="008D47FE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E2AE51" w14:textId="77777777" w:rsidR="00DC4DC3" w:rsidRPr="008D47FE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463032" w14:textId="77777777" w:rsidR="00DC4DC3" w:rsidRPr="008D47FE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C4DC3" w14:paraId="10AAECA6" w14:textId="77777777"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10BB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 xml:space="preserve">Альтернатива 2 </w:t>
            </w:r>
          </w:p>
          <w:p w14:paraId="696C839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  <w:tc>
          <w:tcPr>
            <w:tcW w:w="4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20717" w14:textId="77777777" w:rsidR="00DC4DC3" w:rsidRPr="008D47FE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Відсутні</w:t>
            </w:r>
          </w:p>
          <w:p w14:paraId="7FD6A3CA" w14:textId="77777777" w:rsidR="00DC4DC3" w:rsidRPr="008D47FE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6838E" w14:textId="77777777" w:rsidR="00DC4DC3" w:rsidRPr="008D47FE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Неефективне використання людських ресурсів та витрати часу на розроблення та прийняття нового регуляторного </w:t>
            </w:r>
            <w:proofErr w:type="spellStart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акта</w:t>
            </w:r>
            <w:proofErr w:type="spellEnd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01C337" w14:textId="77777777" w:rsidR="00DC4DC3" w:rsidRPr="008D47FE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Збільшення кількості нормативно-правових актів з одного питання, що ускладнить його пошук</w:t>
            </w:r>
          </w:p>
        </w:tc>
      </w:tr>
      <w:tr w:rsidR="00DC4DC3" w14:paraId="4423B122" w14:textId="77777777"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563B7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Альтернатива 3</w:t>
            </w:r>
          </w:p>
          <w:p w14:paraId="690F1AE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Внесення змін до чинних регуляторних актів</w:t>
            </w:r>
          </w:p>
        </w:tc>
        <w:tc>
          <w:tcPr>
            <w:tcW w:w="4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8DFD3" w14:textId="118BBFF2" w:rsidR="00DC4DC3" w:rsidRPr="008D47FE" w:rsidRDefault="00EB00B6" w:rsidP="000B53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Внесення змін до Кодексу газосховищ та Типового договору зберігання дозволить розширити можливості отримання замовниками послуг зберігання доступу до потужності газосховищ на переривчастій основі, </w:t>
            </w:r>
            <w:r w:rsidR="000B5312" w:rsidRPr="008D47F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</w:t>
            </w:r>
            <w:proofErr w:type="spellStart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досконалити</w:t>
            </w:r>
            <w:proofErr w:type="spellEnd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порядок обліку залишків природного газу в газосховищах та подальше оформлення договірних відносин, а також спростити документообіг між </w:t>
            </w:r>
            <w:r w:rsidR="000B5312" w:rsidRPr="008D47F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о</w:t>
            </w:r>
            <w:proofErr w:type="spellStart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ператором</w:t>
            </w:r>
            <w:proofErr w:type="spellEnd"/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газосховищ та замовником послуг зберігання</w:t>
            </w:r>
          </w:p>
        </w:tc>
        <w:tc>
          <w:tcPr>
            <w:tcW w:w="3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FF6071" w14:textId="77777777" w:rsidR="00DC4DC3" w:rsidRPr="008D47FE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Відсутні</w:t>
            </w:r>
          </w:p>
        </w:tc>
      </w:tr>
    </w:tbl>
    <w:p w14:paraId="284F3647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1E1FBDE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IV. Вибір найбільш оптимального альтернативного способу досягнення цілей</w:t>
      </w:r>
    </w:p>
    <w:p w14:paraId="55881E5B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Style w:val="aa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10"/>
        <w:gridCol w:w="2552"/>
        <w:gridCol w:w="3946"/>
      </w:tblGrid>
      <w:tr w:rsidR="00DC4DC3" w14:paraId="6728AE3B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1776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Рейтинг результативності (досягнення цілей під час вирішення проблеми)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F96C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Бал результативності (за чотирибальною системою оцінки)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8CFC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Коментарі щодо присвоєння відповідного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бала</w:t>
            </w:r>
            <w:proofErr w:type="spellEnd"/>
          </w:p>
        </w:tc>
      </w:tr>
      <w:tr w:rsidR="00DC4DC3" w14:paraId="2058E0E3" w14:textId="77777777">
        <w:trPr>
          <w:trHeight w:val="872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10792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1 </w:t>
            </w:r>
          </w:p>
          <w:p w14:paraId="087C225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Збереження чинного регулювання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F17B7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D775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 забезпечує досягнення поставлених цілей</w:t>
            </w:r>
          </w:p>
        </w:tc>
      </w:tr>
      <w:tr w:rsidR="00DC4DC3" w14:paraId="0D6012C3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81D7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2 </w:t>
            </w:r>
          </w:p>
          <w:p w14:paraId="0E5000A8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5E202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C2A4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Цілі будуть досягнуті, проте із суттєвим недоліком: неефективне використання людських ресурсів та витрати часу на розроблення та 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</w:tr>
      <w:tr w:rsidR="00DC4DC3" w14:paraId="25D17A03" w14:textId="77777777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C7232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Альтернатива 3</w:t>
            </w:r>
          </w:p>
          <w:p w14:paraId="0D75BA37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(обрана альтернатива)</w:t>
            </w:r>
          </w:p>
          <w:p w14:paraId="78757F7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Внесення змін до чинних регуляторних актів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89808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4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D389C" w14:textId="394F5119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Дозволяє досягнути поставлених цілей та вирішити проблем</w:t>
            </w:r>
            <w:r w:rsidR="005814EA" w:rsidRPr="008D47FE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найбільш ефективним та найменш затратним способом</w:t>
            </w:r>
          </w:p>
        </w:tc>
      </w:tr>
    </w:tbl>
    <w:p w14:paraId="7042878C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after="160"/>
        <w:rPr>
          <w:color w:val="000000"/>
          <w:sz w:val="22"/>
          <w:szCs w:val="22"/>
        </w:rPr>
      </w:pPr>
    </w:p>
    <w:tbl>
      <w:tblPr>
        <w:tblStyle w:val="ab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880"/>
        <w:gridCol w:w="1440"/>
        <w:gridCol w:w="3420"/>
      </w:tblGrid>
      <w:tr w:rsidR="00DC4DC3" w14:paraId="65A03FD1" w14:textId="77777777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70A7C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Рейтинг результативності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9FE0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Вигоди</w:t>
            </w:r>
          </w:p>
          <w:p w14:paraId="34D246BA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(підсумок)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029D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Витрати (підсумок)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0B4A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Обґрунтування відповідного місця альтернативи у рейтингу</w:t>
            </w:r>
          </w:p>
        </w:tc>
      </w:tr>
      <w:tr w:rsidR="00DC4DC3" w14:paraId="6E69C985" w14:textId="77777777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D2624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1 </w:t>
            </w:r>
          </w:p>
          <w:p w14:paraId="266D1E87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Збереження чин-ного регулювання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8E6A7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564B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4B3D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Реалізація альтернативи 1: </w:t>
            </w:r>
          </w:p>
          <w:p w14:paraId="10141B58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 дозволяє досягнути поставлених цілей</w:t>
            </w:r>
          </w:p>
        </w:tc>
      </w:tr>
      <w:tr w:rsidR="00DC4DC3" w14:paraId="44833C30" w14:textId="77777777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4E94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2 </w:t>
            </w:r>
          </w:p>
          <w:p w14:paraId="195538DC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30618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DAD12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56A2C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Реалізація альтернативи 2: </w:t>
            </w:r>
          </w:p>
          <w:p w14:paraId="07E703A3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Дозволяє досягнути поставлених цілей, проте із суттєвим недоліком, неефективним використанням людських ресурсів та витратами часу на розроблення та 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</w:tr>
      <w:tr w:rsidR="00DC4DC3" w14:paraId="00354AC9" w14:textId="77777777"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8CB3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Альтернатива 3</w:t>
            </w:r>
          </w:p>
          <w:p w14:paraId="5B88C549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8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3"/>
                <w:szCs w:val="23"/>
              </w:rPr>
              <w:t>(обрана альтернатива)</w:t>
            </w:r>
          </w:p>
          <w:p w14:paraId="2905664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Внесення змін до чинних регуляторних актів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2573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Забезпечення дієвості механізмів регулювання ринку природного газу та ефективне використання ресурсів</w:t>
            </w:r>
          </w:p>
          <w:p w14:paraId="59489825" w14:textId="77777777" w:rsidR="00DC4DC3" w:rsidRDefault="00DC4D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7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1A20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0BCA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Реалізація альтернативи 3:</w:t>
            </w:r>
          </w:p>
          <w:p w14:paraId="05434185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дозволяє досягнути поставлених цілей повною мірою та встановити зрозуміле загальне регулювання, не примножуючи кількості нормативно-правових актів з одного питання</w:t>
            </w:r>
          </w:p>
        </w:tc>
      </w:tr>
    </w:tbl>
    <w:p w14:paraId="1782AEBB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after="1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Style w:val="ac"/>
        <w:tblW w:w="1000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4860"/>
        <w:gridCol w:w="2160"/>
      </w:tblGrid>
      <w:tr w:rsidR="00DC4DC3" w14:paraId="3AE5CC86" w14:textId="77777777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5E7C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Рейтинг результативності (досягнення цілей під час вирішення проблеми)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93C6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Аргументи щодо переваги обраної альтернативи/причини відмови від альтернативи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E09AC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Оцінка ризику зовнішніх чинників на дію запропонованого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акта</w:t>
            </w:r>
            <w:proofErr w:type="spellEnd"/>
          </w:p>
        </w:tc>
      </w:tr>
      <w:tr w:rsidR="00DC4DC3" w14:paraId="0DCE94B0" w14:textId="77777777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3FDA2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1 </w:t>
            </w:r>
          </w:p>
          <w:p w14:paraId="7185F83B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Збереження чинного регулювання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0DB1B" w14:textId="5B05BB47" w:rsidR="005814EA" w:rsidRPr="005814EA" w:rsidRDefault="005814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47FE">
              <w:rPr>
                <w:rFonts w:ascii="Times New Roman" w:hAnsi="Times New Roman" w:cs="Times New Roman"/>
                <w:sz w:val="24"/>
                <w:szCs w:val="24"/>
                <w:lang w:val="uk-UA" w:eastAsia="en-US"/>
              </w:rPr>
              <w:t>Не забезпечує досягнення цілей державного регулювання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27566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  <w:tr w:rsidR="00DC4DC3" w14:paraId="0794CE01" w14:textId="77777777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AD41E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Альтернатива 2 </w:t>
            </w:r>
          </w:p>
          <w:p w14:paraId="0B1854E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Прийняття нового регуляторного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акта</w:t>
            </w:r>
            <w:proofErr w:type="spellEnd"/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CBDE9" w14:textId="4F1E7BA6" w:rsidR="00DC4DC3" w:rsidRPr="008D47FE" w:rsidRDefault="005814EA" w:rsidP="005814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47FE">
              <w:rPr>
                <w:rFonts w:ascii="Times New Roman" w:hAnsi="Times New Roman" w:cs="Times New Roman"/>
                <w:sz w:val="24"/>
                <w:szCs w:val="24"/>
                <w:lang w:val="uk-UA" w:eastAsia="en-US"/>
              </w:rPr>
              <w:t xml:space="preserve">Забезпечує досягнення цілей державного регулювання </w:t>
            </w:r>
            <w:r w:rsidR="00EB00B6" w:rsidRPr="008D47FE">
              <w:rPr>
                <w:rFonts w:ascii="Times New Roman" w:eastAsia="Times New Roman" w:hAnsi="Times New Roman" w:cs="Times New Roman"/>
                <w:sz w:val="24"/>
                <w:szCs w:val="24"/>
              </w:rPr>
              <w:t>проте створює незручності для суб’єктів ринку природного газу при пошуку інформації, примножуючи кількість нормативно-правових актів з одного питання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E77C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  <w:tr w:rsidR="00DC4DC3" w14:paraId="7D18473E" w14:textId="77777777">
        <w:tc>
          <w:tcPr>
            <w:tcW w:w="2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FBA40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Альтернатива 3</w:t>
            </w:r>
          </w:p>
          <w:p w14:paraId="5A892ACD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1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(обрана альтернатива)</w:t>
            </w:r>
          </w:p>
          <w:p w14:paraId="5B3BD68F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Внесення змін до чинних регуляторних актів</w:t>
            </w:r>
          </w:p>
        </w:tc>
        <w:tc>
          <w:tcPr>
            <w:tcW w:w="4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30EDB" w14:textId="7A0B3A41" w:rsidR="00DC4DC3" w:rsidRDefault="005814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47FE">
              <w:rPr>
                <w:rFonts w:ascii="Times New Roman" w:hAnsi="Times New Roman" w:cs="Times New Roman"/>
                <w:sz w:val="24"/>
                <w:szCs w:val="24"/>
                <w:lang w:val="uk-UA" w:eastAsia="en-US"/>
              </w:rPr>
              <w:t>Забезпечує досягнення цілей</w:t>
            </w:r>
            <w:r w:rsidRPr="008D47FE">
              <w:rPr>
                <w:lang w:val="uk-UA" w:eastAsia="en-US"/>
              </w:rPr>
              <w:t xml:space="preserve"> </w:t>
            </w:r>
            <w:r w:rsidR="00EB00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державного регулювання найбільш ефективним способом з найменшими витратами ресурсів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DB869" w14:textId="77777777" w:rsidR="00DC4DC3" w:rsidRDefault="00EB00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Відсутні</w:t>
            </w:r>
          </w:p>
        </w:tc>
      </w:tr>
    </w:tbl>
    <w:p w14:paraId="27721115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tabs>
          <w:tab w:val="left" w:pos="6000"/>
        </w:tabs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E061A55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tabs>
          <w:tab w:val="left" w:pos="6000"/>
        </w:tabs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B2D2890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tabs>
          <w:tab w:val="left" w:pos="6000"/>
        </w:tabs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E79F58C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tabs>
          <w:tab w:val="left" w:pos="6000"/>
        </w:tabs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7CE08E0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V. Механізм та заходи, які забезпечують розв’язання визначеної проблеми</w:t>
      </w:r>
    </w:p>
    <w:p w14:paraId="26374D85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DB8707E" w14:textId="77777777" w:rsidR="008D47FE" w:rsidRDefault="008D47FE" w:rsidP="008D47FE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11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Механізмом, який </w:t>
      </w:r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</w:rPr>
        <w:t>забезпечить</w:t>
      </w:r>
      <w:r w:rsidRPr="00795E95">
        <w:rPr>
          <w:sz w:val="28"/>
          <w:szCs w:val="28"/>
          <w:lang w:val="uk-UA" w:eastAsia="en-US"/>
        </w:rPr>
        <w:t xml:space="preserve"> </w:t>
      </w:r>
      <w:r w:rsidRPr="00795E95">
        <w:rPr>
          <w:rFonts w:ascii="Times New Roman" w:hAnsi="Times New Roman" w:cs="Times New Roman"/>
          <w:sz w:val="28"/>
          <w:szCs w:val="28"/>
          <w:lang w:val="uk-UA" w:eastAsia="en-US"/>
        </w:rPr>
        <w:t xml:space="preserve">розв’язання визначеної проблеми є прийняття постанови НКРЕКП </w:t>
      </w:r>
      <w:r w:rsidRPr="00795E95">
        <w:rPr>
          <w:rFonts w:ascii="Times New Roman" w:hAnsi="Times New Roman" w:cs="Times New Roman"/>
          <w:sz w:val="28"/>
          <w:szCs w:val="28"/>
          <w:lang w:val="uk-UA"/>
        </w:rPr>
        <w:t>«Про затвердження Змін до деяких постанов НКРЕКП»</w:t>
      </w:r>
      <w:r w:rsidRPr="00795E95">
        <w:rPr>
          <w:rFonts w:ascii="Times New Roman" w:hAnsi="Times New Roman" w:cs="Times New Roman"/>
          <w:sz w:val="28"/>
          <w:szCs w:val="28"/>
          <w:lang w:val="uk-UA" w:eastAsia="en-US"/>
        </w:rPr>
        <w:t>,</w:t>
      </w:r>
      <w:r w:rsidRPr="00795E95">
        <w:rPr>
          <w:sz w:val="28"/>
          <w:szCs w:val="28"/>
          <w:lang w:val="uk-UA" w:eastAsia="en-US"/>
        </w:rPr>
        <w:t xml:space="preserve"> </w:t>
      </w:r>
      <w:r w:rsidRPr="00795E95">
        <w:rPr>
          <w:rFonts w:ascii="Times New Roman" w:hAnsi="Times New Roman" w:cs="Times New Roman"/>
          <w:sz w:val="28"/>
          <w:szCs w:val="28"/>
          <w:lang w:val="uk-UA" w:eastAsia="en-US"/>
        </w:rPr>
        <w:t>положення якої</w:t>
      </w:r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  <w:lang w:val="uk-UA"/>
        </w:rPr>
        <w:t xml:space="preserve">спрямовані на </w:t>
      </w:r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розширення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можливостей отримання замовниками </w:t>
      </w:r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послуг зберігання доступу до потужності газосховищ на переривчастій основі, </w:t>
      </w:r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  <w:lang w:val="uk-UA"/>
        </w:rPr>
        <w:t>у</w:t>
      </w:r>
      <w:proofErr w:type="spellStart"/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</w:rPr>
        <w:t>досконалення</w:t>
      </w:r>
      <w:proofErr w:type="spellEnd"/>
      <w:r w:rsidRPr="00795E95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порядку обліку залишків природного газу в газосховищах та </w:t>
      </w:r>
      <w:proofErr w:type="spellStart"/>
      <w:r w:rsidRPr="00795E95">
        <w:rPr>
          <w:rFonts w:ascii="Times New Roman" w:eastAsia="Times New Roman" w:hAnsi="Times New Roman" w:cs="Times New Roman"/>
          <w:sz w:val="28"/>
          <w:szCs w:val="28"/>
        </w:rPr>
        <w:t>подальш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ого</w:t>
      </w:r>
      <w:r w:rsidRPr="00795E95">
        <w:rPr>
          <w:rFonts w:ascii="Times New Roman" w:eastAsia="Times New Roman" w:hAnsi="Times New Roman" w:cs="Times New Roman"/>
          <w:sz w:val="28"/>
          <w:szCs w:val="28"/>
        </w:rPr>
        <w:t xml:space="preserve"> оформлення договірних відносин</w:t>
      </w:r>
      <w:r w:rsidRPr="0094303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5E95">
        <w:rPr>
          <w:rFonts w:ascii="Times New Roman" w:eastAsia="Times New Roman" w:hAnsi="Times New Roman" w:cs="Times New Roman"/>
          <w:sz w:val="28"/>
          <w:szCs w:val="28"/>
        </w:rPr>
        <w:t xml:space="preserve">шляхом продовження строку дії договору зберігання у випадку, якщо на дату закінчення строку дії договору зберігання у замовника послуг обліковується залишок природного газу, спрощення документообігу між </w:t>
      </w:r>
      <w:r w:rsidRPr="00795E95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795E95">
        <w:rPr>
          <w:rFonts w:ascii="Times New Roman" w:eastAsia="Times New Roman" w:hAnsi="Times New Roman" w:cs="Times New Roman"/>
          <w:sz w:val="28"/>
          <w:szCs w:val="28"/>
        </w:rPr>
        <w:t>ператором</w:t>
      </w:r>
      <w:proofErr w:type="spellEnd"/>
      <w:r w:rsidRPr="00795E95">
        <w:rPr>
          <w:rFonts w:ascii="Times New Roman" w:eastAsia="Times New Roman" w:hAnsi="Times New Roman" w:cs="Times New Roman"/>
          <w:sz w:val="28"/>
          <w:szCs w:val="28"/>
        </w:rPr>
        <w:t xml:space="preserve"> газосховищ та замовником послуг зберігання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 частині </w:t>
      </w:r>
      <w:proofErr w:type="spellStart"/>
      <w:r w:rsidRPr="00795E95">
        <w:rPr>
          <w:rFonts w:ascii="Times New Roman" w:eastAsia="Times New Roman" w:hAnsi="Times New Roman" w:cs="Times New Roman"/>
          <w:sz w:val="28"/>
          <w:szCs w:val="28"/>
        </w:rPr>
        <w:t>встановл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ення</w:t>
      </w:r>
      <w:proofErr w:type="spellEnd"/>
      <w:r w:rsidRPr="00795E95">
        <w:rPr>
          <w:rFonts w:ascii="Times New Roman" w:eastAsia="Times New Roman" w:hAnsi="Times New Roman" w:cs="Times New Roman"/>
          <w:sz w:val="28"/>
          <w:szCs w:val="28"/>
        </w:rPr>
        <w:t xml:space="preserve"> вимоги щодо одностороннього оформлення </w:t>
      </w:r>
      <w:r w:rsidRPr="00795E95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795E95">
        <w:rPr>
          <w:rFonts w:ascii="Times New Roman" w:eastAsia="Times New Roman" w:hAnsi="Times New Roman" w:cs="Times New Roman"/>
          <w:sz w:val="28"/>
          <w:szCs w:val="28"/>
        </w:rPr>
        <w:t>ператором</w:t>
      </w:r>
      <w:proofErr w:type="spellEnd"/>
      <w:r w:rsidRPr="00795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газосховищ актів наданих послуг на підставі договору зберігання (закачування, відбору) природного газу.</w:t>
      </w:r>
    </w:p>
    <w:p w14:paraId="4C3D82A3" w14:textId="77777777" w:rsidR="008C7B70" w:rsidRPr="008D47FE" w:rsidRDefault="008C7B70" w:rsidP="008C7B70">
      <w:pPr>
        <w:spacing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7FE">
        <w:rPr>
          <w:rFonts w:ascii="Times New Roman" w:hAnsi="Times New Roman" w:cs="Times New Roman"/>
          <w:sz w:val="28"/>
          <w:szCs w:val="28"/>
        </w:rPr>
        <w:t xml:space="preserve">Негативного впливу зовнішніх факторів на виконання вимог регуляторного </w:t>
      </w:r>
      <w:proofErr w:type="spellStart"/>
      <w:r w:rsidRPr="008D47FE">
        <w:rPr>
          <w:rFonts w:ascii="Times New Roman" w:hAnsi="Times New Roman" w:cs="Times New Roman"/>
          <w:sz w:val="28"/>
          <w:szCs w:val="28"/>
        </w:rPr>
        <w:t>акта</w:t>
      </w:r>
      <w:proofErr w:type="spellEnd"/>
      <w:r w:rsidRPr="008D47FE">
        <w:rPr>
          <w:rFonts w:ascii="Times New Roman" w:hAnsi="Times New Roman" w:cs="Times New Roman"/>
          <w:sz w:val="28"/>
          <w:szCs w:val="28"/>
        </w:rPr>
        <w:t xml:space="preserve"> не очікується.</w:t>
      </w:r>
    </w:p>
    <w:p w14:paraId="6EC97DAE" w14:textId="77777777" w:rsidR="008C7B70" w:rsidRPr="008D47FE" w:rsidRDefault="008C7B70" w:rsidP="008C7B70">
      <w:pPr>
        <w:spacing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7FE">
        <w:rPr>
          <w:rFonts w:ascii="Times New Roman" w:hAnsi="Times New Roman" w:cs="Times New Roman"/>
          <w:sz w:val="28"/>
          <w:szCs w:val="28"/>
        </w:rPr>
        <w:t xml:space="preserve">Характеристика механізму повної або часткової компенсації можливої шкоди у разі настання очікуваних наслідків дії </w:t>
      </w:r>
      <w:proofErr w:type="spellStart"/>
      <w:r w:rsidRPr="008D47FE">
        <w:rPr>
          <w:rFonts w:ascii="Times New Roman" w:hAnsi="Times New Roman" w:cs="Times New Roman"/>
          <w:sz w:val="28"/>
          <w:szCs w:val="28"/>
        </w:rPr>
        <w:t>акта</w:t>
      </w:r>
      <w:proofErr w:type="spellEnd"/>
      <w:r w:rsidRPr="008D47FE">
        <w:rPr>
          <w:rFonts w:ascii="Times New Roman" w:hAnsi="Times New Roman" w:cs="Times New Roman"/>
          <w:sz w:val="28"/>
          <w:szCs w:val="28"/>
        </w:rPr>
        <w:t xml:space="preserve"> не розроблялась, оскільки введення в дію положень регуляторного </w:t>
      </w:r>
      <w:proofErr w:type="spellStart"/>
      <w:r w:rsidRPr="008D47FE">
        <w:rPr>
          <w:rFonts w:ascii="Times New Roman" w:hAnsi="Times New Roman" w:cs="Times New Roman"/>
          <w:sz w:val="28"/>
          <w:szCs w:val="28"/>
        </w:rPr>
        <w:t>акта</w:t>
      </w:r>
      <w:proofErr w:type="spellEnd"/>
      <w:r w:rsidRPr="008D47FE">
        <w:rPr>
          <w:rFonts w:ascii="Times New Roman" w:hAnsi="Times New Roman" w:cs="Times New Roman"/>
          <w:sz w:val="28"/>
          <w:szCs w:val="28"/>
        </w:rPr>
        <w:t xml:space="preserve"> не призведе до настання будь-яких негативних наслідків.</w:t>
      </w:r>
    </w:p>
    <w:p w14:paraId="42E76D94" w14:textId="77777777" w:rsidR="008C7B70" w:rsidRPr="008D47FE" w:rsidRDefault="008C7B70" w:rsidP="008C7B70">
      <w:pPr>
        <w:spacing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7FE">
        <w:rPr>
          <w:rFonts w:ascii="Times New Roman" w:hAnsi="Times New Roman" w:cs="Times New Roman"/>
          <w:sz w:val="28"/>
          <w:szCs w:val="28"/>
        </w:rPr>
        <w:t xml:space="preserve">Функції в частині здійснення державного контролю та нагляду за додержанням вимог </w:t>
      </w:r>
      <w:proofErr w:type="spellStart"/>
      <w:r w:rsidRPr="008D47FE">
        <w:rPr>
          <w:rFonts w:ascii="Times New Roman" w:hAnsi="Times New Roman" w:cs="Times New Roman"/>
          <w:sz w:val="28"/>
          <w:szCs w:val="28"/>
        </w:rPr>
        <w:t>акта</w:t>
      </w:r>
      <w:proofErr w:type="spellEnd"/>
      <w:r w:rsidRPr="008D47FE">
        <w:rPr>
          <w:rFonts w:ascii="Times New Roman" w:hAnsi="Times New Roman" w:cs="Times New Roman"/>
          <w:sz w:val="28"/>
          <w:szCs w:val="28"/>
        </w:rPr>
        <w:t xml:space="preserve"> будуть здійснюватися державними органами, яким, відповідно до законодавства, надані такі повноваження.</w:t>
      </w:r>
    </w:p>
    <w:p w14:paraId="4E857C7B" w14:textId="77777777" w:rsidR="008C7B70" w:rsidRDefault="008C7B70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1BD60E5F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7DF20443" w14:textId="77777777" w:rsidR="00DC4DC3" w:rsidRDefault="00EB00B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VI. Обґрунтування запропонованого строку дії регуляторного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акта</w:t>
      </w:r>
      <w:proofErr w:type="spellEnd"/>
    </w:p>
    <w:p w14:paraId="489A6F8E" w14:textId="77777777" w:rsidR="00DC4DC3" w:rsidRDefault="00DC4DC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7B6861B" w14:textId="77777777" w:rsidR="00DC4DC3" w:rsidRDefault="00EB00B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Строк дії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необмежений. Він може бути змінений у разі внесення відповідних змін до законодавства.</w:t>
      </w:r>
    </w:p>
    <w:p w14:paraId="6043ACBF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F470DA8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VII. Визначення показників результативності дії регуляторного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акта</w:t>
      </w:r>
      <w:proofErr w:type="spellEnd"/>
    </w:p>
    <w:p w14:paraId="03E39996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D87C1C5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Після набрання чинності постановою НКРЕКП «Про затвердження Змін до деяких постанов НКРЕКП» її результативність визначатиметься такими показниками:</w:t>
      </w:r>
    </w:p>
    <w:p w14:paraId="6C2177D5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1) розміром надходжень до Державного та/або місцевих бюджетів України – реалізація проєкту регуляторного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потребує витрат із Державного бюджету України, надходження до Державного бюджету України у зв’язку з прийняттям регуляторного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передбачаються; </w:t>
      </w:r>
    </w:p>
    <w:p w14:paraId="5AFF1B57" w14:textId="53FC37F3" w:rsidR="00DC4DC3" w:rsidRDefault="00EB00B6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2) кількістю суб’єктів господарювання та/або фізичних осіб, на яких поширюватиметься дія регуляторного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дія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поширюватиметься на </w:t>
      </w:r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оператора </w:t>
      </w:r>
      <w:r w:rsidR="008C7B70" w:rsidRPr="008D47FE">
        <w:rPr>
          <w:rFonts w:ascii="Times New Roman" w:hAnsi="Times New Roman" w:cs="Times New Roman"/>
          <w:sz w:val="28"/>
          <w:szCs w:val="28"/>
        </w:rPr>
        <w:t>газосховищ та замовників послуг зберігання (закачування, відбору) природного газу</w:t>
      </w:r>
      <w:r w:rsidRPr="008D47FE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07C8C747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3) рівнем поінформованості суб’єктів господарювання з основних положень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рівень поінформованості середній. </w:t>
      </w:r>
    </w:p>
    <w:p w14:paraId="3C91AD22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Відповідно до частини другої статті 15 Закону України «Про Національну комісію, що здійснює державне регулювання у сферах енергетики та комунальних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послуг» проєкт постанови НКРЕКП «Про затвердження Змін до деяких постанов НКРЕКП», аналіз впливу та повідомлення про оприлюднення розміщено на офіційному вебсайті НКРЕКП в мережі Інтернет </w:t>
      </w:r>
      <w:hyperlink r:id="rId8">
        <w:r>
          <w:rPr>
            <w:rFonts w:ascii="Times New Roman" w:eastAsia="Times New Roman" w:hAnsi="Times New Roman" w:cs="Times New Roman"/>
            <w:color w:val="000000"/>
            <w:sz w:val="28"/>
            <w:szCs w:val="28"/>
            <w:u w:val="single"/>
          </w:rPr>
          <w:t>www.nerc.gov.ua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 метою одержання зауважень і пропозицій від інших органів державної влади, фізичних та юридичних осіб, їх об'єднань та інших заінтересованих осіб.</w:t>
      </w:r>
    </w:p>
    <w:p w14:paraId="3BABCFFD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НКРЕКП у межах компетенції надає необхідні роз’яснення щодо норм проєкту регуляторного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і надаватиме роз’яснення щодо застосування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після його прийняття.</w:t>
      </w:r>
    </w:p>
    <w:p w14:paraId="4956E032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21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4E3BC5A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VIII. Очікувані результати прийняття регуляторного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акта</w:t>
      </w:r>
      <w:proofErr w:type="spellEnd"/>
    </w:p>
    <w:p w14:paraId="4FBD8889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52BC052" w14:textId="0C3F9BF8" w:rsidR="00DC4DC3" w:rsidRPr="000F349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Очікуваним результатом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прийняття постанови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НКРЕКП «Про затвердження Змін до деяких постанов НКРЕКП</w:t>
      </w:r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8C7B70" w:rsidRPr="008D47FE">
        <w:rPr>
          <w:rFonts w:ascii="Times New Roman" w:hAnsi="Times New Roman" w:cs="Times New Roman"/>
          <w:sz w:val="28"/>
          <w:szCs w:val="28"/>
        </w:rPr>
        <w:t xml:space="preserve">є підвищення ефективності виконання НКРЕКП завдань державного регулювання шляхом удосконалення окремих положень </w:t>
      </w:r>
      <w:r w:rsidR="000F3493" w:rsidRPr="008D47FE">
        <w:rPr>
          <w:rFonts w:ascii="Times New Roman" w:eastAsia="Times New Roman" w:hAnsi="Times New Roman" w:cs="Times New Roman"/>
          <w:sz w:val="28"/>
          <w:szCs w:val="28"/>
        </w:rPr>
        <w:t xml:space="preserve">Кодексу газосховищ та Типового договору </w:t>
      </w:r>
      <w:r w:rsidR="000F3493">
        <w:rPr>
          <w:rFonts w:ascii="Times New Roman" w:eastAsia="Times New Roman" w:hAnsi="Times New Roman" w:cs="Times New Roman"/>
          <w:color w:val="000000"/>
          <w:sz w:val="28"/>
          <w:szCs w:val="28"/>
        </w:rPr>
        <w:t>зберігання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у частині:</w:t>
      </w:r>
      <w:r w:rsidR="000F34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14:paraId="6A7DC761" w14:textId="77777777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підвищення гнучкості використання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потужностей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газосховищ шляхом розширення можливості отримання замовниками послуг зберігання доступу до потужності газосховищ на переривчастій основі, а також наділення замовників послуг зберігання правом на передачу права користування потужністю, яка була йому розподілена на базовий сезон відбору, базовий сезон закачування та на місяць, іншому замовнику;</w:t>
      </w:r>
    </w:p>
    <w:p w14:paraId="7656B9EA" w14:textId="6FB9EEAA" w:rsidR="00DC4DC3" w:rsidRPr="008D47FE" w:rsidRDefault="000B5312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у</w:t>
      </w:r>
      <w:proofErr w:type="spellStart"/>
      <w:r w:rsidR="00EB00B6" w:rsidRPr="008D47FE">
        <w:rPr>
          <w:rFonts w:ascii="Times New Roman" w:eastAsia="Times New Roman" w:hAnsi="Times New Roman" w:cs="Times New Roman"/>
          <w:sz w:val="28"/>
          <w:szCs w:val="28"/>
        </w:rPr>
        <w:t>досконалення</w:t>
      </w:r>
      <w:proofErr w:type="spellEnd"/>
      <w:r w:rsidR="00EB00B6" w:rsidRPr="008D47FE">
        <w:rPr>
          <w:rFonts w:ascii="Times New Roman" w:eastAsia="Times New Roman" w:hAnsi="Times New Roman" w:cs="Times New Roman"/>
          <w:sz w:val="28"/>
          <w:szCs w:val="28"/>
        </w:rPr>
        <w:t xml:space="preserve"> порядку обліку залишків природного газу в газосховищах та подальшого оформлення договірних відносин шляхом продовження строку дії договору зберігання у випадку, якщо на дату закінчення строку дії договору зберігання у замовника послуг обліковується залишок природного газу;</w:t>
      </w:r>
    </w:p>
    <w:p w14:paraId="78273280" w14:textId="4CF51441" w:rsidR="00DC4DC3" w:rsidRDefault="00EB00B6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визначення вимоги щодо одностороннього оформлення </w:t>
      </w:r>
      <w:r w:rsidR="000B5312" w:rsidRPr="008D47FE">
        <w:rPr>
          <w:rFonts w:ascii="Times New Roman" w:eastAsia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8D47FE">
        <w:rPr>
          <w:rFonts w:ascii="Times New Roman" w:eastAsia="Times New Roman" w:hAnsi="Times New Roman" w:cs="Times New Roman"/>
          <w:sz w:val="28"/>
          <w:szCs w:val="28"/>
        </w:rPr>
        <w:t>ператором</w:t>
      </w:r>
      <w:proofErr w:type="spellEnd"/>
      <w:r w:rsidRPr="008D47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газосховищ актів наданих послуг на підставі договору зберігання (закачування, відбору) природного газу.</w:t>
      </w:r>
    </w:p>
    <w:p w14:paraId="12C9594E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spacing w:line="21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173C21A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</w:rPr>
      </w:pPr>
    </w:p>
    <w:p w14:paraId="60EA4532" w14:textId="77777777" w:rsidR="00DC4DC3" w:rsidRDefault="00DC4DC3">
      <w:pPr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</w:rPr>
      </w:pPr>
    </w:p>
    <w:p w14:paraId="166D82A2" w14:textId="2E72883D" w:rsidR="00DC4DC3" w:rsidRDefault="00EB00B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Голова НКРЕКП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  <w:t xml:space="preserve">                Юрій ВЛАСЕНКО</w:t>
      </w:r>
    </w:p>
    <w:sectPr w:rsidR="00DC4DC3">
      <w:footerReference w:type="even" r:id="rId9"/>
      <w:footerReference w:type="default" r:id="rId10"/>
      <w:pgSz w:w="11906" w:h="16838"/>
      <w:pgMar w:top="1134" w:right="707" w:bottom="1560" w:left="1134" w:header="709" w:footer="341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785406" w14:textId="77777777" w:rsidR="00DD5959" w:rsidRDefault="00DD5959">
      <w:r>
        <w:separator/>
      </w:r>
    </w:p>
  </w:endnote>
  <w:endnote w:type="continuationSeparator" w:id="0">
    <w:p w14:paraId="2E910864" w14:textId="77777777" w:rsidR="00DD5959" w:rsidRDefault="00DD59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093CCAF4-D33D-445B-B41A-D3AFA2010AD5}"/>
    <w:embedBold r:id="rId2" w:fontKey="{B3383D12-7DD6-45FC-A076-55F040269276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F10A2AFB-7D3A-4105-B76E-E2A48A4D8C4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9D293E21-4F02-47A6-B822-E99131758C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2A6D6" w14:textId="77777777" w:rsidR="00DC4DC3" w:rsidRDefault="00EB00B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160" w:line="259" w:lineRule="auto"/>
      <w:jc w:val="right"/>
      <w:rPr>
        <w:color w:val="000000"/>
        <w:sz w:val="22"/>
        <w:szCs w:val="22"/>
      </w:rPr>
    </w:pPr>
    <w:r>
      <w:rPr>
        <w:color w:val="000000"/>
        <w:sz w:val="22"/>
        <w:szCs w:val="22"/>
      </w:rPr>
      <w:fldChar w:fldCharType="begin"/>
    </w:r>
    <w:r>
      <w:rPr>
        <w:color w:val="000000"/>
        <w:sz w:val="22"/>
        <w:szCs w:val="22"/>
      </w:rPr>
      <w:instrText>PAGE</w:instrText>
    </w:r>
    <w:r>
      <w:rPr>
        <w:color w:val="000000"/>
        <w:sz w:val="22"/>
        <w:szCs w:val="22"/>
      </w:rPr>
      <w:fldChar w:fldCharType="end"/>
    </w:r>
  </w:p>
  <w:p w14:paraId="02076545" w14:textId="77777777" w:rsidR="00DC4DC3" w:rsidRDefault="00DC4DC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160" w:line="259" w:lineRule="auto"/>
      <w:ind w:right="360"/>
      <w:rPr>
        <w:color w:val="000000"/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8FA9DD" w14:textId="1E9FE3F0" w:rsidR="00DC4DC3" w:rsidRDefault="00EB00B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160" w:line="259" w:lineRule="auto"/>
      <w:jc w:val="right"/>
      <w:rPr>
        <w:color w:val="000000"/>
        <w:sz w:val="22"/>
        <w:szCs w:val="22"/>
      </w:rPr>
    </w:pPr>
    <w:r>
      <w:rPr>
        <w:color w:val="000000"/>
        <w:sz w:val="22"/>
        <w:szCs w:val="22"/>
      </w:rPr>
      <w:fldChar w:fldCharType="begin"/>
    </w:r>
    <w:r>
      <w:rPr>
        <w:color w:val="000000"/>
        <w:sz w:val="22"/>
        <w:szCs w:val="22"/>
      </w:rPr>
      <w:instrText>PAGE</w:instrText>
    </w:r>
    <w:r>
      <w:rPr>
        <w:color w:val="000000"/>
        <w:sz w:val="22"/>
        <w:szCs w:val="22"/>
      </w:rPr>
      <w:fldChar w:fldCharType="separate"/>
    </w:r>
    <w:r w:rsidR="000B5312">
      <w:rPr>
        <w:noProof/>
        <w:color w:val="000000"/>
        <w:sz w:val="22"/>
        <w:szCs w:val="22"/>
      </w:rPr>
      <w:t>8</w:t>
    </w:r>
    <w:r>
      <w:rPr>
        <w:color w:val="000000"/>
        <w:sz w:val="22"/>
        <w:szCs w:val="22"/>
      </w:rPr>
      <w:fldChar w:fldCharType="end"/>
    </w:r>
  </w:p>
  <w:p w14:paraId="56745495" w14:textId="77777777" w:rsidR="00DC4DC3" w:rsidRDefault="00DC4DC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160" w:line="259" w:lineRule="auto"/>
      <w:ind w:right="360"/>
      <w:rPr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2FEF7" w14:textId="77777777" w:rsidR="00DD5959" w:rsidRDefault="00DD5959">
      <w:r>
        <w:separator/>
      </w:r>
    </w:p>
  </w:footnote>
  <w:footnote w:type="continuationSeparator" w:id="0">
    <w:p w14:paraId="4CA22477" w14:textId="77777777" w:rsidR="00DD5959" w:rsidRDefault="00DD595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6A1F02"/>
    <w:multiLevelType w:val="multilevel"/>
    <w:tmpl w:val="6CB4C0D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2282699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4DC3"/>
    <w:rsid w:val="000B5312"/>
    <w:rsid w:val="000E2546"/>
    <w:rsid w:val="000F3493"/>
    <w:rsid w:val="001613BB"/>
    <w:rsid w:val="00181142"/>
    <w:rsid w:val="00360C0B"/>
    <w:rsid w:val="005814EA"/>
    <w:rsid w:val="0077607E"/>
    <w:rsid w:val="008C7B70"/>
    <w:rsid w:val="008D47FE"/>
    <w:rsid w:val="00D92D56"/>
    <w:rsid w:val="00DC4DC3"/>
    <w:rsid w:val="00DD5959"/>
    <w:rsid w:val="00EB0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3C8EC3"/>
  <w15:docId w15:val="{5D1AD364-CF84-462E-A4DB-F6B120581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uk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erc.gov.ua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1A4DED-22AE-494B-ACF0-BD931C508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11062</Words>
  <Characters>6306</Characters>
  <Application>Microsoft Office Word</Application>
  <DocSecurity>0</DocSecurity>
  <Lines>52</Lines>
  <Paragraphs>34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Тетяна Попелиш</dc:creator>
  <cp:lastModifiedBy>Володимир Отрощенко</cp:lastModifiedBy>
  <cp:revision>2</cp:revision>
  <cp:lastPrinted>2026-09-09T06:43:00Z</cp:lastPrinted>
  <dcterms:created xsi:type="dcterms:W3CDTF">2026-09-09T07:00:00Z</dcterms:created>
  <dcterms:modified xsi:type="dcterms:W3CDTF">2026-09-09T07:00:00Z</dcterms:modified>
</cp:coreProperties>
</file>