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3F4B" w14:textId="21F829A9" w:rsidR="00403DD5" w:rsidRPr="00A02646" w:rsidRDefault="00403DD5" w:rsidP="00403DD5">
      <w:pPr>
        <w:keepNext/>
        <w:suppressAutoHyphens/>
        <w:spacing w:after="0" w:line="240" w:lineRule="auto"/>
        <w:ind w:firstLine="567"/>
        <w:jc w:val="center"/>
        <w:rPr>
          <w:rFonts w:ascii="Times New Roman" w:eastAsia="Times New Roman" w:hAnsi="Times New Roman" w:cs="Times New Roman"/>
          <w:b/>
          <w:sz w:val="28"/>
          <w:szCs w:val="24"/>
          <w:lang w:eastAsia="uk-UA"/>
        </w:rPr>
      </w:pPr>
      <w:r w:rsidRPr="00A02646">
        <w:rPr>
          <w:rFonts w:ascii="Times New Roman" w:eastAsia="Times New Roman" w:hAnsi="Times New Roman" w:cs="Times New Roman"/>
          <w:b/>
          <w:sz w:val="28"/>
          <w:szCs w:val="24"/>
          <w:lang w:eastAsia="uk-UA"/>
        </w:rPr>
        <w:t>ПОРІВНЯЛЬНА ТАБЛИЦЯ</w:t>
      </w:r>
    </w:p>
    <w:p w14:paraId="136909CC" w14:textId="422B0445" w:rsidR="00403DD5" w:rsidRPr="00A02646" w:rsidRDefault="00403DD5" w:rsidP="00403DD5">
      <w:pPr>
        <w:spacing w:after="0" w:line="240" w:lineRule="auto"/>
        <w:jc w:val="center"/>
        <w:rPr>
          <w:rFonts w:ascii="Times New Roman" w:eastAsia="Times New Roman" w:hAnsi="Times New Roman" w:cs="Times New Roman"/>
          <w:b/>
          <w:sz w:val="28"/>
          <w:szCs w:val="24"/>
          <w:lang w:eastAsia="uk-UA"/>
        </w:rPr>
      </w:pPr>
      <w:proofErr w:type="spellStart"/>
      <w:r w:rsidRPr="00A02646">
        <w:rPr>
          <w:rFonts w:ascii="Times New Roman" w:eastAsia="Times New Roman" w:hAnsi="Times New Roman" w:cs="Times New Roman"/>
          <w:b/>
          <w:sz w:val="28"/>
          <w:szCs w:val="24"/>
          <w:lang w:eastAsia="uk-UA"/>
        </w:rPr>
        <w:t>проєкту</w:t>
      </w:r>
      <w:proofErr w:type="spellEnd"/>
      <w:r w:rsidRPr="00A02646">
        <w:rPr>
          <w:rFonts w:ascii="Times New Roman" w:eastAsia="Times New Roman" w:hAnsi="Times New Roman" w:cs="Times New Roman"/>
          <w:b/>
          <w:sz w:val="28"/>
          <w:szCs w:val="24"/>
          <w:lang w:eastAsia="uk-UA"/>
        </w:rPr>
        <w:t xml:space="preserve"> рішення НКРЕКП, що має ознаки регуляторного </w:t>
      </w:r>
      <w:proofErr w:type="spellStart"/>
      <w:r w:rsidRPr="00A02646">
        <w:rPr>
          <w:rFonts w:ascii="Times New Roman" w:eastAsia="Times New Roman" w:hAnsi="Times New Roman" w:cs="Times New Roman"/>
          <w:b/>
          <w:sz w:val="28"/>
          <w:szCs w:val="24"/>
          <w:lang w:eastAsia="uk-UA"/>
        </w:rPr>
        <w:t>акта</w:t>
      </w:r>
      <w:proofErr w:type="spellEnd"/>
      <w:r w:rsidRPr="00A02646">
        <w:rPr>
          <w:rFonts w:ascii="Times New Roman" w:eastAsia="Times New Roman" w:hAnsi="Times New Roman" w:cs="Times New Roman"/>
          <w:b/>
          <w:sz w:val="28"/>
          <w:szCs w:val="24"/>
          <w:lang w:eastAsia="uk-UA"/>
        </w:rPr>
        <w:t>, – постанови НКРЕКП «Про затвердження Змін до Правил ринку»</w:t>
      </w:r>
    </w:p>
    <w:p w14:paraId="074F9F37" w14:textId="77777777" w:rsidR="00403DD5" w:rsidRPr="000C509D" w:rsidRDefault="00403DD5" w:rsidP="00403DD5">
      <w:pPr>
        <w:spacing w:after="0" w:line="240" w:lineRule="auto"/>
        <w:jc w:val="center"/>
        <w:rPr>
          <w:rFonts w:ascii="Times New Roman" w:hAnsi="Times New Roman" w:cs="Times New Roman"/>
          <w:b/>
          <w:bCs/>
        </w:rPr>
      </w:pPr>
    </w:p>
    <w:tbl>
      <w:tblPr>
        <w:tblStyle w:val="ae"/>
        <w:tblW w:w="5000" w:type="pct"/>
        <w:tblLayout w:type="fixed"/>
        <w:tblLook w:val="04A0" w:firstRow="1" w:lastRow="0" w:firstColumn="1" w:lastColumn="0" w:noHBand="0" w:noVBand="1"/>
      </w:tblPr>
      <w:tblGrid>
        <w:gridCol w:w="7563"/>
        <w:gridCol w:w="7563"/>
      </w:tblGrid>
      <w:tr w:rsidR="00A02646" w:rsidRPr="00A02646" w14:paraId="49A23BD7" w14:textId="68E4ACBE" w:rsidTr="00A02646">
        <w:tc>
          <w:tcPr>
            <w:tcW w:w="7371" w:type="dxa"/>
          </w:tcPr>
          <w:p w14:paraId="7C0D30E3" w14:textId="1EF58A8B" w:rsidR="00A02646" w:rsidRPr="00A02646" w:rsidRDefault="00A02646" w:rsidP="00FA0821">
            <w:pPr>
              <w:widowControl w:val="0"/>
              <w:spacing w:before="60" w:after="0" w:line="240" w:lineRule="auto"/>
              <w:ind w:firstLine="313"/>
              <w:jc w:val="center"/>
              <w:rPr>
                <w:rFonts w:ascii="Times New Roman" w:hAnsi="Times New Roman" w:cs="Times New Roman"/>
                <w:b/>
                <w:bCs/>
                <w:sz w:val="24"/>
                <w:szCs w:val="24"/>
              </w:rPr>
            </w:pPr>
            <w:r w:rsidRPr="00A02646">
              <w:rPr>
                <w:rFonts w:ascii="Times New Roman" w:hAnsi="Times New Roman" w:cs="Times New Roman"/>
                <w:b/>
                <w:bCs/>
                <w:sz w:val="24"/>
                <w:szCs w:val="24"/>
              </w:rPr>
              <w:t>Чинна редакція Правил ринку</w:t>
            </w:r>
          </w:p>
        </w:tc>
        <w:tc>
          <w:tcPr>
            <w:tcW w:w="7371" w:type="dxa"/>
          </w:tcPr>
          <w:p w14:paraId="27C3EC76" w14:textId="242AAC0D" w:rsidR="00A02646" w:rsidRPr="00A02646" w:rsidRDefault="00A02646" w:rsidP="00FA0821">
            <w:pPr>
              <w:widowControl w:val="0"/>
              <w:spacing w:before="60" w:after="0" w:line="240" w:lineRule="auto"/>
              <w:ind w:firstLine="313"/>
              <w:jc w:val="center"/>
              <w:rPr>
                <w:rFonts w:ascii="Times New Roman" w:hAnsi="Times New Roman" w:cs="Times New Roman"/>
                <w:b/>
                <w:bCs/>
                <w:sz w:val="24"/>
                <w:szCs w:val="24"/>
              </w:rPr>
            </w:pPr>
            <w:r w:rsidRPr="00A02646">
              <w:rPr>
                <w:rFonts w:ascii="Times New Roman" w:hAnsi="Times New Roman" w:cs="Times New Roman"/>
                <w:b/>
                <w:bCs/>
                <w:sz w:val="24"/>
                <w:szCs w:val="24"/>
              </w:rPr>
              <w:t xml:space="preserve">Редакція </w:t>
            </w:r>
            <w:proofErr w:type="spellStart"/>
            <w:r w:rsidRPr="00A02646">
              <w:rPr>
                <w:rFonts w:ascii="Times New Roman" w:hAnsi="Times New Roman" w:cs="Times New Roman"/>
                <w:b/>
                <w:bCs/>
                <w:sz w:val="24"/>
                <w:szCs w:val="24"/>
              </w:rPr>
              <w:t>проєкту</w:t>
            </w:r>
            <w:proofErr w:type="spellEnd"/>
            <w:r w:rsidRPr="00A02646">
              <w:rPr>
                <w:rFonts w:ascii="Times New Roman" w:hAnsi="Times New Roman" w:cs="Times New Roman"/>
                <w:b/>
                <w:bCs/>
                <w:sz w:val="24"/>
                <w:szCs w:val="24"/>
              </w:rPr>
              <w:t xml:space="preserve"> рішення</w:t>
            </w:r>
          </w:p>
        </w:tc>
      </w:tr>
      <w:tr w:rsidR="00A02646" w:rsidRPr="00A02646" w14:paraId="2DB37B4B" w14:textId="77777777" w:rsidTr="00A02646">
        <w:tc>
          <w:tcPr>
            <w:tcW w:w="7371" w:type="dxa"/>
          </w:tcPr>
          <w:p w14:paraId="7EF0F0B7" w14:textId="2BE8C96D" w:rsidR="00A02646" w:rsidRPr="00A02646" w:rsidRDefault="00A02646" w:rsidP="00A02646">
            <w:pPr>
              <w:widowControl w:val="0"/>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
                <w:bCs/>
                <w:sz w:val="24"/>
                <w:szCs w:val="24"/>
              </w:rPr>
              <w:t>4.13. Наслідки неподання пропозицій на балансуючу електричну енергію</w:t>
            </w:r>
          </w:p>
        </w:tc>
        <w:tc>
          <w:tcPr>
            <w:tcW w:w="7371" w:type="dxa"/>
          </w:tcPr>
          <w:p w14:paraId="1712221D" w14:textId="380665D1" w:rsidR="00A02646" w:rsidRPr="00A02646" w:rsidRDefault="00A02646" w:rsidP="00A02646">
            <w:pPr>
              <w:widowControl w:val="0"/>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
                <w:bCs/>
                <w:sz w:val="24"/>
                <w:szCs w:val="24"/>
              </w:rPr>
              <w:t>4.13. Наслідки неподання пропозицій на балансуючу електричну енергію</w:t>
            </w:r>
          </w:p>
        </w:tc>
      </w:tr>
      <w:tr w:rsidR="00A02646" w:rsidRPr="00A02646" w14:paraId="643ED490" w14:textId="77777777" w:rsidTr="00A02646">
        <w:tc>
          <w:tcPr>
            <w:tcW w:w="7371" w:type="dxa"/>
          </w:tcPr>
          <w:p w14:paraId="2DC4710A" w14:textId="4DEB8649" w:rsidR="00A02646" w:rsidRPr="00A02646" w:rsidRDefault="00A02646" w:rsidP="00A02646">
            <w:pPr>
              <w:widowControl w:val="0"/>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Cs/>
                <w:sz w:val="24"/>
                <w:szCs w:val="24"/>
              </w:rPr>
              <w:t>4.13.1. Якщо ППБ, який зобов'язаний подавати пропозиції на балансуючу електричну енергію, не подав такі пропозиції для розрахункового періоду, ОСП (у якості АР) нараховує такому ППБ плату за невідповідність за відповідний розрахунковий період згідно з главою 5.22 розділу V цих Правил.</w:t>
            </w:r>
          </w:p>
        </w:tc>
        <w:tc>
          <w:tcPr>
            <w:tcW w:w="7371" w:type="dxa"/>
          </w:tcPr>
          <w:p w14:paraId="559F885A" w14:textId="06A09B5C" w:rsidR="00A02646" w:rsidRPr="00A02646" w:rsidRDefault="00A02646" w:rsidP="00A02646">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r w:rsidRPr="00A02646">
              <w:rPr>
                <w:rFonts w:ascii="Times New Roman" w:hAnsi="Times New Roman" w:cs="Times New Roman"/>
                <w:bCs/>
                <w:strike/>
                <w:color w:val="auto"/>
                <w:sz w:val="24"/>
                <w:szCs w:val="24"/>
              </w:rPr>
              <w:t>4.13.1. Якщо ППБ, який зобов'язаний подавати пропозиції на балансуючу електричну енергію, не подав такі пропозиції для розрахункового періоду, ОСП (у якості АР) нараховує такому ППБ плату за невідповідність за відповідний розрахунковий період згідно з главою 5.22 розділу V цих Правил.</w:t>
            </w:r>
          </w:p>
        </w:tc>
      </w:tr>
      <w:tr w:rsidR="00A02646" w:rsidRPr="00A02646" w14:paraId="408E5208" w14:textId="77777777" w:rsidTr="00A02646">
        <w:tc>
          <w:tcPr>
            <w:tcW w:w="7371" w:type="dxa"/>
          </w:tcPr>
          <w:p w14:paraId="0756E6BE" w14:textId="1481AD8C"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4.13.2. У такому випадку система управління ринком повинна автоматично створити пропозиції на балансуючу електричну енергію (що маркуються як створені системою управління ринком) для кожного відповідного ППБ і для кожного розрахункового періоду із зазначенням ціни та обсягу пропозиції, розрахованих таким чином:</w:t>
            </w:r>
          </w:p>
          <w:p w14:paraId="18C2A7E7" w14:textId="115567F4"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1) якщо одиниця надання послуг з балансування є одиницею відпуску, ціна пропозиції повинна дорівнювати найнижчій (на завантаження) чи найвищій (на розвантаження) ціні для такого самого розрахункового періоду та тієї самої одиниці відпуску за останні 7 днів для обох напрямів балансуючої електричної енергії;</w:t>
            </w:r>
          </w:p>
          <w:p w14:paraId="40A63E09" w14:textId="32E71BDF"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 xml:space="preserve">2) якщо ППБ є </w:t>
            </w:r>
            <w:proofErr w:type="spellStart"/>
            <w:r w:rsidRPr="00A02646">
              <w:rPr>
                <w:rFonts w:ascii="Times New Roman" w:hAnsi="Times New Roman" w:cs="Times New Roman"/>
                <w:bCs/>
                <w:sz w:val="24"/>
                <w:szCs w:val="24"/>
              </w:rPr>
              <w:t>диспетчеризованим</w:t>
            </w:r>
            <w:proofErr w:type="spellEnd"/>
            <w:r w:rsidRPr="00A02646">
              <w:rPr>
                <w:rFonts w:ascii="Times New Roman" w:hAnsi="Times New Roman" w:cs="Times New Roman"/>
                <w:bCs/>
                <w:sz w:val="24"/>
                <w:szCs w:val="24"/>
              </w:rPr>
              <w:t xml:space="preserve"> навантаженням з прийнятими пропозиціями резерву, ціна пропозиції повинна дорівнювати найнижчій ціні для того самого розрахункового періоду за останні 7 днів останньої схваленої пропозиції на балансуючу електричну енергію (поданій на той самий розрахунковий період попереднього торгового дня);</w:t>
            </w:r>
          </w:p>
          <w:p w14:paraId="4B68B539" w14:textId="6724FEF2"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3) обсяг пропозиції повинен відповідати обсягу, зазначеному цим ППБ у заявленій характеристиці;</w:t>
            </w:r>
          </w:p>
          <w:p w14:paraId="596D796B" w14:textId="06101AF7"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 xml:space="preserve">4) якщо ППБ є генеруючою одиницею ВДЕ, система управління ринком створює пропозиції на балансуючу електричну енергію для </w:t>
            </w:r>
            <w:r w:rsidRPr="00A02646">
              <w:rPr>
                <w:rFonts w:ascii="Times New Roman" w:hAnsi="Times New Roman" w:cs="Times New Roman"/>
                <w:bCs/>
                <w:sz w:val="24"/>
                <w:szCs w:val="24"/>
              </w:rPr>
              <w:lastRenderedPageBreak/>
              <w:t>таких генеруючих одиниць, якщо існує зобов'язання для такої одиниці подавати пропозиції на балансуючу електричну енергію через замовлені в неї резерви.</w:t>
            </w:r>
          </w:p>
        </w:tc>
        <w:tc>
          <w:tcPr>
            <w:tcW w:w="7371" w:type="dxa"/>
          </w:tcPr>
          <w:p w14:paraId="28450530" w14:textId="0DFD20A1" w:rsidR="00A02646" w:rsidRPr="00A02646" w:rsidRDefault="00A02646" w:rsidP="00A02646">
            <w:pPr>
              <w:spacing w:before="60" w:after="0" w:line="240" w:lineRule="auto"/>
              <w:ind w:firstLine="313"/>
              <w:jc w:val="both"/>
              <w:rPr>
                <w:rFonts w:ascii="Times New Roman" w:hAnsi="Times New Roman" w:cs="Times New Roman"/>
                <w:b/>
                <w:bCs/>
                <w:sz w:val="24"/>
                <w:szCs w:val="24"/>
              </w:rPr>
            </w:pPr>
            <w:bookmarkStart w:id="0" w:name="_Hlk236048025"/>
            <w:r w:rsidRPr="00A02646">
              <w:rPr>
                <w:rFonts w:ascii="Times New Roman" w:hAnsi="Times New Roman" w:cs="Times New Roman"/>
                <w:b/>
                <w:bCs/>
                <w:sz w:val="24"/>
                <w:szCs w:val="24"/>
              </w:rPr>
              <w:lastRenderedPageBreak/>
              <w:t>4.13.1. У випадку зміни обсягу відпуску/відбору одиниці надання послуг з балансування ППБ за командою диспетчера при відсутності заявки на балансуючу електричну енергію щодо цієї одиниці надання послуг з балансування, нарахування/списання коштів за активовану балансуючу електричну енергію одиниці надання послуг з балансування у торговій зоні за розрахунковий період обчислюється</w:t>
            </w:r>
            <w:r w:rsidRPr="00A02646">
              <w:rPr>
                <w:rFonts w:ascii="Times New Roman" w:hAnsi="Times New Roman" w:cs="Times New Roman"/>
                <w:b/>
                <w:sz w:val="24"/>
                <w:szCs w:val="24"/>
              </w:rPr>
              <w:t xml:space="preserve"> </w:t>
            </w:r>
            <w:r w:rsidRPr="00A02646">
              <w:rPr>
                <w:rFonts w:ascii="Times New Roman" w:hAnsi="Times New Roman" w:cs="Times New Roman"/>
                <w:b/>
                <w:bCs/>
                <w:sz w:val="24"/>
                <w:szCs w:val="24"/>
              </w:rPr>
              <w:t>за такими цінами:</w:t>
            </w:r>
          </w:p>
          <w:p w14:paraId="42D98C2A" w14:textId="462BC7E6" w:rsidR="00A02646" w:rsidRPr="00A02646" w:rsidRDefault="00A02646" w:rsidP="00A02646">
            <w:pPr>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
                <w:bCs/>
                <w:sz w:val="24"/>
                <w:szCs w:val="24"/>
              </w:rPr>
              <w:t xml:space="preserve">1) для ППБ, які відповідно до розділу </w:t>
            </w:r>
            <w:r w:rsidRPr="00A02646">
              <w:rPr>
                <w:rFonts w:ascii="Times New Roman" w:hAnsi="Times New Roman" w:cs="Times New Roman"/>
                <w:b/>
                <w:bCs/>
                <w:sz w:val="24"/>
                <w:szCs w:val="24"/>
                <w:lang w:val="en-US"/>
              </w:rPr>
              <w:t>IV</w:t>
            </w:r>
            <w:r w:rsidRPr="00A02646">
              <w:rPr>
                <w:rFonts w:ascii="Times New Roman" w:hAnsi="Times New Roman" w:cs="Times New Roman"/>
                <w:b/>
                <w:bCs/>
                <w:sz w:val="24"/>
                <w:szCs w:val="24"/>
                <w:lang w:val="ru-RU"/>
              </w:rPr>
              <w:t xml:space="preserve"> </w:t>
            </w:r>
            <w:proofErr w:type="spellStart"/>
            <w:r w:rsidRPr="00A02646">
              <w:rPr>
                <w:rFonts w:ascii="Times New Roman" w:hAnsi="Times New Roman" w:cs="Times New Roman"/>
                <w:b/>
                <w:bCs/>
                <w:sz w:val="24"/>
                <w:szCs w:val="24"/>
                <w:lang w:val="ru-RU"/>
              </w:rPr>
              <w:t>цих</w:t>
            </w:r>
            <w:proofErr w:type="spellEnd"/>
            <w:r w:rsidRPr="00A02646">
              <w:rPr>
                <w:rFonts w:ascii="Times New Roman" w:hAnsi="Times New Roman" w:cs="Times New Roman"/>
                <w:b/>
                <w:bCs/>
                <w:sz w:val="24"/>
                <w:szCs w:val="24"/>
                <w:lang w:val="ru-RU"/>
              </w:rPr>
              <w:t xml:space="preserve"> Правил зобов</w:t>
            </w:r>
            <w:r w:rsidRPr="00A02646">
              <w:rPr>
                <w:rFonts w:ascii="Times New Roman" w:hAnsi="Times New Roman" w:cs="Times New Roman"/>
                <w:b/>
                <w:bCs/>
                <w:sz w:val="24"/>
                <w:szCs w:val="24"/>
              </w:rPr>
              <w:t>’</w:t>
            </w:r>
            <w:proofErr w:type="spellStart"/>
            <w:r w:rsidRPr="00A02646">
              <w:rPr>
                <w:rFonts w:ascii="Times New Roman" w:hAnsi="Times New Roman" w:cs="Times New Roman"/>
                <w:b/>
                <w:bCs/>
                <w:sz w:val="24"/>
                <w:szCs w:val="24"/>
              </w:rPr>
              <w:t>язані</w:t>
            </w:r>
            <w:proofErr w:type="spellEnd"/>
            <w:r w:rsidRPr="00A02646">
              <w:rPr>
                <w:rFonts w:ascii="Times New Roman" w:hAnsi="Times New Roman" w:cs="Times New Roman"/>
                <w:b/>
                <w:bCs/>
                <w:sz w:val="24"/>
                <w:szCs w:val="24"/>
              </w:rPr>
              <w:t xml:space="preserve"> подавати пропозиції (заявки) на балансуючу електричну енергію:</w:t>
            </w:r>
          </w:p>
          <w:p w14:paraId="34099956" w14:textId="41C1C534" w:rsidR="00A02646" w:rsidRPr="00A02646" w:rsidRDefault="00A02646" w:rsidP="00A02646">
            <w:pPr>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
                <w:bCs/>
                <w:sz w:val="24"/>
                <w:szCs w:val="24"/>
              </w:rPr>
              <w:t>для електричної енергії, відпущеної в результаті виконання команди диспетчера на розвантаження – за маржинальною ціною балансуючої електричної енергії на завантаження в зоні за розрахунковий період (</w:t>
            </w:r>
            <m:oMath>
              <m:sSubSup>
                <m:sSubSupPr>
                  <m:ctrlPr>
                    <w:rPr>
                      <w:rFonts w:ascii="Cambria Math" w:hAnsi="Cambria Math" w:cs="Times New Roman"/>
                      <w:b/>
                      <w:i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up</m:t>
                  </m:r>
                </m:sup>
              </m:sSubSup>
            </m:oMath>
            <w:r w:rsidRPr="00A02646">
              <w:rPr>
                <w:rFonts w:ascii="Times New Roman" w:hAnsi="Times New Roman" w:cs="Times New Roman"/>
                <w:b/>
                <w:bCs/>
                <w:sz w:val="24"/>
                <w:szCs w:val="24"/>
              </w:rPr>
              <w:t>);</w:t>
            </w:r>
          </w:p>
          <w:p w14:paraId="30E4BCF0" w14:textId="1FA4A911" w:rsidR="00A02646" w:rsidRPr="00A02646" w:rsidRDefault="00A02646" w:rsidP="00A02646">
            <w:pPr>
              <w:spacing w:before="60" w:after="0" w:line="240" w:lineRule="auto"/>
              <w:ind w:firstLine="313"/>
              <w:jc w:val="both"/>
              <w:rPr>
                <w:rFonts w:ascii="Times New Roman" w:eastAsiaTheme="minorEastAsia" w:hAnsi="Times New Roman" w:cs="Times New Roman"/>
                <w:b/>
                <w:sz w:val="24"/>
                <w:szCs w:val="24"/>
              </w:rPr>
            </w:pPr>
            <w:r w:rsidRPr="00A02646">
              <w:rPr>
                <w:rFonts w:ascii="Times New Roman" w:hAnsi="Times New Roman" w:cs="Times New Roman"/>
                <w:b/>
                <w:bCs/>
                <w:sz w:val="24"/>
                <w:szCs w:val="24"/>
              </w:rPr>
              <w:t xml:space="preserve">для електричної енергії, відпущеної в результаті виконання команди диспетчера на </w:t>
            </w:r>
            <w:r w:rsidRPr="00A02646">
              <w:rPr>
                <w:rFonts w:ascii="Times New Roman" w:hAnsi="Times New Roman" w:cs="Times New Roman"/>
                <w:b/>
                <w:bCs/>
                <w:sz w:val="24"/>
                <w:szCs w:val="24"/>
                <w14:ligatures w14:val="none"/>
              </w:rPr>
              <w:t xml:space="preserve">завантаження </w:t>
            </w:r>
            <w:r w:rsidRPr="00A02646">
              <w:rPr>
                <w:rFonts w:ascii="Times New Roman" w:hAnsi="Times New Roman" w:cs="Times New Roman"/>
                <w:b/>
                <w:bCs/>
                <w:sz w:val="24"/>
                <w:szCs w:val="24"/>
              </w:rPr>
              <w:t>– за маржинальною</w:t>
            </w:r>
            <w:r w:rsidRPr="00A02646">
              <w:rPr>
                <w:rFonts w:ascii="Times New Roman" w:hAnsi="Times New Roman" w:cs="Times New Roman"/>
                <w:b/>
                <w:sz w:val="24"/>
                <w:szCs w:val="24"/>
              </w:rPr>
              <w:t xml:space="preserve"> ціною балансуючої електричної енергії на розвантаження в зоні за розрахунковий період (</w:t>
            </w:r>
            <m:oMath>
              <m:sSubSup>
                <m:sSubSupPr>
                  <m:ctrlPr>
                    <w:rPr>
                      <w:rFonts w:ascii="Cambria Math" w:hAnsi="Cambria Math" w:cs="Times New Roman"/>
                      <w:b/>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dn</m:t>
                  </m:r>
                </m:sup>
              </m:sSubSup>
            </m:oMath>
            <w:r w:rsidRPr="00A02646">
              <w:rPr>
                <w:rFonts w:ascii="Times New Roman" w:eastAsiaTheme="minorEastAsia" w:hAnsi="Times New Roman" w:cs="Times New Roman"/>
                <w:b/>
                <w:sz w:val="24"/>
                <w:szCs w:val="24"/>
              </w:rPr>
              <w:t>)</w:t>
            </w:r>
            <w:bookmarkEnd w:id="0"/>
            <w:r w:rsidRPr="00A02646">
              <w:rPr>
                <w:rFonts w:ascii="Times New Roman" w:eastAsiaTheme="minorEastAsia" w:hAnsi="Times New Roman" w:cs="Times New Roman"/>
                <w:b/>
                <w:sz w:val="24"/>
                <w:szCs w:val="24"/>
              </w:rPr>
              <w:t>;</w:t>
            </w:r>
          </w:p>
          <w:p w14:paraId="3D599D3B" w14:textId="77777777" w:rsidR="00A02646" w:rsidRPr="00A02646" w:rsidRDefault="00A02646" w:rsidP="00A02646">
            <w:pPr>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
                <w:bCs/>
                <w:sz w:val="24"/>
                <w:szCs w:val="24"/>
              </w:rPr>
              <w:lastRenderedPageBreak/>
              <w:t xml:space="preserve">2) для ППБ, які відповідно до розділу </w:t>
            </w:r>
            <w:r w:rsidRPr="00A02646">
              <w:rPr>
                <w:rFonts w:ascii="Times New Roman" w:hAnsi="Times New Roman" w:cs="Times New Roman"/>
                <w:b/>
                <w:bCs/>
                <w:sz w:val="24"/>
                <w:szCs w:val="24"/>
                <w:lang w:val="en-US"/>
              </w:rPr>
              <w:t>IV</w:t>
            </w:r>
            <w:r w:rsidRPr="00A02646">
              <w:rPr>
                <w:rFonts w:ascii="Times New Roman" w:hAnsi="Times New Roman" w:cs="Times New Roman"/>
                <w:b/>
                <w:bCs/>
                <w:sz w:val="24"/>
                <w:szCs w:val="24"/>
                <w:lang w:val="ru-RU"/>
              </w:rPr>
              <w:t xml:space="preserve"> </w:t>
            </w:r>
            <w:proofErr w:type="spellStart"/>
            <w:r w:rsidRPr="00A02646">
              <w:rPr>
                <w:rFonts w:ascii="Times New Roman" w:hAnsi="Times New Roman" w:cs="Times New Roman"/>
                <w:b/>
                <w:bCs/>
                <w:sz w:val="24"/>
                <w:szCs w:val="24"/>
                <w:lang w:val="ru-RU"/>
              </w:rPr>
              <w:t>цих</w:t>
            </w:r>
            <w:proofErr w:type="spellEnd"/>
            <w:r w:rsidRPr="00A02646">
              <w:rPr>
                <w:rFonts w:ascii="Times New Roman" w:hAnsi="Times New Roman" w:cs="Times New Roman"/>
                <w:b/>
                <w:bCs/>
                <w:sz w:val="24"/>
                <w:szCs w:val="24"/>
                <w:lang w:val="ru-RU"/>
              </w:rPr>
              <w:t xml:space="preserve"> Правил не зобов</w:t>
            </w:r>
            <w:r w:rsidRPr="00A02646">
              <w:rPr>
                <w:rFonts w:ascii="Times New Roman" w:hAnsi="Times New Roman" w:cs="Times New Roman"/>
                <w:b/>
                <w:bCs/>
                <w:sz w:val="24"/>
                <w:szCs w:val="24"/>
              </w:rPr>
              <w:t>’</w:t>
            </w:r>
            <w:proofErr w:type="spellStart"/>
            <w:r w:rsidRPr="00A02646">
              <w:rPr>
                <w:rFonts w:ascii="Times New Roman" w:hAnsi="Times New Roman" w:cs="Times New Roman"/>
                <w:b/>
                <w:bCs/>
                <w:sz w:val="24"/>
                <w:szCs w:val="24"/>
              </w:rPr>
              <w:t>язані</w:t>
            </w:r>
            <w:proofErr w:type="spellEnd"/>
            <w:r w:rsidRPr="00A02646">
              <w:rPr>
                <w:rFonts w:ascii="Times New Roman" w:hAnsi="Times New Roman" w:cs="Times New Roman"/>
                <w:b/>
                <w:bCs/>
                <w:sz w:val="24"/>
                <w:szCs w:val="24"/>
              </w:rPr>
              <w:t xml:space="preserve"> подавати пропозиції (заявки) на балансуючу електричну енергію: </w:t>
            </w:r>
          </w:p>
          <w:p w14:paraId="31F1BDCC" w14:textId="049C0F98" w:rsidR="00A02646" w:rsidRPr="00A02646" w:rsidRDefault="00A02646" w:rsidP="00A02646">
            <w:pPr>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
                <w:bCs/>
                <w:sz w:val="24"/>
                <w:szCs w:val="24"/>
              </w:rPr>
              <w:t>для електричної енергії, відпущеної в результаті виконання команди диспетчера на завантаження – за маржинальною ціною балансуючої електричної енергії на завантаження в зоні за розрахунковий період (</w:t>
            </w:r>
            <m:oMath>
              <m:sSubSup>
                <m:sSubSupPr>
                  <m:ctrlPr>
                    <w:rPr>
                      <w:rFonts w:ascii="Cambria Math" w:hAnsi="Cambria Math" w:cs="Times New Roman"/>
                      <w:b/>
                      <w:i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up</m:t>
                  </m:r>
                </m:sup>
              </m:sSubSup>
            </m:oMath>
            <w:r w:rsidRPr="00A02646">
              <w:rPr>
                <w:rFonts w:ascii="Times New Roman" w:hAnsi="Times New Roman" w:cs="Times New Roman"/>
                <w:b/>
                <w:bCs/>
                <w:sz w:val="24"/>
                <w:szCs w:val="24"/>
              </w:rPr>
              <w:t>);</w:t>
            </w:r>
          </w:p>
          <w:p w14:paraId="10D117E4" w14:textId="0A65F3C1" w:rsidR="00A02646" w:rsidRPr="00A02646" w:rsidRDefault="00A02646" w:rsidP="00A02646">
            <w:pPr>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
                <w:bCs/>
                <w:sz w:val="24"/>
                <w:szCs w:val="24"/>
              </w:rPr>
              <w:t xml:space="preserve">для електричної енергії, відпущеної в результаті виконання команди диспетчера на </w:t>
            </w:r>
            <w:r w:rsidRPr="00A02646">
              <w:rPr>
                <w:rFonts w:ascii="Times New Roman" w:hAnsi="Times New Roman" w:cs="Times New Roman"/>
                <w:b/>
                <w:bCs/>
                <w:sz w:val="24"/>
                <w:szCs w:val="24"/>
                <w14:ligatures w14:val="none"/>
              </w:rPr>
              <w:t xml:space="preserve">розвантаження </w:t>
            </w:r>
            <w:r w:rsidRPr="00A02646">
              <w:rPr>
                <w:rFonts w:ascii="Times New Roman" w:hAnsi="Times New Roman" w:cs="Times New Roman"/>
                <w:b/>
                <w:bCs/>
                <w:sz w:val="24"/>
                <w:szCs w:val="24"/>
              </w:rPr>
              <w:t>– за маржинальною</w:t>
            </w:r>
            <w:r w:rsidRPr="00A02646">
              <w:rPr>
                <w:rFonts w:ascii="Times New Roman" w:hAnsi="Times New Roman" w:cs="Times New Roman"/>
                <w:b/>
                <w:sz w:val="24"/>
                <w:szCs w:val="24"/>
              </w:rPr>
              <w:t xml:space="preserve"> ціною балансуючої електричної енергії на розвантаження в зоні за розрахунковий період (</w:t>
            </w:r>
            <m:oMath>
              <m:sSubSup>
                <m:sSubSupPr>
                  <m:ctrlPr>
                    <w:rPr>
                      <w:rFonts w:ascii="Cambria Math" w:hAnsi="Cambria Math" w:cs="Times New Roman"/>
                      <w:b/>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dn</m:t>
                  </m:r>
                </m:sup>
              </m:sSubSup>
            </m:oMath>
            <w:r w:rsidRPr="00A02646">
              <w:rPr>
                <w:rFonts w:ascii="Times New Roman" w:eastAsiaTheme="minorEastAsia" w:hAnsi="Times New Roman" w:cs="Times New Roman"/>
                <w:b/>
                <w:sz w:val="24"/>
                <w:szCs w:val="24"/>
              </w:rPr>
              <w:t>).</w:t>
            </w:r>
          </w:p>
        </w:tc>
      </w:tr>
      <w:tr w:rsidR="00A02646" w:rsidRPr="00A02646" w14:paraId="3995194C" w14:textId="77777777" w:rsidTr="00A02646">
        <w:tc>
          <w:tcPr>
            <w:tcW w:w="7371" w:type="dxa"/>
          </w:tcPr>
          <w:p w14:paraId="2EEDCC55" w14:textId="08462542" w:rsidR="00A02646" w:rsidRPr="00A02646" w:rsidRDefault="00A02646" w:rsidP="00A02646">
            <w:pPr>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
                <w:bCs/>
                <w:sz w:val="24"/>
                <w:szCs w:val="24"/>
              </w:rPr>
              <w:lastRenderedPageBreak/>
              <w:t>4.13.3.</w:t>
            </w:r>
            <w:r w:rsidRPr="00A02646">
              <w:rPr>
                <w:rFonts w:ascii="Times New Roman" w:hAnsi="Times New Roman" w:cs="Times New Roman"/>
                <w:bCs/>
                <w:sz w:val="24"/>
                <w:szCs w:val="24"/>
              </w:rPr>
              <w:t xml:space="preserve"> У випадку відсутності відповідної заявки/пропозиції на балансуючу енергію від учасника, обладнання якого підпадає під системні обмеження, його графік роботи змінюється за командою диспетчера з оплатою за цінами, що склалась на балансуючому ринку на відповідний розрахунковий період.</w:t>
            </w:r>
          </w:p>
        </w:tc>
        <w:tc>
          <w:tcPr>
            <w:tcW w:w="7371" w:type="dxa"/>
          </w:tcPr>
          <w:p w14:paraId="5962AD09" w14:textId="609827AE" w:rsidR="00A02646" w:rsidRPr="00A02646" w:rsidRDefault="00A02646" w:rsidP="00A02646">
            <w:pPr>
              <w:pStyle w:val="3"/>
              <w:keepNext w:val="0"/>
              <w:keepLines w:val="0"/>
              <w:widowControl w:val="0"/>
              <w:spacing w:before="60" w:after="0" w:line="240" w:lineRule="auto"/>
              <w:ind w:firstLine="313"/>
              <w:jc w:val="both"/>
              <w:outlineLvl w:val="2"/>
              <w:rPr>
                <w:rFonts w:ascii="Times New Roman" w:hAnsi="Times New Roman" w:cs="Times New Roman"/>
                <w:bCs/>
                <w:color w:val="auto"/>
                <w:sz w:val="24"/>
                <w:szCs w:val="24"/>
              </w:rPr>
            </w:pPr>
            <w:r w:rsidRPr="00A02646">
              <w:rPr>
                <w:rFonts w:ascii="Times New Roman" w:hAnsi="Times New Roman" w:cs="Times New Roman"/>
                <w:b/>
                <w:bCs/>
                <w:color w:val="auto"/>
                <w:sz w:val="24"/>
                <w:szCs w:val="24"/>
              </w:rPr>
              <w:t>4.13.2.</w:t>
            </w:r>
            <w:r w:rsidRPr="00A02646">
              <w:rPr>
                <w:rFonts w:ascii="Times New Roman" w:hAnsi="Times New Roman" w:cs="Times New Roman"/>
                <w:bCs/>
                <w:color w:val="auto"/>
                <w:sz w:val="24"/>
                <w:szCs w:val="24"/>
              </w:rPr>
              <w:t xml:space="preserve"> У випадку відсутності відповідної заявки/пропозиції на балансуючу енергію від учасника, обладнання якого підпадає під системні обмеження, його графік роботи змінюється за командою диспетчера з оплатою за цінами, що склалась на балансуючому ринку на відповідний розрахунковий період.</w:t>
            </w:r>
          </w:p>
        </w:tc>
      </w:tr>
      <w:tr w:rsidR="00A02646" w:rsidRPr="00A02646" w14:paraId="6FB4E3BC" w14:textId="77777777" w:rsidTr="00A02646">
        <w:tc>
          <w:tcPr>
            <w:tcW w:w="7371" w:type="dxa"/>
          </w:tcPr>
          <w:p w14:paraId="796CDF21" w14:textId="51CF378B" w:rsidR="00A02646" w:rsidRPr="00A02646" w:rsidRDefault="00A02646" w:rsidP="00A02646">
            <w:pPr>
              <w:widowControl w:val="0"/>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
                <w:bCs/>
                <w:sz w:val="24"/>
                <w:szCs w:val="24"/>
              </w:rPr>
              <w:t>4.14. Перевірка та підтвердження пропозицій на балансуючу електричну енергію</w:t>
            </w:r>
          </w:p>
        </w:tc>
        <w:tc>
          <w:tcPr>
            <w:tcW w:w="7371" w:type="dxa"/>
          </w:tcPr>
          <w:p w14:paraId="33020635" w14:textId="18BDF0B0" w:rsidR="00A02646" w:rsidRPr="00A02646" w:rsidRDefault="00A02646"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r w:rsidRPr="00A02646">
              <w:rPr>
                <w:rFonts w:ascii="Times New Roman" w:hAnsi="Times New Roman" w:cs="Times New Roman"/>
                <w:b/>
                <w:bCs/>
                <w:color w:val="auto"/>
                <w:sz w:val="24"/>
                <w:szCs w:val="24"/>
              </w:rPr>
              <w:t>4.14. Перевірка та підтвердження пропозицій на балансуючу електричну енергію</w:t>
            </w:r>
          </w:p>
        </w:tc>
      </w:tr>
      <w:tr w:rsidR="00A02646" w:rsidRPr="00A02646" w14:paraId="1F82F905" w14:textId="77777777" w:rsidTr="00A02646">
        <w:tc>
          <w:tcPr>
            <w:tcW w:w="7371" w:type="dxa"/>
          </w:tcPr>
          <w:p w14:paraId="2DB04FEA" w14:textId="77777777"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4.14.4. Для перевірки пропозицій на балансуючу електричну енергію, поданих ППБ або створених автоматично СУР для кожної одиниці надання послуг з балансування, що є одиницею відпуску, ураховуються такі дані стосовно пропонованих обсягів:</w:t>
            </w:r>
          </w:p>
          <w:p w14:paraId="22E96B4A" w14:textId="79DB952C"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1) актуальні декларації про неготовність;</w:t>
            </w:r>
          </w:p>
          <w:p w14:paraId="1099B695" w14:textId="77F6B0A4"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2) технічний максимум відпуску;</w:t>
            </w:r>
          </w:p>
          <w:p w14:paraId="7AE0DB5A" w14:textId="4DE386ED"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3) технічний мінімум відпуску;</w:t>
            </w:r>
          </w:p>
          <w:p w14:paraId="0991A441" w14:textId="2CBC1BF9"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4) графік виробництва.</w:t>
            </w:r>
          </w:p>
        </w:tc>
        <w:tc>
          <w:tcPr>
            <w:tcW w:w="7371" w:type="dxa"/>
          </w:tcPr>
          <w:p w14:paraId="21EF2F2A" w14:textId="77777777"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 xml:space="preserve">4.14.4. Для перевірки пропозицій на балансуючу електричну енергію, поданих ППБ </w:t>
            </w:r>
            <w:r w:rsidRPr="00A02646">
              <w:rPr>
                <w:rFonts w:ascii="Times New Roman" w:hAnsi="Times New Roman" w:cs="Times New Roman"/>
                <w:b/>
                <w:bCs/>
                <w:strike/>
                <w:sz w:val="24"/>
                <w:szCs w:val="24"/>
              </w:rPr>
              <w:t>або створених автоматично СУР</w:t>
            </w:r>
            <w:r w:rsidRPr="00A02646">
              <w:rPr>
                <w:rFonts w:ascii="Times New Roman" w:hAnsi="Times New Roman" w:cs="Times New Roman"/>
                <w:bCs/>
                <w:sz w:val="24"/>
                <w:szCs w:val="24"/>
              </w:rPr>
              <w:t xml:space="preserve"> для кожної одиниці надання послуг з балансування, що є одиницею відпуску, ураховуються такі дані стосовно пропонованих обсягів:</w:t>
            </w:r>
          </w:p>
          <w:p w14:paraId="6FF129DC" w14:textId="77777777"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1) актуальні декларації про неготовність;</w:t>
            </w:r>
          </w:p>
          <w:p w14:paraId="11DFC154" w14:textId="77777777"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2) технічний максимум відпуску;</w:t>
            </w:r>
          </w:p>
          <w:p w14:paraId="50087647" w14:textId="77777777"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3) технічний мінімум відпуску;</w:t>
            </w:r>
          </w:p>
          <w:p w14:paraId="2A266F27" w14:textId="6FAE558F" w:rsidR="00A02646" w:rsidRPr="00A02646" w:rsidRDefault="00A02646" w:rsidP="00A02646">
            <w:pPr>
              <w:pStyle w:val="3"/>
              <w:keepNext w:val="0"/>
              <w:keepLines w:val="0"/>
              <w:widowControl w:val="0"/>
              <w:spacing w:before="60" w:after="0" w:line="240" w:lineRule="auto"/>
              <w:ind w:firstLine="313"/>
              <w:jc w:val="both"/>
              <w:outlineLvl w:val="2"/>
              <w:rPr>
                <w:rFonts w:ascii="Times New Roman" w:hAnsi="Times New Roman" w:cs="Times New Roman"/>
                <w:bCs/>
                <w:color w:val="auto"/>
                <w:sz w:val="24"/>
                <w:szCs w:val="24"/>
              </w:rPr>
            </w:pPr>
            <w:r w:rsidRPr="00A02646">
              <w:rPr>
                <w:rFonts w:ascii="Times New Roman" w:hAnsi="Times New Roman" w:cs="Times New Roman"/>
                <w:bCs/>
                <w:color w:val="auto"/>
                <w:sz w:val="24"/>
                <w:szCs w:val="24"/>
              </w:rPr>
              <w:t>4) графік виробництва.</w:t>
            </w:r>
          </w:p>
        </w:tc>
      </w:tr>
      <w:tr w:rsidR="00A02646" w:rsidRPr="00A02646" w14:paraId="3E0B782A" w14:textId="77777777" w:rsidTr="00A02646">
        <w:tc>
          <w:tcPr>
            <w:tcW w:w="7371" w:type="dxa"/>
          </w:tcPr>
          <w:p w14:paraId="27CCE623" w14:textId="4789EC2F"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4.14.6. Для перевірки пропозицій на балансуючу електричну енергію, поданих ППБ або створених автоматично СУР для кожної одиниці надання послуг з балансування, що є одиницею відбору, ураховуються такі дані відносно запропонованих обсягів:</w:t>
            </w:r>
          </w:p>
          <w:p w14:paraId="3DE27F0E" w14:textId="1136A0EB"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lastRenderedPageBreak/>
              <w:t>1) максимальне робоче навантаження;</w:t>
            </w:r>
          </w:p>
          <w:p w14:paraId="7E980416" w14:textId="77C802AD" w:rsidR="00A02646" w:rsidRPr="00A02646" w:rsidRDefault="00A02646" w:rsidP="00A02646">
            <w:pPr>
              <w:widowControl w:val="0"/>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Cs/>
                <w:sz w:val="24"/>
                <w:szCs w:val="24"/>
              </w:rPr>
              <w:t>2) графік відбору.</w:t>
            </w:r>
          </w:p>
        </w:tc>
        <w:tc>
          <w:tcPr>
            <w:tcW w:w="7371" w:type="dxa"/>
          </w:tcPr>
          <w:p w14:paraId="521EE6C3" w14:textId="77777777"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lastRenderedPageBreak/>
              <w:t xml:space="preserve">4.14.6. Для перевірки пропозицій на балансуючу електричну енергію, поданих ППБ </w:t>
            </w:r>
            <w:r w:rsidRPr="00A02646">
              <w:rPr>
                <w:rFonts w:ascii="Times New Roman" w:hAnsi="Times New Roman" w:cs="Times New Roman"/>
                <w:b/>
                <w:bCs/>
                <w:strike/>
                <w:sz w:val="24"/>
                <w:szCs w:val="24"/>
              </w:rPr>
              <w:t xml:space="preserve">або створених автоматично СУР </w:t>
            </w:r>
            <w:r w:rsidRPr="00A02646">
              <w:rPr>
                <w:rFonts w:ascii="Times New Roman" w:hAnsi="Times New Roman" w:cs="Times New Roman"/>
                <w:bCs/>
                <w:sz w:val="24"/>
                <w:szCs w:val="24"/>
              </w:rPr>
              <w:t>для кожної одиниці надання послуг з балансування, що є одиницею відбору, ураховуються такі дані відносно запропонованих обсягів:</w:t>
            </w:r>
          </w:p>
          <w:p w14:paraId="0687A5ED" w14:textId="77777777"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lastRenderedPageBreak/>
              <w:t>1) максимальне робоче навантаження;</w:t>
            </w:r>
          </w:p>
          <w:p w14:paraId="7899C445" w14:textId="1CF53BD5" w:rsidR="00A02646" w:rsidRPr="00A02646" w:rsidRDefault="00A02646"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r w:rsidRPr="00A02646">
              <w:rPr>
                <w:rFonts w:ascii="Times New Roman" w:hAnsi="Times New Roman" w:cs="Times New Roman"/>
                <w:bCs/>
                <w:color w:val="auto"/>
                <w:sz w:val="24"/>
                <w:szCs w:val="24"/>
              </w:rPr>
              <w:t>2) графік відбору.</w:t>
            </w:r>
          </w:p>
        </w:tc>
      </w:tr>
      <w:tr w:rsidR="00A02646" w:rsidRPr="00A02646" w14:paraId="196241AA" w14:textId="77777777" w:rsidTr="00A02646">
        <w:tc>
          <w:tcPr>
            <w:tcW w:w="7371" w:type="dxa"/>
          </w:tcPr>
          <w:p w14:paraId="67CF3C99" w14:textId="115A273F" w:rsidR="00A02646" w:rsidRPr="00A02646" w:rsidRDefault="00A02646"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r w:rsidRPr="00A02646">
              <w:rPr>
                <w:rFonts w:ascii="Times New Roman" w:hAnsi="Times New Roman" w:cs="Times New Roman"/>
                <w:b/>
                <w:bCs/>
                <w:color w:val="auto"/>
                <w:sz w:val="24"/>
                <w:szCs w:val="24"/>
              </w:rPr>
              <w:lastRenderedPageBreak/>
              <w:t>4.16. Результати балансуючого ринку</w:t>
            </w:r>
          </w:p>
        </w:tc>
        <w:tc>
          <w:tcPr>
            <w:tcW w:w="7371" w:type="dxa"/>
          </w:tcPr>
          <w:p w14:paraId="0CFE7885" w14:textId="02B57899" w:rsidR="00A02646" w:rsidRPr="00A02646" w:rsidRDefault="00A02646"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r w:rsidRPr="00A02646">
              <w:rPr>
                <w:rFonts w:ascii="Times New Roman" w:hAnsi="Times New Roman" w:cs="Times New Roman"/>
                <w:b/>
                <w:bCs/>
                <w:color w:val="auto"/>
                <w:sz w:val="24"/>
                <w:szCs w:val="24"/>
              </w:rPr>
              <w:t>4.16. Результати балансуючого ринку</w:t>
            </w:r>
          </w:p>
        </w:tc>
      </w:tr>
      <w:tr w:rsidR="00A02646" w:rsidRPr="00A02646" w14:paraId="595F1D61" w14:textId="5C2EBC76" w:rsidTr="00A02646">
        <w:tc>
          <w:tcPr>
            <w:tcW w:w="7371" w:type="dxa"/>
          </w:tcPr>
          <w:p w14:paraId="23A349E4" w14:textId="0F5CF9AB" w:rsidR="00A02646" w:rsidRPr="00A02646" w:rsidRDefault="00EE40A7" w:rsidP="00A02646">
            <w:pPr>
              <w:widowControl w:val="0"/>
              <w:spacing w:before="60" w:after="0" w:line="240" w:lineRule="auto"/>
              <w:ind w:firstLine="313"/>
              <w:jc w:val="both"/>
              <w:rPr>
                <w:rFonts w:ascii="Times New Roman" w:hAnsi="Times New Roman" w:cs="Times New Roman"/>
                <w:b/>
                <w:sz w:val="24"/>
                <w:szCs w:val="24"/>
              </w:rPr>
            </w:pPr>
            <w:hyperlink r:id="rId7" w:tgtFrame="_blank" w:history="1">
              <w:r w:rsidR="00A02646" w:rsidRPr="00A02646">
                <w:rPr>
                  <w:rFonts w:ascii="Times New Roman" w:hAnsi="Times New Roman" w:cs="Times New Roman"/>
                  <w:sz w:val="24"/>
                  <w:szCs w:val="24"/>
                </w:rPr>
                <w:t>Результати балансуючого ринку складаються з:</w:t>
              </w:r>
            </w:hyperlink>
          </w:p>
          <w:p w14:paraId="4A568878" w14:textId="77777777" w:rsidR="00A02646" w:rsidRPr="00A02646" w:rsidRDefault="00EE40A7" w:rsidP="00A02646">
            <w:pPr>
              <w:widowControl w:val="0"/>
              <w:spacing w:before="60" w:after="0" w:line="240" w:lineRule="auto"/>
              <w:ind w:firstLine="313"/>
              <w:jc w:val="both"/>
              <w:rPr>
                <w:rFonts w:ascii="Times New Roman" w:hAnsi="Times New Roman" w:cs="Times New Roman"/>
                <w:sz w:val="24"/>
                <w:szCs w:val="24"/>
              </w:rPr>
            </w:pPr>
            <w:hyperlink r:id="rId8" w:tgtFrame="_blank" w:history="1">
              <w:r w:rsidR="00A02646" w:rsidRPr="00A02646">
                <w:rPr>
                  <w:rFonts w:ascii="Times New Roman" w:hAnsi="Times New Roman" w:cs="Times New Roman"/>
                  <w:sz w:val="24"/>
                  <w:szCs w:val="24"/>
                </w:rPr>
                <w:t>1)</w:t>
              </w:r>
            </w:hyperlink>
            <w:r w:rsidR="00A02646" w:rsidRPr="00A02646">
              <w:rPr>
                <w:rFonts w:ascii="Times New Roman" w:hAnsi="Times New Roman" w:cs="Times New Roman"/>
                <w:sz w:val="24"/>
                <w:szCs w:val="24"/>
              </w:rPr>
              <w:t> </w:t>
            </w:r>
            <w:hyperlink r:id="rId9" w:tgtFrame="_blank" w:history="1">
              <w:r w:rsidR="00A02646" w:rsidRPr="00A02646">
                <w:rPr>
                  <w:rFonts w:ascii="Times New Roman" w:hAnsi="Times New Roman" w:cs="Times New Roman"/>
                  <w:sz w:val="24"/>
                  <w:szCs w:val="24"/>
                </w:rPr>
                <w:t>прийнятих пропозицій на балансуючу електричну енергію на завантаження та на розвантаження ППБ по ОРЧ з метою забезпечення балансу системи;</w:t>
              </w:r>
            </w:hyperlink>
          </w:p>
          <w:p w14:paraId="409844E3" w14:textId="77777777" w:rsidR="00A02646" w:rsidRPr="00A02646" w:rsidRDefault="00EE40A7" w:rsidP="00A02646">
            <w:pPr>
              <w:widowControl w:val="0"/>
              <w:spacing w:before="60" w:after="0" w:line="240" w:lineRule="auto"/>
              <w:ind w:firstLine="313"/>
              <w:jc w:val="both"/>
              <w:rPr>
                <w:rFonts w:ascii="Times New Roman" w:hAnsi="Times New Roman" w:cs="Times New Roman"/>
                <w:sz w:val="24"/>
                <w:szCs w:val="24"/>
              </w:rPr>
            </w:pPr>
            <w:hyperlink r:id="rId10" w:tgtFrame="_blank" w:history="1">
              <w:r w:rsidR="00A02646" w:rsidRPr="00A02646">
                <w:rPr>
                  <w:rFonts w:ascii="Times New Roman" w:hAnsi="Times New Roman" w:cs="Times New Roman"/>
                  <w:sz w:val="24"/>
                  <w:szCs w:val="24"/>
                </w:rPr>
                <w:t>2) маржинальних цін балансуючої електричної енергії на завантаження;</w:t>
              </w:r>
            </w:hyperlink>
          </w:p>
          <w:p w14:paraId="2C9780C6" w14:textId="77777777" w:rsidR="00A02646" w:rsidRPr="00A02646" w:rsidRDefault="00EE40A7" w:rsidP="00A02646">
            <w:pPr>
              <w:widowControl w:val="0"/>
              <w:spacing w:before="60" w:after="0" w:line="240" w:lineRule="auto"/>
              <w:ind w:firstLine="313"/>
              <w:jc w:val="both"/>
              <w:rPr>
                <w:rFonts w:ascii="Times New Roman" w:hAnsi="Times New Roman" w:cs="Times New Roman"/>
                <w:sz w:val="24"/>
                <w:szCs w:val="24"/>
              </w:rPr>
            </w:pPr>
            <w:hyperlink r:id="rId11" w:tgtFrame="_blank" w:history="1">
              <w:r w:rsidR="00A02646" w:rsidRPr="00A02646">
                <w:rPr>
                  <w:rFonts w:ascii="Times New Roman" w:hAnsi="Times New Roman" w:cs="Times New Roman"/>
                  <w:sz w:val="24"/>
                  <w:szCs w:val="24"/>
                </w:rPr>
                <w:t>3) маржинальних цін балансуючої електричної енергії на розвантаження;</w:t>
              </w:r>
            </w:hyperlink>
          </w:p>
          <w:p w14:paraId="4B33EA45" w14:textId="77777777" w:rsidR="00A02646" w:rsidRPr="00A02646" w:rsidRDefault="00EE40A7" w:rsidP="00A02646">
            <w:pPr>
              <w:widowControl w:val="0"/>
              <w:spacing w:before="60" w:after="0" w:line="240" w:lineRule="auto"/>
              <w:ind w:firstLine="313"/>
              <w:jc w:val="both"/>
              <w:rPr>
                <w:rFonts w:ascii="Times New Roman" w:hAnsi="Times New Roman" w:cs="Times New Roman"/>
                <w:strike/>
                <w:sz w:val="24"/>
                <w:szCs w:val="24"/>
              </w:rPr>
            </w:pPr>
            <w:hyperlink r:id="rId12" w:tgtFrame="_blank" w:history="1">
              <w:r w:rsidR="00A02646" w:rsidRPr="00A02646">
                <w:rPr>
                  <w:rFonts w:ascii="Times New Roman" w:hAnsi="Times New Roman" w:cs="Times New Roman"/>
                  <w:strike/>
                  <w:sz w:val="24"/>
                  <w:szCs w:val="24"/>
                </w:rPr>
                <w:t>4) цін балансуючої електричної енергії на розвантаження в дефіцитній системі;</w:t>
              </w:r>
            </w:hyperlink>
          </w:p>
          <w:p w14:paraId="65E0356C" w14:textId="06E04965" w:rsidR="00A02646" w:rsidRPr="00A02646" w:rsidRDefault="00EE40A7" w:rsidP="00A02646">
            <w:pPr>
              <w:widowControl w:val="0"/>
              <w:spacing w:before="60" w:after="0" w:line="240" w:lineRule="auto"/>
              <w:ind w:firstLine="313"/>
              <w:jc w:val="both"/>
              <w:rPr>
                <w:rFonts w:ascii="Times New Roman" w:hAnsi="Times New Roman" w:cs="Times New Roman"/>
                <w:b/>
                <w:bCs/>
                <w:sz w:val="24"/>
                <w:szCs w:val="24"/>
              </w:rPr>
            </w:pPr>
            <w:hyperlink r:id="rId13" w:tgtFrame="_blank" w:history="1">
              <w:r w:rsidR="00A02646" w:rsidRPr="00A02646">
                <w:rPr>
                  <w:rFonts w:ascii="Times New Roman" w:hAnsi="Times New Roman" w:cs="Times New Roman"/>
                  <w:strike/>
                  <w:sz w:val="24"/>
                  <w:szCs w:val="24"/>
                </w:rPr>
                <w:t xml:space="preserve">5) цін балансуючої електричної енергії на завантаження в </w:t>
              </w:r>
              <w:proofErr w:type="spellStart"/>
              <w:r w:rsidR="00A02646" w:rsidRPr="00A02646">
                <w:rPr>
                  <w:rFonts w:ascii="Times New Roman" w:hAnsi="Times New Roman" w:cs="Times New Roman"/>
                  <w:strike/>
                  <w:sz w:val="24"/>
                  <w:szCs w:val="24"/>
                </w:rPr>
                <w:t>профіцитній</w:t>
              </w:r>
              <w:proofErr w:type="spellEnd"/>
              <w:r w:rsidR="00A02646" w:rsidRPr="00A02646">
                <w:rPr>
                  <w:rFonts w:ascii="Times New Roman" w:hAnsi="Times New Roman" w:cs="Times New Roman"/>
                  <w:strike/>
                  <w:sz w:val="24"/>
                  <w:szCs w:val="24"/>
                </w:rPr>
                <w:t xml:space="preserve"> системі.</w:t>
              </w:r>
            </w:hyperlink>
          </w:p>
        </w:tc>
        <w:tc>
          <w:tcPr>
            <w:tcW w:w="7371" w:type="dxa"/>
          </w:tcPr>
          <w:p w14:paraId="447E56E1" w14:textId="77777777"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Результати балансуючого ринку складаються з:</w:t>
            </w:r>
          </w:p>
          <w:p w14:paraId="3DD7D8F2" w14:textId="77777777"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 xml:space="preserve">1) прийнятих </w:t>
            </w:r>
            <w:r w:rsidRPr="00A02646">
              <w:rPr>
                <w:rFonts w:ascii="Times New Roman" w:eastAsiaTheme="majorEastAsia" w:hAnsi="Times New Roman" w:cs="Times New Roman"/>
                <w:b/>
                <w:bCs/>
                <w:sz w:val="24"/>
                <w:szCs w:val="24"/>
              </w:rPr>
              <w:t xml:space="preserve">заявок </w:t>
            </w:r>
            <w:r w:rsidRPr="00A02646">
              <w:rPr>
                <w:rFonts w:ascii="Times New Roman" w:hAnsi="Times New Roman" w:cs="Times New Roman"/>
                <w:sz w:val="24"/>
                <w:szCs w:val="24"/>
              </w:rPr>
              <w:t>на балансуючу електричну енергію на завантаження та на розвантаження ППБ по ОРЧ з метою забезпечення балансу системи;</w:t>
            </w:r>
          </w:p>
          <w:p w14:paraId="1CAA8246" w14:textId="77777777"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 xml:space="preserve">2) маржинальних цін балансуючої електричної енергії на завантаження; </w:t>
            </w:r>
          </w:p>
          <w:p w14:paraId="0800DADB" w14:textId="4125C2C2" w:rsidR="00A02646" w:rsidRPr="00A02646" w:rsidRDefault="00A02646" w:rsidP="00A02646">
            <w:pPr>
              <w:widowControl w:val="0"/>
              <w:spacing w:before="60" w:after="0" w:line="240" w:lineRule="auto"/>
              <w:ind w:firstLine="313"/>
              <w:jc w:val="both"/>
              <w:rPr>
                <w:rFonts w:ascii="Times New Roman" w:hAnsi="Times New Roman" w:cs="Times New Roman"/>
                <w:sz w:val="24"/>
                <w:szCs w:val="24"/>
                <w:lang w:val="ru-RU"/>
              </w:rPr>
            </w:pPr>
            <w:r w:rsidRPr="00A02646">
              <w:rPr>
                <w:rFonts w:ascii="Times New Roman" w:hAnsi="Times New Roman" w:cs="Times New Roman"/>
                <w:sz w:val="24"/>
                <w:szCs w:val="24"/>
              </w:rPr>
              <w:t>3) маржинальних цін балансуючої електричної енергії на розвантаження.</w:t>
            </w:r>
          </w:p>
        </w:tc>
      </w:tr>
      <w:tr w:rsidR="00A02646" w:rsidRPr="00A02646" w14:paraId="00DEA18B" w14:textId="77777777" w:rsidTr="00A02646">
        <w:tc>
          <w:tcPr>
            <w:tcW w:w="7371" w:type="dxa"/>
          </w:tcPr>
          <w:p w14:paraId="289BD0B1" w14:textId="6135512D" w:rsidR="00A02646" w:rsidRPr="00A02646" w:rsidRDefault="00A02646" w:rsidP="00A02646">
            <w:pPr>
              <w:widowControl w:val="0"/>
              <w:spacing w:before="60" w:after="0" w:line="240" w:lineRule="auto"/>
              <w:ind w:firstLine="313"/>
              <w:jc w:val="both"/>
              <w:rPr>
                <w:rFonts w:ascii="Times New Roman" w:hAnsi="Times New Roman" w:cs="Times New Roman"/>
                <w:b/>
                <w:sz w:val="24"/>
                <w:szCs w:val="24"/>
              </w:rPr>
            </w:pPr>
            <w:r w:rsidRPr="00A02646">
              <w:rPr>
                <w:rFonts w:ascii="Times New Roman" w:hAnsi="Times New Roman" w:cs="Times New Roman"/>
                <w:b/>
                <w:sz w:val="24"/>
                <w:szCs w:val="24"/>
              </w:rPr>
              <w:t>4.18. Диспетчерські команди та інші типи розпоряджень</w:t>
            </w:r>
          </w:p>
        </w:tc>
        <w:tc>
          <w:tcPr>
            <w:tcW w:w="7371" w:type="dxa"/>
          </w:tcPr>
          <w:p w14:paraId="69D73A26" w14:textId="337B325C"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b/>
                <w:sz w:val="24"/>
                <w:szCs w:val="24"/>
              </w:rPr>
              <w:t>4.18. Диспетчерські команди та інші типи розпоряджень</w:t>
            </w:r>
          </w:p>
        </w:tc>
      </w:tr>
      <w:tr w:rsidR="00A02646" w:rsidRPr="00A02646" w14:paraId="1B2CECA3" w14:textId="147148D7" w:rsidTr="00A02646">
        <w:tc>
          <w:tcPr>
            <w:tcW w:w="7371" w:type="dxa"/>
          </w:tcPr>
          <w:p w14:paraId="554D135B" w14:textId="432E572D"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 xml:space="preserve">4.18.8. </w:t>
            </w:r>
            <w:r w:rsidRPr="00A02646">
              <w:rPr>
                <w:rFonts w:ascii="Times New Roman" w:hAnsi="Times New Roman" w:cs="Times New Roman"/>
                <w:b/>
                <w:sz w:val="24"/>
                <w:szCs w:val="24"/>
              </w:rPr>
              <w:t>Незалежно від того, чи система в дефіциті або профіциті в інтервалі ОРЧ, ОСП може</w:t>
            </w:r>
            <w:r w:rsidRPr="00A02646">
              <w:rPr>
                <w:rFonts w:ascii="Times New Roman" w:hAnsi="Times New Roman" w:cs="Times New Roman"/>
                <w:sz w:val="24"/>
                <w:szCs w:val="24"/>
              </w:rPr>
              <w:t xml:space="preserve"> активувати балансуючу електричну енергію як на завантаження, так і на розвантаження з метою врегулювання системних обмежень, у тому числі відповідно до вимог системи до резервів.</w:t>
            </w:r>
          </w:p>
        </w:tc>
        <w:tc>
          <w:tcPr>
            <w:tcW w:w="7371" w:type="dxa"/>
          </w:tcPr>
          <w:p w14:paraId="59042DE1" w14:textId="17F50A32"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bookmarkStart w:id="1" w:name="_Hlk236048447"/>
            <w:r w:rsidRPr="00A02646">
              <w:rPr>
                <w:rFonts w:ascii="Times New Roman" w:hAnsi="Times New Roman" w:cs="Times New Roman"/>
                <w:sz w:val="24"/>
                <w:szCs w:val="24"/>
              </w:rPr>
              <w:t xml:space="preserve">4.18.8. </w:t>
            </w:r>
            <w:r w:rsidRPr="00A02646">
              <w:rPr>
                <w:rFonts w:ascii="Times New Roman" w:hAnsi="Times New Roman" w:cs="Times New Roman"/>
                <w:b/>
                <w:bCs/>
                <w:sz w:val="24"/>
                <w:szCs w:val="24"/>
              </w:rPr>
              <w:t>У будь-якій ОРЧ,</w:t>
            </w:r>
            <w:r w:rsidRPr="00A02646">
              <w:rPr>
                <w:rFonts w:ascii="Times New Roman" w:hAnsi="Times New Roman" w:cs="Times New Roman"/>
                <w:sz w:val="24"/>
                <w:szCs w:val="24"/>
              </w:rPr>
              <w:t xml:space="preserve"> ОСП </w:t>
            </w:r>
            <w:r w:rsidRPr="00A02646">
              <w:rPr>
                <w:rFonts w:ascii="Times New Roman" w:hAnsi="Times New Roman" w:cs="Times New Roman"/>
                <w:b/>
                <w:bCs/>
                <w:sz w:val="24"/>
                <w:szCs w:val="24"/>
              </w:rPr>
              <w:t>має право</w:t>
            </w:r>
            <w:r w:rsidRPr="00A02646">
              <w:rPr>
                <w:rFonts w:ascii="Times New Roman" w:hAnsi="Times New Roman" w:cs="Times New Roman"/>
                <w:sz w:val="24"/>
                <w:szCs w:val="24"/>
              </w:rPr>
              <w:t xml:space="preserve"> активувати балансуючу електричну енергію як на завантаження, так і на розвантаження з метою врегулювання системних обмежень, у тому числі відповідно до вимог системи до резервів.</w:t>
            </w:r>
            <w:bookmarkEnd w:id="1"/>
          </w:p>
        </w:tc>
      </w:tr>
      <w:tr w:rsidR="00A02646" w:rsidRPr="00A02646" w14:paraId="2CCE3B2C" w14:textId="67FEFCAE" w:rsidTr="00A02646">
        <w:tc>
          <w:tcPr>
            <w:tcW w:w="7371" w:type="dxa"/>
          </w:tcPr>
          <w:p w14:paraId="6FFD9D82" w14:textId="3CE09283"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b/>
                <w:bCs/>
                <w:sz w:val="24"/>
                <w:szCs w:val="24"/>
              </w:rPr>
              <w:t>5.13. Загальні принципи визначення цін на балансуючому ринку</w:t>
            </w:r>
          </w:p>
        </w:tc>
        <w:tc>
          <w:tcPr>
            <w:tcW w:w="7371" w:type="dxa"/>
          </w:tcPr>
          <w:p w14:paraId="3C3088EF" w14:textId="05867571"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b/>
                <w:bCs/>
                <w:sz w:val="24"/>
                <w:szCs w:val="24"/>
              </w:rPr>
              <w:t xml:space="preserve">5.13. Загальні принципи визначення цін на балансуючому ринку </w:t>
            </w:r>
          </w:p>
        </w:tc>
      </w:tr>
      <w:tr w:rsidR="00A02646" w:rsidRPr="00A02646" w14:paraId="62A6AA49" w14:textId="7E9B2BD6" w:rsidTr="00A02646">
        <w:tc>
          <w:tcPr>
            <w:tcW w:w="7371" w:type="dxa"/>
          </w:tcPr>
          <w:p w14:paraId="188AEB50" w14:textId="382C11BA"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sz w:val="24"/>
                <w:szCs w:val="24"/>
              </w:rPr>
            </w:pPr>
            <w:r w:rsidRPr="00A02646">
              <w:rPr>
                <w:rFonts w:ascii="Times New Roman" w:eastAsiaTheme="majorEastAsia" w:hAnsi="Times New Roman" w:cs="Times New Roman"/>
                <w:sz w:val="24"/>
                <w:szCs w:val="24"/>
              </w:rPr>
              <w:t>5.13.1. Балансуючий ринок генерує основані на ОРЧ диспетчерські команди для одиниць надання послуг з балансування (у МВт) та основані на ОРЧ маржинальні ціни балансуючої енергії (у грн/</w:t>
            </w:r>
            <w:proofErr w:type="spellStart"/>
            <w:r w:rsidRPr="00A02646">
              <w:rPr>
                <w:rFonts w:ascii="Times New Roman" w:eastAsiaTheme="majorEastAsia" w:hAnsi="Times New Roman" w:cs="Times New Roman"/>
                <w:sz w:val="24"/>
                <w:szCs w:val="24"/>
              </w:rPr>
              <w:t>МВт·год</w:t>
            </w:r>
            <w:proofErr w:type="spellEnd"/>
            <w:r w:rsidRPr="00A02646">
              <w:rPr>
                <w:rFonts w:ascii="Times New Roman" w:eastAsiaTheme="majorEastAsia" w:hAnsi="Times New Roman" w:cs="Times New Roman"/>
                <w:sz w:val="24"/>
                <w:szCs w:val="24"/>
              </w:rPr>
              <w:t xml:space="preserve">), що використовуються для розрахунків за балансуючу електричну енергію, включаючи активацію балансуючої електричної енергії в реальному часі одиницями надання послуг з балансування відповідно </w:t>
            </w:r>
            <w:r w:rsidRPr="00A02646">
              <w:rPr>
                <w:rFonts w:ascii="Times New Roman" w:eastAsiaTheme="majorEastAsia" w:hAnsi="Times New Roman" w:cs="Times New Roman"/>
                <w:b/>
                <w:sz w:val="24"/>
                <w:szCs w:val="24"/>
              </w:rPr>
              <w:t xml:space="preserve">до їх остаточних повідомлень про фізичний відбір/відпуск (у </w:t>
            </w:r>
            <w:proofErr w:type="spellStart"/>
            <w:r w:rsidRPr="00A02646">
              <w:rPr>
                <w:rFonts w:ascii="Times New Roman" w:eastAsiaTheme="majorEastAsia" w:hAnsi="Times New Roman" w:cs="Times New Roman"/>
                <w:b/>
                <w:sz w:val="24"/>
                <w:szCs w:val="24"/>
              </w:rPr>
              <w:t>МВт·год</w:t>
            </w:r>
            <w:proofErr w:type="spellEnd"/>
            <w:r w:rsidRPr="00A02646">
              <w:rPr>
                <w:rFonts w:ascii="Times New Roman" w:eastAsiaTheme="majorEastAsia" w:hAnsi="Times New Roman" w:cs="Times New Roman"/>
                <w:b/>
                <w:sz w:val="24"/>
                <w:szCs w:val="24"/>
              </w:rPr>
              <w:t>).</w:t>
            </w:r>
          </w:p>
          <w:p w14:paraId="4ACD24A3" w14:textId="0DB0CE10"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b/>
                <w:sz w:val="24"/>
                <w:szCs w:val="24"/>
              </w:rPr>
              <w:lastRenderedPageBreak/>
              <w:t>Основані на ОРЧ</w:t>
            </w:r>
            <w:r w:rsidRPr="00A02646">
              <w:rPr>
                <w:rFonts w:ascii="Times New Roman" w:eastAsiaTheme="majorEastAsia" w:hAnsi="Times New Roman" w:cs="Times New Roman"/>
                <w:sz w:val="24"/>
                <w:szCs w:val="24"/>
              </w:rPr>
              <w:t xml:space="preserve"> маржинальні ціни балансуючої електричної енергії визначаються в кожній зоні для кожної ОРЧ у такий спосіб:</w:t>
            </w:r>
          </w:p>
          <w:p w14:paraId="08B531B0" w14:textId="059D40E9"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1) маржинальною ціною балансуючої електричної енергії на завантаження в зоні z за ОРЧ </w:t>
            </w:r>
            <w:proofErr w:type="spellStart"/>
            <w:r w:rsidRPr="00A02646">
              <w:rPr>
                <w:rFonts w:ascii="Times New Roman" w:eastAsiaTheme="majorEastAsia" w:hAnsi="Times New Roman" w:cs="Times New Roman"/>
                <w:sz w:val="24"/>
                <w:szCs w:val="24"/>
              </w:rPr>
              <w:t>rtu</w:t>
            </w:r>
            <w:proofErr w:type="spellEnd"/>
            <w:r w:rsidRPr="00A02646">
              <w:rPr>
                <w:rFonts w:ascii="Times New Roman" w:eastAsiaTheme="majorEastAsia" w:hAnsi="Times New Roman" w:cs="Times New Roman"/>
                <w:sz w:val="24"/>
                <w:szCs w:val="24"/>
              </w:rPr>
              <w:t xml:space="preserve">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A02646">
              <w:rPr>
                <w:rFonts w:ascii="Times New Roman" w:eastAsiaTheme="majorEastAsia" w:hAnsi="Times New Roman" w:cs="Times New Roman"/>
                <w:sz w:val="24"/>
                <w:szCs w:val="24"/>
              </w:rPr>
              <w:t>) є:</w:t>
            </w:r>
          </w:p>
          <w:p w14:paraId="6EC4FD5C" w14:textId="25C78BDA"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sz w:val="24"/>
                <w:szCs w:val="24"/>
              </w:rPr>
              <w:t xml:space="preserve">найбільша ціна активованої пропозиції на балансуючу електричну енергію на завантаження протягом цієї ОРЧ </w:t>
            </w:r>
            <w:r w:rsidRPr="00A02646">
              <w:rPr>
                <w:rFonts w:ascii="Times New Roman" w:eastAsiaTheme="majorEastAsia" w:hAnsi="Times New Roman" w:cs="Times New Roman"/>
                <w:strike/>
                <w:sz w:val="24"/>
                <w:szCs w:val="24"/>
              </w:rPr>
              <w:t>- при наявності дефіциту в зоні системи у цій ОРЧ;</w:t>
            </w:r>
          </w:p>
          <w:p w14:paraId="15F32F6D" w14:textId="734CF1C0"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середньоарифметичне значення останніх маржинальних цін балансуючої електричної енергії на завантаження за аналогічні ОРЧ аналогічного розрахункового періоду, що наявні за попередні тридцять торгових днів - </w:t>
            </w:r>
            <w:r w:rsidRPr="00A02646">
              <w:rPr>
                <w:rFonts w:ascii="Times New Roman" w:eastAsiaTheme="majorEastAsia" w:hAnsi="Times New Roman" w:cs="Times New Roman"/>
                <w:strike/>
                <w:sz w:val="24"/>
                <w:szCs w:val="24"/>
              </w:rPr>
              <w:t>при наявності профіциту в зоні системи у цій ОРЧ, або якщо при наявності дефіциту в зоні системи у цій ОРЧ</w:t>
            </w:r>
            <w:r w:rsidRPr="00A02646">
              <w:rPr>
                <w:rFonts w:ascii="Times New Roman" w:eastAsiaTheme="majorEastAsia" w:hAnsi="Times New Roman" w:cs="Times New Roman"/>
                <w:sz w:val="24"/>
                <w:szCs w:val="24"/>
              </w:rPr>
              <w:t xml:space="preserve"> відсутні активації пропозицій на балансуючу електричну енергію на завантаження, або всі активовані пропозиції на балансуючу електричну енергію на завантаження акцептовані як такі, що врегульовують системні обмеження в зоні;</w:t>
            </w:r>
          </w:p>
          <w:p w14:paraId="1D88D490" w14:textId="69E33E7F"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strike/>
                <w:sz w:val="24"/>
                <w:szCs w:val="24"/>
              </w:rPr>
              <w:t>ціна купівлі-продажу електричної енергії на РДН за відповідний розрахунковий період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днів - якщо зона системи є збалансованою (не перебуває в дефіциті або в профіциті) у цій ОРЧ;</w:t>
            </w:r>
          </w:p>
          <w:p w14:paraId="7257054C" w14:textId="3F12E192"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2) маржинальною ціною балансуючої електричної енергії на розвантаження в зоні z за ОРЧ </w:t>
            </w:r>
            <w:proofErr w:type="spellStart"/>
            <w:r w:rsidRPr="00A02646">
              <w:rPr>
                <w:rFonts w:ascii="Times New Roman" w:eastAsiaTheme="majorEastAsia" w:hAnsi="Times New Roman" w:cs="Times New Roman"/>
                <w:sz w:val="24"/>
                <w:szCs w:val="24"/>
              </w:rPr>
              <w:t>rtu</w:t>
            </w:r>
            <w:proofErr w:type="spellEnd"/>
            <w:r w:rsidRPr="00A02646">
              <w:rPr>
                <w:rFonts w:ascii="Times New Roman" w:eastAsiaTheme="majorEastAsia" w:hAnsi="Times New Roman" w:cs="Times New Roman"/>
                <w:sz w:val="24"/>
                <w:szCs w:val="24"/>
              </w:rPr>
              <w:t xml:space="preserve">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dn</m:t>
                  </m:r>
                </m:sup>
              </m:sSubSup>
            </m:oMath>
            <w:r w:rsidRPr="00A02646">
              <w:rPr>
                <w:rFonts w:ascii="Times New Roman" w:eastAsiaTheme="majorEastAsia" w:hAnsi="Times New Roman" w:cs="Times New Roman"/>
                <w:sz w:val="24"/>
                <w:szCs w:val="24"/>
              </w:rPr>
              <w:t>) є:</w:t>
            </w:r>
          </w:p>
          <w:p w14:paraId="0F732142"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sz w:val="24"/>
                <w:szCs w:val="24"/>
              </w:rPr>
              <w:t xml:space="preserve">найменша ціна активованої пропозиції на балансуючу електричну енергію на розвантаження протягом цієї ОРЧ - </w:t>
            </w:r>
            <w:r w:rsidRPr="00A02646">
              <w:rPr>
                <w:rFonts w:ascii="Times New Roman" w:eastAsiaTheme="majorEastAsia" w:hAnsi="Times New Roman" w:cs="Times New Roman"/>
                <w:strike/>
                <w:sz w:val="24"/>
                <w:szCs w:val="24"/>
              </w:rPr>
              <w:t>при наявності профіциту в зоні системи у цій ОРЧ;</w:t>
            </w:r>
          </w:p>
          <w:p w14:paraId="6BDED285" w14:textId="5C89A60A"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середньоарифметичне значення останніх маржинальних цін балансуючої електричної енергії на розвантаження за аналогічні ОРЧ аналогічного розрахункового періоду, що наявні за попередні тридцять торгових днів - </w:t>
            </w:r>
            <w:r w:rsidRPr="00A02646">
              <w:rPr>
                <w:rFonts w:ascii="Times New Roman" w:eastAsiaTheme="majorEastAsia" w:hAnsi="Times New Roman" w:cs="Times New Roman"/>
                <w:strike/>
                <w:sz w:val="24"/>
                <w:szCs w:val="24"/>
              </w:rPr>
              <w:t xml:space="preserve">при наявності дефіциту в зоні системи у цій ОРЧ, або </w:t>
            </w:r>
            <w:r w:rsidRPr="00A02646">
              <w:rPr>
                <w:rFonts w:ascii="Times New Roman" w:eastAsiaTheme="majorEastAsia" w:hAnsi="Times New Roman" w:cs="Times New Roman"/>
                <w:strike/>
                <w:sz w:val="24"/>
                <w:szCs w:val="24"/>
              </w:rPr>
              <w:lastRenderedPageBreak/>
              <w:t>якщо при наявності профіциту в зоні системи</w:t>
            </w:r>
            <w:r w:rsidRPr="00A02646">
              <w:rPr>
                <w:rFonts w:ascii="Times New Roman" w:eastAsiaTheme="majorEastAsia" w:hAnsi="Times New Roman" w:cs="Times New Roman"/>
                <w:sz w:val="24"/>
                <w:szCs w:val="24"/>
              </w:rPr>
              <w:t xml:space="preserve"> у цій ОРЧ відсутні активації пропозицій на балансуючу електричну енергію на розвантаження, або всі активовані пропозиції на балансуючу електричну енергію на розвантаження акцептовані як такі, що врегульовують системні обмеження в зоні;</w:t>
            </w:r>
          </w:p>
          <w:p w14:paraId="14AB7381" w14:textId="5E3F299B"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strike/>
                <w:sz w:val="24"/>
                <w:szCs w:val="24"/>
              </w:rPr>
            </w:pPr>
            <w:r w:rsidRPr="00A02646">
              <w:rPr>
                <w:rFonts w:ascii="Times New Roman" w:eastAsiaTheme="majorEastAsia" w:hAnsi="Times New Roman" w:cs="Times New Roman"/>
                <w:strike/>
                <w:sz w:val="24"/>
                <w:szCs w:val="24"/>
              </w:rPr>
              <w:t>ціна купівлі-продажу електричної енергії на РДН за відповідний розрахунковий період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днів - якщо зона системи є збалансованою (не перебуває в дефіциті або в профіциті) у цій ОРЧ.</w:t>
            </w:r>
          </w:p>
        </w:tc>
        <w:tc>
          <w:tcPr>
            <w:tcW w:w="7371" w:type="dxa"/>
          </w:tcPr>
          <w:p w14:paraId="4C856934"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bookmarkStart w:id="2" w:name="_Hlk236048603"/>
            <w:r w:rsidRPr="00A02646">
              <w:rPr>
                <w:rFonts w:ascii="Times New Roman" w:eastAsiaTheme="majorEastAsia" w:hAnsi="Times New Roman" w:cs="Times New Roman"/>
                <w:sz w:val="24"/>
                <w:szCs w:val="24"/>
              </w:rPr>
              <w:lastRenderedPageBreak/>
              <w:t>5.13.1. Балансуючий ринок генерує основані на ОРЧ диспетчерські команди для одиниць надання послуг з балансування (у МВт) та основані на ОРЧ маржинальні ціни балансуючої енергії (у грн/</w:t>
            </w:r>
            <w:proofErr w:type="spellStart"/>
            <w:r w:rsidRPr="00A02646">
              <w:rPr>
                <w:rFonts w:ascii="Times New Roman" w:eastAsiaTheme="majorEastAsia" w:hAnsi="Times New Roman" w:cs="Times New Roman"/>
                <w:sz w:val="24"/>
                <w:szCs w:val="24"/>
              </w:rPr>
              <w:t>МВт·год</w:t>
            </w:r>
            <w:proofErr w:type="spellEnd"/>
            <w:r w:rsidRPr="00A02646">
              <w:rPr>
                <w:rFonts w:ascii="Times New Roman" w:eastAsiaTheme="majorEastAsia" w:hAnsi="Times New Roman" w:cs="Times New Roman"/>
                <w:sz w:val="24"/>
                <w:szCs w:val="24"/>
              </w:rPr>
              <w:t xml:space="preserve">), що використовуються для розрахунків за балансуючу електричну енергію, включаючи активацію балансуючої електричної енергії в реальному часі одиницями надання послуг з балансування відповідно </w:t>
            </w:r>
            <w:r w:rsidRPr="00A02646">
              <w:rPr>
                <w:rFonts w:ascii="Times New Roman" w:eastAsiaTheme="majorEastAsia" w:hAnsi="Times New Roman" w:cs="Times New Roman"/>
                <w:b/>
                <w:bCs/>
                <w:sz w:val="24"/>
                <w:szCs w:val="24"/>
              </w:rPr>
              <w:t>до їх графіків відпуску/відбору.</w:t>
            </w:r>
          </w:p>
          <w:p w14:paraId="3521DC2A" w14:textId="6E435DA9"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b/>
                <w:bCs/>
                <w:sz w:val="24"/>
                <w:szCs w:val="24"/>
              </w:rPr>
              <w:t>У кожній</w:t>
            </w:r>
            <w:r w:rsidRPr="00A02646">
              <w:rPr>
                <w:rFonts w:ascii="Times New Roman" w:eastAsiaTheme="majorEastAsia" w:hAnsi="Times New Roman" w:cs="Times New Roman"/>
                <w:sz w:val="24"/>
                <w:szCs w:val="24"/>
              </w:rPr>
              <w:t xml:space="preserve"> ОРЧ маржинальні ціни балансуючої електричної енергії </w:t>
            </w:r>
            <w:r w:rsidRPr="00A02646">
              <w:rPr>
                <w:rFonts w:ascii="Times New Roman" w:eastAsiaTheme="majorEastAsia" w:hAnsi="Times New Roman" w:cs="Times New Roman"/>
                <w:sz w:val="24"/>
                <w:szCs w:val="24"/>
              </w:rPr>
              <w:lastRenderedPageBreak/>
              <w:t>визначаються в кожній зоні для кожної ОРЧ у такий спосіб:</w:t>
            </w:r>
          </w:p>
          <w:p w14:paraId="79E65634" w14:textId="2DFC38C5"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b/>
                <w:bCs/>
                <w:sz w:val="24"/>
                <w:szCs w:val="24"/>
              </w:rPr>
              <w:t xml:space="preserve">1) маржинальною ціною балансуючої електричної енергії на завантаження в зоні z за ОРЧ </w:t>
            </w:r>
            <w:proofErr w:type="spellStart"/>
            <w:r w:rsidRPr="00A02646">
              <w:rPr>
                <w:rFonts w:ascii="Times New Roman" w:eastAsiaTheme="majorEastAsia" w:hAnsi="Times New Roman" w:cs="Times New Roman"/>
                <w:b/>
                <w:bCs/>
                <w:sz w:val="24"/>
                <w:szCs w:val="24"/>
              </w:rPr>
              <w:t>rtu</w:t>
            </w:r>
            <w:proofErr w:type="spellEnd"/>
            <w:r w:rsidRPr="00A02646">
              <w:rPr>
                <w:rFonts w:ascii="Times New Roman" w:eastAsiaTheme="majorEastAsia" w:hAnsi="Times New Roman" w:cs="Times New Roman"/>
                <w:b/>
                <w:bCs/>
                <w:sz w:val="24"/>
                <w:szCs w:val="24"/>
              </w:rPr>
              <w:t xml:space="preserve">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MP</m:t>
                  </m:r>
                </m:e>
                <m:sub>
                  <m:r>
                    <m:rPr>
                      <m:sty m:val="b"/>
                    </m:rPr>
                    <w:rPr>
                      <w:rFonts w:ascii="Cambria Math" w:eastAsiaTheme="majorEastAsia" w:hAnsi="Cambria Math" w:cs="Times New Roman"/>
                      <w:sz w:val="24"/>
                      <w:szCs w:val="24"/>
                    </w:rPr>
                    <m:t>z,rtu</m:t>
                  </m:r>
                </m:sub>
                <m:sup>
                  <m:r>
                    <m:rPr>
                      <m:sty m:val="b"/>
                    </m:rPr>
                    <w:rPr>
                      <w:rFonts w:ascii="Cambria Math" w:eastAsiaTheme="majorEastAsia" w:hAnsi="Cambria Math" w:cs="Times New Roman"/>
                      <w:sz w:val="24"/>
                      <w:szCs w:val="24"/>
                    </w:rPr>
                    <m:t>up</m:t>
                  </m:r>
                </m:sup>
              </m:sSubSup>
            </m:oMath>
            <w:r w:rsidRPr="00A02646">
              <w:rPr>
                <w:rFonts w:ascii="Times New Roman" w:eastAsiaTheme="majorEastAsia" w:hAnsi="Times New Roman" w:cs="Times New Roman"/>
                <w:b/>
                <w:bCs/>
                <w:sz w:val="24"/>
                <w:szCs w:val="24"/>
              </w:rPr>
              <w:t xml:space="preserve">) є найбільша ціна активованої з ранжиру відповідно до алгоритму балансуючого ринку заявки на балансуючу електричну енергію на завантаження протягом цієї ОРЧ. </w:t>
            </w:r>
            <w:r w:rsidRPr="00A02646">
              <w:rPr>
                <w:rFonts w:ascii="Times New Roman" w:eastAsiaTheme="majorEastAsia" w:hAnsi="Times New Roman" w:cs="Times New Roman"/>
                <w:sz w:val="24"/>
                <w:szCs w:val="24"/>
              </w:rPr>
              <w:t>Якщо в зоні системи в ОРЧ відсутні активації</w:t>
            </w:r>
            <w:r w:rsidRPr="00A02646">
              <w:rPr>
                <w:rFonts w:ascii="Times New Roman" w:eastAsiaTheme="majorEastAsia" w:hAnsi="Times New Roman" w:cs="Times New Roman"/>
                <w:b/>
                <w:bCs/>
                <w:sz w:val="24"/>
                <w:szCs w:val="24"/>
              </w:rPr>
              <w:t xml:space="preserve"> заявок</w:t>
            </w:r>
            <w:r w:rsidRPr="00A02646">
              <w:rPr>
                <w:rFonts w:ascii="Times New Roman" w:eastAsiaTheme="majorEastAsia" w:hAnsi="Times New Roman" w:cs="Times New Roman"/>
                <w:sz w:val="24"/>
                <w:szCs w:val="24"/>
              </w:rPr>
              <w:t xml:space="preserve"> на балансуючу електричну енергію на завантаження або всі активовані </w:t>
            </w:r>
            <w:r w:rsidRPr="00A02646">
              <w:rPr>
                <w:rFonts w:ascii="Times New Roman" w:eastAsiaTheme="majorEastAsia" w:hAnsi="Times New Roman" w:cs="Times New Roman"/>
                <w:b/>
                <w:bCs/>
                <w:sz w:val="24"/>
                <w:szCs w:val="24"/>
              </w:rPr>
              <w:t>заявки</w:t>
            </w:r>
            <w:r w:rsidRPr="00A02646">
              <w:rPr>
                <w:rFonts w:ascii="Times New Roman" w:eastAsiaTheme="majorEastAsia" w:hAnsi="Times New Roman" w:cs="Times New Roman"/>
                <w:sz w:val="24"/>
                <w:szCs w:val="24"/>
              </w:rPr>
              <w:t xml:space="preserve"> на балансуючу електричну енергію на завантаження акцептовані як такі, що врегульовують системні обмеження в зоні, </w:t>
            </w:r>
            <w:r w:rsidRPr="00A02646">
              <w:rPr>
                <w:rFonts w:ascii="Times New Roman" w:eastAsiaTheme="majorEastAsia" w:hAnsi="Times New Roman" w:cs="Times New Roman"/>
                <w:b/>
                <w:bCs/>
                <w:sz w:val="24"/>
                <w:szCs w:val="24"/>
              </w:rPr>
              <w:t xml:space="preserve">маржинальною ціною балансуючої електричної енергії на завантаження в зоні z за ОРЧ </w:t>
            </w:r>
            <w:proofErr w:type="spellStart"/>
            <w:r w:rsidRPr="00A02646">
              <w:rPr>
                <w:rFonts w:ascii="Times New Roman" w:eastAsiaTheme="majorEastAsia" w:hAnsi="Times New Roman" w:cs="Times New Roman"/>
                <w:b/>
                <w:bCs/>
                <w:sz w:val="24"/>
                <w:szCs w:val="24"/>
              </w:rPr>
              <w:t>rtu</w:t>
            </w:r>
            <w:proofErr w:type="spellEnd"/>
            <w:r w:rsidRPr="00A02646">
              <w:rPr>
                <w:rFonts w:ascii="Times New Roman" w:eastAsiaTheme="majorEastAsia" w:hAnsi="Times New Roman" w:cs="Times New Roman"/>
                <w:b/>
                <w:bCs/>
                <w:sz w:val="24"/>
                <w:szCs w:val="24"/>
              </w:rPr>
              <w:t xml:space="preserve">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MP</m:t>
                  </m:r>
                </m:e>
                <m:sub>
                  <m:r>
                    <m:rPr>
                      <m:sty m:val="b"/>
                    </m:rPr>
                    <w:rPr>
                      <w:rFonts w:ascii="Cambria Math" w:eastAsiaTheme="majorEastAsia" w:hAnsi="Cambria Math" w:cs="Times New Roman"/>
                      <w:sz w:val="24"/>
                      <w:szCs w:val="24"/>
                    </w:rPr>
                    <m:t>z,rtu</m:t>
                  </m:r>
                </m:sub>
                <m:sup>
                  <m:r>
                    <m:rPr>
                      <m:sty m:val="b"/>
                    </m:rPr>
                    <w:rPr>
                      <w:rFonts w:ascii="Cambria Math" w:eastAsiaTheme="majorEastAsia" w:hAnsi="Cambria Math" w:cs="Times New Roman"/>
                      <w:sz w:val="24"/>
                      <w:szCs w:val="24"/>
                    </w:rPr>
                    <m:t>up</m:t>
                  </m:r>
                </m:sup>
              </m:sSubSup>
            </m:oMath>
            <w:r w:rsidRPr="00A02646">
              <w:rPr>
                <w:rFonts w:ascii="Times New Roman" w:eastAsiaTheme="majorEastAsia" w:hAnsi="Times New Roman" w:cs="Times New Roman"/>
                <w:b/>
                <w:bCs/>
                <w:sz w:val="24"/>
                <w:szCs w:val="24"/>
              </w:rPr>
              <w:t>) є середнє арифметичне</w:t>
            </w:r>
            <w:r w:rsidRPr="00A02646">
              <w:rPr>
                <w:rFonts w:ascii="Times New Roman" w:eastAsiaTheme="majorEastAsia" w:hAnsi="Times New Roman" w:cs="Times New Roman"/>
                <w:sz w:val="24"/>
                <w:szCs w:val="24"/>
              </w:rPr>
              <w:t xml:space="preserve"> значення останніх маржинальних цін балансуючої електричної енергії на завантаження за аналогічні ОРЧ аналогічного розрахункового періоду, що наявні за попередні тридцять торгових днів;</w:t>
            </w:r>
          </w:p>
          <w:p w14:paraId="21EDB78A" w14:textId="5A142751" w:rsidR="00A02646" w:rsidRPr="00A02646" w:rsidRDefault="00A02646" w:rsidP="00A02646">
            <w:pPr>
              <w:widowControl w:val="0"/>
              <w:spacing w:before="60" w:after="0" w:line="240" w:lineRule="auto"/>
              <w:ind w:firstLine="313"/>
              <w:jc w:val="both"/>
              <w:rPr>
                <w:rFonts w:ascii="Times New Roman" w:hAnsi="Times New Roman" w:cs="Times New Roman"/>
                <w:iCs/>
                <w:sz w:val="24"/>
                <w:szCs w:val="24"/>
              </w:rPr>
            </w:pPr>
            <w:r w:rsidRPr="00A02646">
              <w:rPr>
                <w:rFonts w:ascii="Times New Roman" w:eastAsiaTheme="majorEastAsia" w:hAnsi="Times New Roman" w:cs="Times New Roman"/>
                <w:b/>
                <w:bCs/>
                <w:sz w:val="24"/>
                <w:szCs w:val="24"/>
              </w:rPr>
              <w:t xml:space="preserve">2) маржинальною ціною балансуючої електричної енергії на розвантаження в зоні z за ОРЧ </w:t>
            </w:r>
            <w:proofErr w:type="spellStart"/>
            <w:r w:rsidRPr="00A02646">
              <w:rPr>
                <w:rFonts w:ascii="Times New Roman" w:eastAsiaTheme="majorEastAsia" w:hAnsi="Times New Roman" w:cs="Times New Roman"/>
                <w:b/>
                <w:bCs/>
                <w:sz w:val="24"/>
                <w:szCs w:val="24"/>
              </w:rPr>
              <w:t>rtu</w:t>
            </w:r>
            <w:proofErr w:type="spellEnd"/>
            <w:r w:rsidRPr="00A02646">
              <w:rPr>
                <w:rFonts w:ascii="Times New Roman" w:eastAsiaTheme="majorEastAsia" w:hAnsi="Times New Roman" w:cs="Times New Roman"/>
                <w:b/>
                <w:bCs/>
                <w:sz w:val="24"/>
                <w:szCs w:val="24"/>
              </w:rPr>
              <w:t xml:space="preserve">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MP</m:t>
                  </m:r>
                </m:e>
                <m:sub>
                  <m:r>
                    <m:rPr>
                      <m:sty m:val="b"/>
                    </m:rPr>
                    <w:rPr>
                      <w:rFonts w:ascii="Cambria Math" w:eastAsiaTheme="majorEastAsia" w:hAnsi="Cambria Math" w:cs="Times New Roman"/>
                      <w:sz w:val="24"/>
                      <w:szCs w:val="24"/>
                    </w:rPr>
                    <m:t>z,rtu</m:t>
                  </m:r>
                </m:sub>
                <m:sup>
                  <m:r>
                    <m:rPr>
                      <m:sty m:val="b"/>
                    </m:rPr>
                    <w:rPr>
                      <w:rFonts w:ascii="Cambria Math" w:eastAsiaTheme="majorEastAsia" w:hAnsi="Cambria Math" w:cs="Times New Roman"/>
                      <w:sz w:val="24"/>
                      <w:szCs w:val="24"/>
                    </w:rPr>
                    <m:t>dn</m:t>
                  </m:r>
                </m:sup>
              </m:sSubSup>
            </m:oMath>
            <w:r w:rsidRPr="00A02646">
              <w:rPr>
                <w:rFonts w:ascii="Times New Roman" w:eastAsiaTheme="majorEastAsia" w:hAnsi="Times New Roman" w:cs="Times New Roman"/>
                <w:b/>
                <w:bCs/>
                <w:sz w:val="24"/>
                <w:szCs w:val="24"/>
              </w:rPr>
              <w:t>) є найменша ціна активованої з ранжиру відповідно до алгоритму балансуючого ринку заявки</w:t>
            </w:r>
            <w:r w:rsidRPr="00A02646" w:rsidDel="004B3B23">
              <w:rPr>
                <w:rFonts w:ascii="Times New Roman" w:eastAsiaTheme="majorEastAsia" w:hAnsi="Times New Roman" w:cs="Times New Roman"/>
                <w:b/>
                <w:bCs/>
                <w:sz w:val="24"/>
                <w:szCs w:val="24"/>
              </w:rPr>
              <w:t xml:space="preserve"> </w:t>
            </w:r>
            <w:r w:rsidRPr="00A02646">
              <w:rPr>
                <w:rFonts w:ascii="Times New Roman" w:eastAsiaTheme="majorEastAsia" w:hAnsi="Times New Roman" w:cs="Times New Roman"/>
                <w:b/>
                <w:bCs/>
                <w:sz w:val="24"/>
                <w:szCs w:val="24"/>
              </w:rPr>
              <w:t xml:space="preserve">на балансуючу електричну енергію на розвантаження протягом цієї ОРЧ. </w:t>
            </w:r>
            <w:r w:rsidRPr="00A02646">
              <w:rPr>
                <w:rFonts w:ascii="Times New Roman" w:eastAsiaTheme="majorEastAsia" w:hAnsi="Times New Roman" w:cs="Times New Roman"/>
                <w:sz w:val="24"/>
                <w:szCs w:val="24"/>
              </w:rPr>
              <w:t xml:space="preserve">Якщо в зоні системи в ОРЧ відсутні активації </w:t>
            </w:r>
            <w:r w:rsidRPr="00A02646">
              <w:rPr>
                <w:rFonts w:ascii="Times New Roman" w:eastAsiaTheme="majorEastAsia" w:hAnsi="Times New Roman" w:cs="Times New Roman"/>
                <w:b/>
                <w:bCs/>
                <w:sz w:val="24"/>
                <w:szCs w:val="24"/>
              </w:rPr>
              <w:t>заявок</w:t>
            </w:r>
            <w:r w:rsidRPr="00A02646">
              <w:rPr>
                <w:rFonts w:ascii="Times New Roman" w:eastAsiaTheme="majorEastAsia" w:hAnsi="Times New Roman" w:cs="Times New Roman"/>
                <w:sz w:val="24"/>
                <w:szCs w:val="24"/>
              </w:rPr>
              <w:t xml:space="preserve"> на балансуючу електричну енергію на розвантаження або всі активовані </w:t>
            </w:r>
            <w:r w:rsidRPr="00A02646">
              <w:rPr>
                <w:rFonts w:ascii="Times New Roman" w:eastAsiaTheme="majorEastAsia" w:hAnsi="Times New Roman" w:cs="Times New Roman"/>
                <w:b/>
                <w:bCs/>
                <w:sz w:val="24"/>
                <w:szCs w:val="24"/>
              </w:rPr>
              <w:t>заявки</w:t>
            </w:r>
            <w:r w:rsidRPr="00A02646">
              <w:rPr>
                <w:rFonts w:ascii="Times New Roman" w:eastAsiaTheme="majorEastAsia" w:hAnsi="Times New Roman" w:cs="Times New Roman"/>
                <w:sz w:val="24"/>
                <w:szCs w:val="24"/>
              </w:rPr>
              <w:t xml:space="preserve"> на балансуючу електричну енергію на розвантаження акцептовані як такі, що врегульовують системні обмеження в зоні, </w:t>
            </w:r>
            <w:r w:rsidRPr="00A02646">
              <w:rPr>
                <w:rFonts w:ascii="Times New Roman" w:eastAsiaTheme="majorEastAsia" w:hAnsi="Times New Roman" w:cs="Times New Roman"/>
                <w:b/>
                <w:bCs/>
                <w:sz w:val="24"/>
                <w:szCs w:val="24"/>
              </w:rPr>
              <w:t xml:space="preserve">маржинальною ціною балансуючої електричної енергії на розвантаження в зоні z за ОРЧ </w:t>
            </w:r>
            <w:proofErr w:type="spellStart"/>
            <w:r w:rsidRPr="00A02646">
              <w:rPr>
                <w:rFonts w:ascii="Times New Roman" w:eastAsiaTheme="majorEastAsia" w:hAnsi="Times New Roman" w:cs="Times New Roman"/>
                <w:b/>
                <w:bCs/>
                <w:sz w:val="24"/>
                <w:szCs w:val="24"/>
              </w:rPr>
              <w:t>rtu</w:t>
            </w:r>
            <w:proofErr w:type="spellEnd"/>
            <w:r w:rsidRPr="00A02646">
              <w:rPr>
                <w:rFonts w:ascii="Times New Roman" w:eastAsiaTheme="majorEastAsia" w:hAnsi="Times New Roman" w:cs="Times New Roman"/>
                <w:b/>
                <w:bCs/>
                <w:sz w:val="24"/>
                <w:szCs w:val="24"/>
              </w:rPr>
              <w:t xml:space="preserve">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MP</m:t>
                  </m:r>
                </m:e>
                <m:sub>
                  <m:r>
                    <m:rPr>
                      <m:sty m:val="b"/>
                    </m:rPr>
                    <w:rPr>
                      <w:rFonts w:ascii="Cambria Math" w:eastAsiaTheme="majorEastAsia" w:hAnsi="Cambria Math" w:cs="Times New Roman"/>
                      <w:sz w:val="24"/>
                      <w:szCs w:val="24"/>
                    </w:rPr>
                    <m:t>z,rtu</m:t>
                  </m:r>
                </m:sub>
                <m:sup>
                  <m:r>
                    <m:rPr>
                      <m:sty m:val="b"/>
                    </m:rPr>
                    <w:rPr>
                      <w:rFonts w:ascii="Cambria Math" w:eastAsiaTheme="majorEastAsia" w:hAnsi="Cambria Math" w:cs="Times New Roman"/>
                      <w:sz w:val="24"/>
                      <w:szCs w:val="24"/>
                      <w:lang w:val="en-US"/>
                    </w:rPr>
                    <m:t>dn</m:t>
                  </m:r>
                </m:sup>
              </m:sSubSup>
            </m:oMath>
            <w:r w:rsidRPr="00A02646">
              <w:rPr>
                <w:rFonts w:ascii="Times New Roman" w:eastAsiaTheme="majorEastAsia" w:hAnsi="Times New Roman" w:cs="Times New Roman"/>
                <w:b/>
                <w:bCs/>
                <w:sz w:val="24"/>
                <w:szCs w:val="24"/>
              </w:rPr>
              <w:t>) є середнє арифметичне</w:t>
            </w:r>
            <w:r w:rsidRPr="00A02646">
              <w:rPr>
                <w:rFonts w:ascii="Times New Roman" w:eastAsiaTheme="majorEastAsia" w:hAnsi="Times New Roman" w:cs="Times New Roman"/>
                <w:sz w:val="24"/>
                <w:szCs w:val="24"/>
              </w:rPr>
              <w:t xml:space="preserve"> значення останніх маржинальних цін балансуючої електричної енергії на розвантаження за аналогічні ОРЧ аналогічного розрахункового періоду, що наявні за попередні тридцять торгових днів.</w:t>
            </w:r>
            <w:bookmarkEnd w:id="2"/>
          </w:p>
        </w:tc>
      </w:tr>
      <w:tr w:rsidR="00A02646" w:rsidRPr="00A02646" w14:paraId="1A03A2E7" w14:textId="7206BC0F" w:rsidTr="00A02646">
        <w:tc>
          <w:tcPr>
            <w:tcW w:w="7371" w:type="dxa"/>
          </w:tcPr>
          <w:p w14:paraId="4B16BDD6"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lastRenderedPageBreak/>
              <w:t>5.13.2. Наявність дефіциту, профіциту або збалансованості зони системи визначається таким чином:</w:t>
            </w:r>
          </w:p>
          <w:p w14:paraId="427D93E8"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1) для ОРЧ: </w:t>
            </w:r>
          </w:p>
          <w:p w14:paraId="66A00AF6" w14:textId="50755E8C"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якщо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)&gt;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A02646">
              <w:rPr>
                <w:rFonts w:ascii="Times New Roman" w:eastAsiaTheme="majorEastAsia" w:hAnsi="Times New Roman" w:cs="Times New Roman"/>
                <w:sz w:val="24"/>
                <w:szCs w:val="24"/>
              </w:rPr>
              <w:t xml:space="preserve">, то зона системи перебуває в дефіциті; </w:t>
            </w:r>
          </w:p>
          <w:p w14:paraId="24D17DD9" w14:textId="785861B8"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якщо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)&lt;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A02646">
              <w:rPr>
                <w:rFonts w:ascii="Times New Roman" w:eastAsiaTheme="majorEastAsia" w:hAnsi="Times New Roman" w:cs="Times New Roman"/>
                <w:sz w:val="24"/>
                <w:szCs w:val="24"/>
              </w:rPr>
              <w:t xml:space="preserve">, то зона системи перебуває в профіциті; </w:t>
            </w:r>
          </w:p>
          <w:p w14:paraId="13D5B8B0" w14:textId="07325763"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якщо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A02646">
              <w:rPr>
                <w:rFonts w:ascii="Times New Roman" w:eastAsiaTheme="majorEastAsia" w:hAnsi="Times New Roman" w:cs="Times New Roman"/>
                <w:sz w:val="24"/>
                <w:szCs w:val="24"/>
              </w:rPr>
              <w:t xml:space="preserve">, то зона системи є збалансованою, </w:t>
            </w:r>
          </w:p>
          <w:p w14:paraId="091AFD06" w14:textId="1F23777C"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oMath>
            <w:r w:rsidRPr="00A02646">
              <w:rPr>
                <w:rFonts w:ascii="Times New Roman" w:eastAsiaTheme="majorEastAsia" w:hAnsi="Times New Roman" w:cs="Times New Roman"/>
                <w:sz w:val="24"/>
                <w:szCs w:val="24"/>
              </w:rPr>
              <w:t xml:space="preserve"> – активована балансуюча електрична енергія на завантаження в зоні z за ОРЧ rtu, МВт·год, що розраховується за формулою </w:t>
            </w:r>
          </w:p>
          <w:p w14:paraId="6B6994C9" w14:textId="6769075F"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eastAsiaTheme="majorEastAsia"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e>
              </m:nary>
            </m:oMath>
            <w:r w:rsidR="00A02646" w:rsidRPr="00A02646">
              <w:rPr>
                <w:rFonts w:ascii="Times New Roman" w:eastAsiaTheme="majorEastAsia" w:hAnsi="Times New Roman" w:cs="Times New Roman"/>
                <w:sz w:val="24"/>
                <w:szCs w:val="24"/>
              </w:rPr>
              <w:t>,</w:t>
            </w:r>
          </w:p>
          <w:p w14:paraId="4C7DD968" w14:textId="413CA343"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A02646">
              <w:rPr>
                <w:rFonts w:ascii="Times New Roman" w:eastAsiaTheme="majorEastAsia" w:hAnsi="Times New Roman" w:cs="Times New Roman"/>
                <w:sz w:val="24"/>
                <w:szCs w:val="24"/>
              </w:rPr>
              <w:t xml:space="preserve"> – активована балансуюча електрична енергія на завантаження одиниці надання послуг з балансування e в зоні z за ОРЧ </w:t>
            </w:r>
            <w:proofErr w:type="spellStart"/>
            <w:r w:rsidRPr="00A02646">
              <w:rPr>
                <w:rFonts w:ascii="Times New Roman" w:eastAsiaTheme="majorEastAsia" w:hAnsi="Times New Roman" w:cs="Times New Roman"/>
                <w:sz w:val="24"/>
                <w:szCs w:val="24"/>
              </w:rPr>
              <w:t>rtu</w:t>
            </w:r>
            <w:proofErr w:type="spellEnd"/>
            <w:r w:rsidRPr="00A02646">
              <w:rPr>
                <w:rFonts w:ascii="Times New Roman" w:eastAsiaTheme="majorEastAsia" w:hAnsi="Times New Roman" w:cs="Times New Roman"/>
                <w:sz w:val="24"/>
                <w:szCs w:val="24"/>
              </w:rPr>
              <w:t xml:space="preserve">, </w:t>
            </w:r>
            <w:proofErr w:type="spellStart"/>
            <w:r w:rsidRPr="00A02646">
              <w:rPr>
                <w:rFonts w:ascii="Times New Roman" w:eastAsiaTheme="majorEastAsia" w:hAnsi="Times New Roman" w:cs="Times New Roman"/>
                <w:sz w:val="24"/>
                <w:szCs w:val="24"/>
              </w:rPr>
              <w:t>МВт</w:t>
            </w:r>
            <w:r w:rsidRPr="00A02646">
              <w:rPr>
                <w:rFonts w:ascii="Cambria Math" w:eastAsiaTheme="majorEastAsia" w:hAnsi="Cambria Math" w:cs="Cambria Math"/>
                <w:sz w:val="24"/>
                <w:szCs w:val="24"/>
              </w:rPr>
              <w:t>⋅</w:t>
            </w:r>
            <w:r w:rsidRPr="00A02646">
              <w:rPr>
                <w:rFonts w:ascii="Times New Roman" w:eastAsiaTheme="majorEastAsia" w:hAnsi="Times New Roman" w:cs="Times New Roman"/>
                <w:sz w:val="24"/>
                <w:szCs w:val="24"/>
              </w:rPr>
              <w:t>год</w:t>
            </w:r>
            <w:proofErr w:type="spellEnd"/>
            <w:r w:rsidRPr="00A02646">
              <w:rPr>
                <w:rFonts w:ascii="Times New Roman" w:eastAsiaTheme="majorEastAsia" w:hAnsi="Times New Roman" w:cs="Times New Roman"/>
                <w:sz w:val="24"/>
                <w:szCs w:val="24"/>
              </w:rPr>
              <w:t xml:space="preserve">, що розраховується за формулою </w:t>
            </w:r>
          </w:p>
          <w:p w14:paraId="130A4453" w14:textId="6196EC0B"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e,z,rtu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nary>
                    <m:naryPr>
                      <m:chr m:val="∑"/>
                      <m:limLoc m:val="undOvr"/>
                      <m:subHide m:val="1"/>
                      <m:supHide m:val="1"/>
                      <m:ctrlPr>
                        <w:rPr>
                          <w:rFonts w:ascii="Cambria Math" w:hAnsi="Cambria Math" w:cs="Times New Roman"/>
                          <w:iCs/>
                          <w:sz w:val="24"/>
                          <w:szCs w:val="24"/>
                        </w:rPr>
                      </m:ctrlPr>
                    </m:naryPr>
                    <m:sub/>
                    <m:sup/>
                    <m:e>
                      <m:r>
                        <m:rPr>
                          <m:sty m:val="p"/>
                        </m:rPr>
                        <w:rPr>
                          <w:rFonts w:ascii="Cambria Math" w:hAnsi="Cambria Math" w:cs="Times New Roman"/>
                          <w:sz w:val="24"/>
                          <w:szCs w:val="24"/>
                        </w:rPr>
                        <m:t xml:space="preserve"> AB</m:t>
                      </m:r>
                    </m:e>
                  </m:nary>
                  <m:r>
                    <m:rPr>
                      <m:sty m:val="p"/>
                    </m:rPr>
                    <w:rPr>
                      <w:rFonts w:ascii="Cambria Math" w:hAnsi="Cambria Math" w:cs="Times New Roman"/>
                      <w:sz w:val="24"/>
                      <w:szCs w:val="24"/>
                    </w:rPr>
                    <m:t xml:space="preserve">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00A02646" w:rsidRPr="00A02646">
              <w:rPr>
                <w:rFonts w:ascii="Times New Roman" w:eastAsiaTheme="majorEastAsia" w:hAnsi="Times New Roman" w:cs="Times New Roman"/>
                <w:sz w:val="24"/>
                <w:szCs w:val="24"/>
              </w:rPr>
              <w:t>,</w:t>
            </w:r>
          </w:p>
          <w:p w14:paraId="0BEBD9F4" w14:textId="747F357C"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A02646">
              <w:rPr>
                <w:rFonts w:ascii="Times New Roman" w:eastAsiaTheme="majorEastAsia" w:hAnsi="Times New Roman" w:cs="Times New Roman"/>
                <w:sz w:val="24"/>
                <w:szCs w:val="24"/>
              </w:rPr>
              <w:t xml:space="preserve"> – активовані з ранжиру відповідно до алгоритму </w:t>
            </w:r>
            <w:r w:rsidRPr="00A02646">
              <w:rPr>
                <w:rFonts w:ascii="Times New Roman" w:eastAsiaTheme="majorEastAsia" w:hAnsi="Times New Roman" w:cs="Times New Roman"/>
                <w:sz w:val="24"/>
                <w:szCs w:val="24"/>
              </w:rPr>
              <w:lastRenderedPageBreak/>
              <w:t xml:space="preserve">балансуючого ринку пропозиції на балансуючу енергію на завантаження одиниці надання послуг з балансування e в зоні z за ОРЧ </w:t>
            </w:r>
            <w:proofErr w:type="spellStart"/>
            <w:r w:rsidRPr="00A02646">
              <w:rPr>
                <w:rFonts w:ascii="Times New Roman" w:eastAsiaTheme="majorEastAsia" w:hAnsi="Times New Roman" w:cs="Times New Roman"/>
                <w:sz w:val="24"/>
                <w:szCs w:val="24"/>
              </w:rPr>
              <w:t>rtu</w:t>
            </w:r>
            <w:proofErr w:type="spellEnd"/>
            <w:r w:rsidRPr="00A02646">
              <w:rPr>
                <w:rFonts w:ascii="Times New Roman" w:eastAsiaTheme="majorEastAsia" w:hAnsi="Times New Roman" w:cs="Times New Roman"/>
                <w:sz w:val="24"/>
                <w:szCs w:val="24"/>
              </w:rPr>
              <w:t xml:space="preserve">, </w:t>
            </w:r>
            <w:proofErr w:type="spellStart"/>
            <w:r w:rsidRPr="00A02646">
              <w:rPr>
                <w:rFonts w:ascii="Times New Roman" w:eastAsiaTheme="majorEastAsia" w:hAnsi="Times New Roman" w:cs="Times New Roman"/>
                <w:sz w:val="24"/>
                <w:szCs w:val="24"/>
              </w:rPr>
              <w:t>МВт</w:t>
            </w:r>
            <w:r w:rsidRPr="00A02646">
              <w:rPr>
                <w:rFonts w:ascii="Cambria Math" w:eastAsiaTheme="majorEastAsia" w:hAnsi="Cambria Math" w:cs="Cambria Math"/>
                <w:sz w:val="24"/>
                <w:szCs w:val="24"/>
              </w:rPr>
              <w:t>⋅</w:t>
            </w:r>
            <w:r w:rsidRPr="00A02646">
              <w:rPr>
                <w:rFonts w:ascii="Times New Roman" w:eastAsiaTheme="majorEastAsia" w:hAnsi="Times New Roman" w:cs="Times New Roman"/>
                <w:sz w:val="24"/>
                <w:szCs w:val="24"/>
              </w:rPr>
              <w:t>год</w:t>
            </w:r>
            <w:proofErr w:type="spellEnd"/>
            <w:r w:rsidRPr="00A02646">
              <w:rPr>
                <w:rFonts w:ascii="Times New Roman" w:eastAsiaTheme="majorEastAsia" w:hAnsi="Times New Roman" w:cs="Times New Roman"/>
                <w:sz w:val="24"/>
                <w:szCs w:val="24"/>
              </w:rPr>
              <w:t xml:space="preserve">. </w:t>
            </w:r>
          </w:p>
          <w:p w14:paraId="72152926"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iCs/>
                <w:sz w:val="24"/>
                <w:szCs w:val="24"/>
              </w:rPr>
            </w:pPr>
            <w:r w:rsidRPr="00A02646">
              <w:rPr>
                <w:rFonts w:ascii="Times New Roman" w:eastAsiaTheme="majorEastAsia" w:hAnsi="Times New Roman" w:cs="Times New Roman"/>
                <w:iCs/>
                <w:sz w:val="24"/>
                <w:szCs w:val="24"/>
              </w:rPr>
              <w:t xml:space="preserve">Для цілей цього пункту, пропозиції на балансуючу енергію на завантаження, акцептовані з поміткою відповідно до глави 4.19 розділу IV цих Правил, вважаються такими, що активовані з ранжиру відповідно до алгоритму балансуючого ринку; </w:t>
            </w:r>
          </w:p>
          <w:p w14:paraId="30D889E5" w14:textId="74E02544"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sz w:val="24"/>
                <w:szCs w:val="24"/>
              </w:rPr>
            </w:pPr>
            <m:oMath>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oMath>
            <w:r w:rsidR="00A02646" w:rsidRPr="00A02646">
              <w:rPr>
                <w:rFonts w:ascii="Times New Roman" w:eastAsiaTheme="majorEastAsia" w:hAnsi="Times New Roman" w:cs="Times New Roman"/>
                <w:sz w:val="24"/>
                <w:szCs w:val="24"/>
              </w:rPr>
              <w:t xml:space="preserve"> – обсяг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ОРЧ rtu, МВт·год, що розраховується за формулою</w:t>
            </w:r>
          </w:p>
          <w:p w14:paraId="7E2EF007" w14:textId="5F3011D2"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sz w:val="24"/>
                <w:szCs w:val="24"/>
              </w:rPr>
            </w:pPr>
            <m:oMath>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num>
                <m:den>
                  <m:r>
                    <m:rPr>
                      <m:sty m:val="p"/>
                    </m:rPr>
                    <w:rPr>
                      <w:rFonts w:ascii="Cambria Math" w:hAnsi="Cambria Math" w:cs="Times New Roman"/>
                      <w:sz w:val="24"/>
                      <w:szCs w:val="24"/>
                    </w:rPr>
                    <m:t>4</m:t>
                  </m:r>
                </m:den>
              </m:f>
            </m:oMath>
            <w:r w:rsidR="00A02646" w:rsidRPr="00A02646">
              <w:rPr>
                <w:rFonts w:ascii="Times New Roman" w:eastAsiaTheme="majorEastAsia" w:hAnsi="Times New Roman" w:cs="Times New Roman"/>
                <w:sz w:val="24"/>
                <w:szCs w:val="24"/>
              </w:rPr>
              <w:t>,</w:t>
            </w:r>
          </w:p>
          <w:p w14:paraId="69BB3493" w14:textId="4D8EDB54"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де </w:t>
            </w:r>
            <m:oMath>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oMath>
            <w:r w:rsidRPr="00A02646">
              <w:rPr>
                <w:rFonts w:ascii="Times New Roman" w:eastAsiaTheme="majorEastAsia" w:hAnsi="Times New Roman" w:cs="Times New Roman"/>
                <w:sz w:val="24"/>
                <w:szCs w:val="24"/>
              </w:rPr>
              <w:t xml:space="preserve"> –  обсяг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розрахунковий період t, МВт·год, який визначається відповідним оператором системи у межах власної мережі для кожного розрахункового періоду t торгового дня d та надається ним до ОСП (у ролі АР) до 13:00 d + 1 за формою та в порядку, що визначені та оприлюднені відповідним оператором системи; </w:t>
            </w:r>
          </w:p>
          <w:p w14:paraId="4DDCEB4E" w14:textId="00548605"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hAnsi="Cambria Math" w:cs="Times New Roman"/>
                      <w:sz w:val="24"/>
                      <w:szCs w:val="24"/>
                    </w:rPr>
                    <m:t>dn</m:t>
                  </m:r>
                </m:sup>
              </m:sSubSup>
            </m:oMath>
            <w:r w:rsidR="00A02646" w:rsidRPr="00A02646">
              <w:rPr>
                <w:rFonts w:ascii="Times New Roman" w:eastAsiaTheme="majorEastAsia" w:hAnsi="Times New Roman" w:cs="Times New Roman"/>
                <w:sz w:val="24"/>
                <w:szCs w:val="24"/>
              </w:rPr>
              <w:t xml:space="preserve"> – активована балансуюча електрична енергія на розвантаження в зоні z за ОРЧ rtu, МВт·год, що розраховується за формулою</w:t>
            </w:r>
          </w:p>
          <w:p w14:paraId="2F3BEB80" w14:textId="305DA1F8"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b/>
                <w:bCs/>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oMath>
            <w:r w:rsidR="00A02646" w:rsidRPr="00A02646">
              <w:rPr>
                <w:rFonts w:ascii="Times New Roman" w:hAnsi="Times New Roman" w:cs="Times New Roman"/>
                <w:sz w:val="24"/>
                <w:szCs w:val="24"/>
              </w:rPr>
              <w:t xml:space="preserve"> </w:t>
            </w:r>
          </w:p>
          <w:p w14:paraId="28C65103" w14:textId="570CC1D3"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oMath>
            <w:r w:rsidRPr="00A02646">
              <w:rPr>
                <w:rFonts w:ascii="Times New Roman" w:eastAsiaTheme="majorEastAsia" w:hAnsi="Times New Roman" w:cs="Times New Roman"/>
                <w:sz w:val="24"/>
                <w:szCs w:val="24"/>
              </w:rPr>
              <w:t xml:space="preserve"> – активована балансуюча електрична енергія на розвантаження одиниці надання послуг з балансування e в зоні z за ОРЧ rtu, МВт</w:t>
            </w:r>
            <w:r w:rsidRPr="00A02646">
              <w:rPr>
                <w:rFonts w:ascii="Cambria Math" w:eastAsiaTheme="majorEastAsia" w:hAnsi="Cambria Math" w:cs="Cambria Math"/>
                <w:sz w:val="24"/>
                <w:szCs w:val="24"/>
              </w:rPr>
              <w:t>⋅</w:t>
            </w:r>
            <w:r w:rsidRPr="00A02646">
              <w:rPr>
                <w:rFonts w:ascii="Times New Roman" w:eastAsiaTheme="majorEastAsia" w:hAnsi="Times New Roman" w:cs="Times New Roman"/>
                <w:sz w:val="24"/>
                <w:szCs w:val="24"/>
              </w:rPr>
              <w:t xml:space="preserve">год, що розраховується за формулою </w:t>
            </w:r>
          </w:p>
          <w:p w14:paraId="5B1EACD1" w14:textId="79B97241"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sz w:val="24"/>
                <w:szCs w:val="24"/>
              </w:rPr>
            </w:pP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nary>
                    <m:naryPr>
                      <m:chr m:val="∑"/>
                      <m:limLoc m:val="undOvr"/>
                      <m:subHide m:val="1"/>
                      <m:supHide m:val="1"/>
                      <m:ctrlPr>
                        <w:rPr>
                          <w:rFonts w:ascii="Cambria Math" w:hAnsi="Cambria Math" w:cs="Times New Roman"/>
                          <w:iCs/>
                          <w:sz w:val="24"/>
                          <w:szCs w:val="24"/>
                        </w:rPr>
                      </m:ctrlPr>
                    </m:naryPr>
                    <m:sub/>
                    <m:sup/>
                    <m:e>
                      <m:r>
                        <m:rPr>
                          <m:sty m:val="p"/>
                        </m:rPr>
                        <w:rPr>
                          <w:rFonts w:ascii="Cambria Math" w:hAnsi="Cambria Math" w:cs="Times New Roman"/>
                          <w:sz w:val="24"/>
                          <w:szCs w:val="24"/>
                        </w:rPr>
                        <m:t>AB</m:t>
                      </m:r>
                    </m:e>
                  </m:nary>
                  <m:r>
                    <m:rPr>
                      <m:sty m:val="p"/>
                    </m:rPr>
                    <w:rPr>
                      <w:rFonts w:ascii="Cambria Math" w:hAnsi="Cambria Math" w:cs="Times New Roman"/>
                      <w:sz w:val="24"/>
                      <w:szCs w:val="24"/>
                    </w:rPr>
                    <m:t xml:space="preserve">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dn</m:t>
                  </m:r>
                </m:sup>
              </m:sSubSup>
            </m:oMath>
            <w:r w:rsidR="00A02646" w:rsidRPr="00A02646">
              <w:rPr>
                <w:rFonts w:ascii="Times New Roman" w:eastAsiaTheme="majorEastAsia" w:hAnsi="Times New Roman" w:cs="Times New Roman"/>
                <w:sz w:val="24"/>
                <w:szCs w:val="24"/>
              </w:rPr>
              <w:t>,</w:t>
            </w:r>
          </w:p>
          <w:p w14:paraId="42D8A7C4" w14:textId="126D000C"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sz w:val="24"/>
                <w:szCs w:val="24"/>
              </w:rPr>
              <w:t>де</w:t>
            </w:r>
            <w:r w:rsidRPr="00A02646">
              <w:rPr>
                <w:rFonts w:ascii="Times New Roman" w:eastAsiaTheme="majorEastAsia" w:hAnsi="Times New Roman" w:cs="Times New Roman"/>
                <w:b/>
                <w:bCs/>
                <w:sz w:val="24"/>
                <w:szCs w:val="24"/>
              </w:rPr>
              <w:t xml:space="preserve">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 xml:space="preserve">AB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dn</m:t>
                  </m:r>
                </m:sup>
              </m:sSubSup>
            </m:oMath>
            <w:r w:rsidRPr="00A02646">
              <w:rPr>
                <w:rFonts w:ascii="Times New Roman" w:eastAsiaTheme="majorEastAsia" w:hAnsi="Times New Roman" w:cs="Times New Roman"/>
                <w:b/>
                <w:bCs/>
                <w:sz w:val="24"/>
                <w:szCs w:val="24"/>
              </w:rPr>
              <w:t xml:space="preserve"> </w:t>
            </w:r>
            <w:r w:rsidRPr="00A02646">
              <w:rPr>
                <w:rFonts w:ascii="Times New Roman" w:eastAsiaTheme="majorEastAsia" w:hAnsi="Times New Roman" w:cs="Times New Roman"/>
                <w:sz w:val="24"/>
                <w:szCs w:val="24"/>
              </w:rPr>
              <w:t xml:space="preserve">– активовані з ранжиру відповідно до алгоритму </w:t>
            </w:r>
            <w:r w:rsidRPr="00A02646">
              <w:rPr>
                <w:rFonts w:ascii="Times New Roman" w:eastAsiaTheme="majorEastAsia" w:hAnsi="Times New Roman" w:cs="Times New Roman"/>
                <w:sz w:val="24"/>
                <w:szCs w:val="24"/>
              </w:rPr>
              <w:lastRenderedPageBreak/>
              <w:t xml:space="preserve">балансуючого ринку пропозиції на балансуючу енергію на розвантаження одиниці надання послуг з балансування e в зоні z за ОРЧ </w:t>
            </w:r>
            <w:proofErr w:type="spellStart"/>
            <w:r w:rsidRPr="00A02646">
              <w:rPr>
                <w:rFonts w:ascii="Times New Roman" w:eastAsiaTheme="majorEastAsia" w:hAnsi="Times New Roman" w:cs="Times New Roman"/>
                <w:sz w:val="24"/>
                <w:szCs w:val="24"/>
              </w:rPr>
              <w:t>rtu</w:t>
            </w:r>
            <w:proofErr w:type="spellEnd"/>
            <w:r w:rsidRPr="00A02646">
              <w:rPr>
                <w:rFonts w:ascii="Times New Roman" w:eastAsiaTheme="majorEastAsia" w:hAnsi="Times New Roman" w:cs="Times New Roman"/>
                <w:sz w:val="24"/>
                <w:szCs w:val="24"/>
              </w:rPr>
              <w:t xml:space="preserve">, </w:t>
            </w:r>
            <w:proofErr w:type="spellStart"/>
            <w:r w:rsidRPr="00A02646">
              <w:rPr>
                <w:rFonts w:ascii="Times New Roman" w:eastAsiaTheme="majorEastAsia" w:hAnsi="Times New Roman" w:cs="Times New Roman"/>
                <w:sz w:val="24"/>
                <w:szCs w:val="24"/>
              </w:rPr>
              <w:t>МВт</w:t>
            </w:r>
            <w:r w:rsidRPr="00A02646">
              <w:rPr>
                <w:rFonts w:ascii="Cambria Math" w:eastAsiaTheme="majorEastAsia" w:hAnsi="Cambria Math" w:cs="Cambria Math"/>
                <w:sz w:val="24"/>
                <w:szCs w:val="24"/>
              </w:rPr>
              <w:t>⋅</w:t>
            </w:r>
            <w:r w:rsidRPr="00A02646">
              <w:rPr>
                <w:rFonts w:ascii="Times New Roman" w:eastAsiaTheme="majorEastAsia" w:hAnsi="Times New Roman" w:cs="Times New Roman"/>
                <w:sz w:val="24"/>
                <w:szCs w:val="24"/>
              </w:rPr>
              <w:t>год</w:t>
            </w:r>
            <w:proofErr w:type="spellEnd"/>
            <w:r w:rsidRPr="00A02646">
              <w:rPr>
                <w:rFonts w:ascii="Times New Roman" w:eastAsiaTheme="majorEastAsia" w:hAnsi="Times New Roman" w:cs="Times New Roman"/>
                <w:sz w:val="24"/>
                <w:szCs w:val="24"/>
              </w:rPr>
              <w:t xml:space="preserve">. </w:t>
            </w:r>
          </w:p>
          <w:p w14:paraId="0CA8DBE1"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iCs/>
                <w:sz w:val="24"/>
                <w:szCs w:val="24"/>
              </w:rPr>
              <w:t xml:space="preserve">Для цілей цього пункту, пропозиції на балансуючу енергію на розвантаження, акцептовані з поміткою відповідно до глави 4.19 розділу IV цих Правил, вважаються такими, що активовані з ранжиру відповідно до алгоритму балансуючого ринку; </w:t>
            </w:r>
          </w:p>
          <w:p w14:paraId="4507F9C4"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2) для розрахункового періоду: </w:t>
            </w:r>
          </w:p>
          <w:p w14:paraId="5E05A26D" w14:textId="03E8F8B2"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eastAsiaTheme="majorEastAsia" w:hAnsi="Times New Roman" w:cs="Times New Roman"/>
                <w:sz w:val="24"/>
                <w:szCs w:val="24"/>
              </w:rPr>
              <w:t xml:space="preserve">якщо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r>
                        <m:rPr>
                          <m:sty m:val="p"/>
                        </m:rPr>
                        <w:rPr>
                          <w:rFonts w:ascii="Cambria Math" w:hAnsi="Cambria Math" w:cs="Times New Roman"/>
                          <w:sz w:val="24"/>
                          <w:szCs w:val="24"/>
                        </w:rPr>
                        <m:t>ABE</m:t>
                      </m:r>
                    </m:e>
                  </m:nary>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)&gt;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A02646">
              <w:rPr>
                <w:rFonts w:ascii="Times New Roman" w:eastAsiaTheme="majorEastAsia" w:hAnsi="Times New Roman" w:cs="Times New Roman"/>
                <w:sz w:val="24"/>
                <w:szCs w:val="24"/>
              </w:rPr>
              <w:t xml:space="preserve">, то зона системи перебуває в дефіциті; </w:t>
            </w:r>
          </w:p>
          <w:p w14:paraId="193521B7" w14:textId="02CC9923"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якщо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r>
                        <m:rPr>
                          <m:sty m:val="p"/>
                        </m:rPr>
                        <w:rPr>
                          <w:rFonts w:ascii="Cambria Math" w:hAnsi="Cambria Math" w:cs="Times New Roman"/>
                          <w:sz w:val="24"/>
                          <w:szCs w:val="24"/>
                        </w:rPr>
                        <m:t>ABE</m:t>
                      </m:r>
                    </m:e>
                  </m:nary>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)&lt;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A02646">
              <w:rPr>
                <w:rFonts w:ascii="Times New Roman" w:eastAsiaTheme="majorEastAsia" w:hAnsi="Times New Roman" w:cs="Times New Roman"/>
                <w:sz w:val="24"/>
                <w:szCs w:val="24"/>
              </w:rPr>
              <w:t xml:space="preserve">, то зона системи перебуває в профіциті; </w:t>
            </w:r>
          </w:p>
          <w:p w14:paraId="52D8899F" w14:textId="5E5F8BC5"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sz w:val="24"/>
                <w:szCs w:val="24"/>
              </w:rPr>
              <w:t xml:space="preserve">якщо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r>
                        <m:rPr>
                          <m:sty m:val="p"/>
                        </m:rPr>
                        <w:rPr>
                          <w:rFonts w:ascii="Cambria Math" w:hAnsi="Cambria Math" w:cs="Times New Roman"/>
                          <w:sz w:val="24"/>
                          <w:szCs w:val="24"/>
                        </w:rPr>
                        <m:t>ABE</m:t>
                      </m:r>
                    </m:e>
                  </m:nary>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A02646">
              <w:rPr>
                <w:rFonts w:ascii="Times New Roman" w:eastAsiaTheme="majorEastAsia" w:hAnsi="Times New Roman" w:cs="Times New Roman"/>
                <w:sz w:val="24"/>
                <w:szCs w:val="24"/>
              </w:rPr>
              <w:t>, то зона системи є збалансованою.</w:t>
            </w:r>
          </w:p>
        </w:tc>
        <w:tc>
          <w:tcPr>
            <w:tcW w:w="7371" w:type="dxa"/>
          </w:tcPr>
          <w:p w14:paraId="05DD3A02" w14:textId="1FFCF88E"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bookmarkStart w:id="3" w:name="_Hlk236048687"/>
            <w:r w:rsidRPr="00A02646">
              <w:rPr>
                <w:rFonts w:ascii="Times New Roman" w:eastAsiaTheme="majorEastAsia" w:hAnsi="Times New Roman" w:cs="Times New Roman"/>
                <w:b/>
                <w:bCs/>
                <w:sz w:val="24"/>
                <w:szCs w:val="24"/>
              </w:rPr>
              <w:lastRenderedPageBreak/>
              <w:t>5.13.2. Активована відповідно до алгоритму балансуючого ринку балансуюча електрична енергія на завантаження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oMath>
            <w:r w:rsidRPr="00A02646">
              <w:rPr>
                <w:rFonts w:ascii="Times New Roman" w:eastAsiaTheme="majorEastAsia" w:hAnsi="Times New Roman" w:cs="Times New Roman"/>
                <w:b/>
                <w:bCs/>
                <w:sz w:val="24"/>
                <w:szCs w:val="24"/>
              </w:rPr>
              <w:t xml:space="preserve">) в зоні z за ОРЧ rtu, МВт·год,  розраховується за формулою </w:t>
            </w:r>
          </w:p>
          <w:p w14:paraId="13070FF5" w14:textId="49C791E4"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b/>
                <w:bCs/>
                <w:sz w:val="24"/>
                <w:szCs w:val="24"/>
              </w:rPr>
            </w:pP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eastAsiaTheme="majorEastAsia" w:hAnsi="Cambria Math" w:cs="Times New Roman"/>
                      <w:sz w:val="24"/>
                      <w:szCs w:val="24"/>
                    </w:rPr>
                    <m:t>e∈Z</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e>
              </m:nary>
            </m:oMath>
            <w:r w:rsidR="00A02646" w:rsidRPr="00A02646">
              <w:rPr>
                <w:rFonts w:ascii="Times New Roman" w:eastAsiaTheme="majorEastAsia" w:hAnsi="Times New Roman" w:cs="Times New Roman"/>
                <w:b/>
                <w:bCs/>
                <w:sz w:val="24"/>
                <w:szCs w:val="24"/>
              </w:rPr>
              <w:t>,</w:t>
            </w:r>
          </w:p>
          <w:p w14:paraId="10FBEA72" w14:textId="3A7C6498"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oMath>
            <w:r w:rsidRPr="00A02646">
              <w:rPr>
                <w:rFonts w:ascii="Times New Roman" w:eastAsiaTheme="majorEastAsia" w:hAnsi="Times New Roman" w:cs="Times New Roman"/>
                <w:b/>
                <w:bCs/>
                <w:sz w:val="24"/>
                <w:szCs w:val="24"/>
              </w:rPr>
              <w:t xml:space="preserve"> – активована відповідно до алгоритму балансуючого ринку балансуюча електрична енергія на завантаження одиниці надання послуг з балансування e в зоні z за ОРЧ </w:t>
            </w:r>
            <w:proofErr w:type="spellStart"/>
            <w:r w:rsidRPr="00A02646">
              <w:rPr>
                <w:rFonts w:ascii="Times New Roman" w:eastAsiaTheme="majorEastAsia" w:hAnsi="Times New Roman" w:cs="Times New Roman"/>
                <w:b/>
                <w:bCs/>
                <w:sz w:val="24"/>
                <w:szCs w:val="24"/>
              </w:rPr>
              <w:t>rtu</w:t>
            </w:r>
            <w:proofErr w:type="spellEnd"/>
            <w:r w:rsidRPr="00A02646">
              <w:rPr>
                <w:rFonts w:ascii="Times New Roman" w:eastAsiaTheme="majorEastAsia" w:hAnsi="Times New Roman" w:cs="Times New Roman"/>
                <w:b/>
                <w:bCs/>
                <w:sz w:val="24"/>
                <w:szCs w:val="24"/>
              </w:rPr>
              <w:t xml:space="preserve">, </w:t>
            </w:r>
            <w:proofErr w:type="spellStart"/>
            <w:r w:rsidRPr="00A02646">
              <w:rPr>
                <w:rFonts w:ascii="Times New Roman" w:eastAsiaTheme="majorEastAsia" w:hAnsi="Times New Roman" w:cs="Times New Roman"/>
                <w:b/>
                <w:bCs/>
                <w:sz w:val="24"/>
                <w:szCs w:val="24"/>
              </w:rPr>
              <w:t>МВт</w:t>
            </w:r>
            <w:r w:rsidRPr="00A02646">
              <w:rPr>
                <w:rFonts w:ascii="Cambria Math" w:eastAsiaTheme="majorEastAsia" w:hAnsi="Cambria Math" w:cs="Cambria Math"/>
                <w:b/>
                <w:bCs/>
                <w:sz w:val="24"/>
                <w:szCs w:val="24"/>
              </w:rPr>
              <w:t>⋅</w:t>
            </w:r>
            <w:r w:rsidRPr="00A02646">
              <w:rPr>
                <w:rFonts w:ascii="Times New Roman" w:eastAsiaTheme="majorEastAsia" w:hAnsi="Times New Roman" w:cs="Times New Roman"/>
                <w:b/>
                <w:bCs/>
                <w:sz w:val="24"/>
                <w:szCs w:val="24"/>
              </w:rPr>
              <w:t>год</w:t>
            </w:r>
            <w:proofErr w:type="spellEnd"/>
            <w:r w:rsidRPr="00A02646">
              <w:rPr>
                <w:rFonts w:ascii="Times New Roman" w:eastAsiaTheme="majorEastAsia" w:hAnsi="Times New Roman" w:cs="Times New Roman"/>
                <w:b/>
                <w:bCs/>
                <w:sz w:val="24"/>
                <w:szCs w:val="24"/>
              </w:rPr>
              <w:t xml:space="preserve">, що розраховується за формулою </w:t>
            </w:r>
          </w:p>
          <w:p w14:paraId="4973D088" w14:textId="7C644FC1"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b/>
                <w:bCs/>
                <w:sz w:val="24"/>
                <w:szCs w:val="24"/>
              </w:rPr>
            </w:pP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e,z,rtu</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sSubSup>
                <m:sSubSupPr>
                  <m:ctrlPr>
                    <w:rPr>
                      <w:rFonts w:ascii="Cambria Math" w:hAnsi="Cambria Math" w:cs="Times New Roman"/>
                      <w:b/>
                      <w:bCs/>
                      <w:iCs/>
                      <w:sz w:val="24"/>
                      <w:szCs w:val="24"/>
                    </w:rPr>
                  </m:ctrlPr>
                </m:sSubSupPr>
                <m:e>
                  <m:nary>
                    <m:naryPr>
                      <m:chr m:val="∑"/>
                      <m:limLoc m:val="undOvr"/>
                      <m:subHide m:val="1"/>
                      <m:supHide m:val="1"/>
                      <m:ctrlPr>
                        <w:rPr>
                          <w:rFonts w:ascii="Cambria Math" w:hAnsi="Cambria Math" w:cs="Times New Roman"/>
                          <w:b/>
                          <w:bCs/>
                          <w:iCs/>
                          <w:sz w:val="24"/>
                          <w:szCs w:val="24"/>
                        </w:rPr>
                      </m:ctrlPr>
                    </m:naryPr>
                    <m:sub/>
                    <m:sup/>
                    <m:e>
                      <m:r>
                        <m:rPr>
                          <m:sty m:val="b"/>
                        </m:rPr>
                        <w:rPr>
                          <w:rFonts w:ascii="Cambria Math" w:hAnsi="Cambria Math" w:cs="Times New Roman"/>
                          <w:sz w:val="24"/>
                          <w:szCs w:val="24"/>
                        </w:rPr>
                        <m:t xml:space="preserve"> AB</m:t>
                      </m:r>
                    </m:e>
                  </m:nary>
                  <m:r>
                    <m:rPr>
                      <m:sty m:val="b"/>
                    </m:rPr>
                    <w:rPr>
                      <w:rFonts w:ascii="Cambria Math" w:hAnsi="Cambria Math" w:cs="Times New Roman"/>
                      <w:sz w:val="24"/>
                      <w:szCs w:val="24"/>
                    </w:rPr>
                    <m:t xml:space="preserve"> </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oMath>
            <w:r w:rsidR="00A02646" w:rsidRPr="00A02646">
              <w:rPr>
                <w:rFonts w:ascii="Times New Roman" w:eastAsiaTheme="majorEastAsia" w:hAnsi="Times New Roman" w:cs="Times New Roman"/>
                <w:b/>
                <w:bCs/>
                <w:sz w:val="24"/>
                <w:szCs w:val="24"/>
              </w:rPr>
              <w:t>,</w:t>
            </w:r>
          </w:p>
          <w:p w14:paraId="43A227F4" w14:textId="1D36AC3A"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oMath>
            <w:r w:rsidRPr="00A02646">
              <w:rPr>
                <w:rFonts w:ascii="Times New Roman" w:eastAsiaTheme="majorEastAsia" w:hAnsi="Times New Roman" w:cs="Times New Roman"/>
                <w:b/>
                <w:bCs/>
                <w:sz w:val="24"/>
                <w:szCs w:val="24"/>
              </w:rPr>
              <w:t xml:space="preserve"> – активовані з ранжиру відповідно до алгоритму балансуючого ринку заявки на балансуючу енергію на завантаження одиниці надання послуг з балансування e в зоні z за ОРЧ </w:t>
            </w:r>
            <w:proofErr w:type="spellStart"/>
            <w:r w:rsidRPr="00A02646">
              <w:rPr>
                <w:rFonts w:ascii="Times New Roman" w:eastAsiaTheme="majorEastAsia" w:hAnsi="Times New Roman" w:cs="Times New Roman"/>
                <w:b/>
                <w:bCs/>
                <w:sz w:val="24"/>
                <w:szCs w:val="24"/>
              </w:rPr>
              <w:t>rtu</w:t>
            </w:r>
            <w:proofErr w:type="spellEnd"/>
            <w:r w:rsidRPr="00A02646">
              <w:rPr>
                <w:rFonts w:ascii="Times New Roman" w:eastAsiaTheme="majorEastAsia" w:hAnsi="Times New Roman" w:cs="Times New Roman"/>
                <w:b/>
                <w:bCs/>
                <w:sz w:val="24"/>
                <w:szCs w:val="24"/>
              </w:rPr>
              <w:t xml:space="preserve">, </w:t>
            </w:r>
            <w:proofErr w:type="spellStart"/>
            <w:r w:rsidRPr="00A02646">
              <w:rPr>
                <w:rFonts w:ascii="Times New Roman" w:eastAsiaTheme="majorEastAsia" w:hAnsi="Times New Roman" w:cs="Times New Roman"/>
                <w:b/>
                <w:bCs/>
                <w:sz w:val="24"/>
                <w:szCs w:val="24"/>
              </w:rPr>
              <w:t>МВт</w:t>
            </w:r>
            <w:r w:rsidRPr="00A02646">
              <w:rPr>
                <w:rFonts w:ascii="Cambria Math" w:eastAsiaTheme="majorEastAsia" w:hAnsi="Cambria Math" w:cs="Cambria Math"/>
                <w:b/>
                <w:bCs/>
                <w:sz w:val="24"/>
                <w:szCs w:val="24"/>
              </w:rPr>
              <w:t>⋅</w:t>
            </w:r>
            <w:r w:rsidRPr="00A02646">
              <w:rPr>
                <w:rFonts w:ascii="Times New Roman" w:eastAsiaTheme="majorEastAsia" w:hAnsi="Times New Roman" w:cs="Times New Roman"/>
                <w:b/>
                <w:bCs/>
                <w:sz w:val="24"/>
                <w:szCs w:val="24"/>
              </w:rPr>
              <w:t>год</w:t>
            </w:r>
            <w:proofErr w:type="spellEnd"/>
            <w:r w:rsidRPr="00A02646">
              <w:rPr>
                <w:rFonts w:ascii="Times New Roman" w:eastAsiaTheme="majorEastAsia" w:hAnsi="Times New Roman" w:cs="Times New Roman"/>
                <w:b/>
                <w:bCs/>
                <w:sz w:val="24"/>
                <w:szCs w:val="24"/>
              </w:rPr>
              <w:t xml:space="preserve">. </w:t>
            </w:r>
          </w:p>
          <w:p w14:paraId="3EE38AB1" w14:textId="723D52BF"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b/>
                <w:bCs/>
                <w:sz w:val="24"/>
                <w:szCs w:val="24"/>
              </w:rPr>
              <w:t xml:space="preserve">Активована відповідно до алгоритму балансуючого ринку балансуюча електрична енергія на розвантаження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eastAsiaTheme="majorEastAsia" w:hAnsi="Cambria Math" w:cs="Times New Roman"/>
                      <w:sz w:val="24"/>
                      <w:szCs w:val="24"/>
                    </w:rPr>
                    <m:t xml:space="preserve">z,rtu </m:t>
                  </m:r>
                </m:sub>
                <m:sup>
                  <m:r>
                    <m:rPr>
                      <m:sty m:val="b"/>
                    </m:rPr>
                    <w:rPr>
                      <w:rFonts w:ascii="Cambria Math" w:hAnsi="Cambria Math" w:cs="Times New Roman"/>
                      <w:sz w:val="24"/>
                      <w:szCs w:val="24"/>
                    </w:rPr>
                    <m:t>dn</m:t>
                  </m:r>
                </m:sup>
              </m:sSubSup>
            </m:oMath>
            <w:r w:rsidRPr="00A02646">
              <w:rPr>
                <w:rFonts w:ascii="Times New Roman" w:eastAsiaTheme="majorEastAsia" w:hAnsi="Times New Roman" w:cs="Times New Roman"/>
                <w:b/>
                <w:bCs/>
                <w:sz w:val="24"/>
                <w:szCs w:val="24"/>
              </w:rPr>
              <w:t>в зоні z за ОРЧ rtu, МВт·год, розраховується за формулою</w:t>
            </w:r>
          </w:p>
          <w:p w14:paraId="220A2932" w14:textId="33AD804F"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b/>
                <w:bCs/>
                <w:sz w:val="24"/>
                <w:szCs w:val="24"/>
              </w:rPr>
            </w:pP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z,rtu </m:t>
                  </m:r>
                </m:sub>
                <m:sup>
                  <m:r>
                    <m:rPr>
                      <m:sty m:val="b"/>
                    </m:rPr>
                    <w:rPr>
                      <w:rFonts w:ascii="Cambria Math" w:hAnsi="Cambria Math" w:cs="Times New Roman"/>
                      <w:sz w:val="24"/>
                      <w:szCs w:val="24"/>
                    </w:rPr>
                    <m:t>dn</m:t>
                  </m:r>
                </m:sup>
              </m:sSubSup>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e∈Z</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dn</m:t>
                      </m:r>
                    </m:sup>
                  </m:sSubSup>
                </m:e>
              </m:nary>
            </m:oMath>
            <w:r w:rsidR="00A02646" w:rsidRPr="00A02646">
              <w:rPr>
                <w:rFonts w:ascii="Times New Roman" w:eastAsiaTheme="minorEastAsia" w:hAnsi="Times New Roman" w:cs="Times New Roman"/>
                <w:b/>
                <w:bCs/>
                <w:sz w:val="24"/>
                <w:szCs w:val="24"/>
              </w:rPr>
              <w:t>,</w:t>
            </w:r>
            <w:r w:rsidR="00A02646" w:rsidRPr="00A02646">
              <w:rPr>
                <w:rFonts w:ascii="Times New Roman" w:hAnsi="Times New Roman" w:cs="Times New Roman"/>
                <w:b/>
                <w:bCs/>
                <w:sz w:val="24"/>
                <w:szCs w:val="24"/>
              </w:rPr>
              <w:t xml:space="preserve"> </w:t>
            </w:r>
          </w:p>
          <w:p w14:paraId="7ADB21CD" w14:textId="18A4FCF2"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dn</m:t>
                  </m:r>
                </m:sup>
              </m:sSubSup>
            </m:oMath>
            <w:r w:rsidRPr="00A02646">
              <w:rPr>
                <w:rFonts w:ascii="Times New Roman" w:eastAsiaTheme="majorEastAsia" w:hAnsi="Times New Roman" w:cs="Times New Roman"/>
                <w:b/>
                <w:bCs/>
                <w:sz w:val="24"/>
                <w:szCs w:val="24"/>
              </w:rPr>
              <w:t xml:space="preserve"> – активована відповідно до алгоритму балансуючого ринку балансуюча електрична енергія на розвантаження одиниці </w:t>
            </w:r>
            <w:r w:rsidRPr="00A02646">
              <w:rPr>
                <w:rFonts w:ascii="Times New Roman" w:eastAsiaTheme="majorEastAsia" w:hAnsi="Times New Roman" w:cs="Times New Roman"/>
                <w:b/>
                <w:bCs/>
                <w:sz w:val="24"/>
                <w:szCs w:val="24"/>
              </w:rPr>
              <w:lastRenderedPageBreak/>
              <w:t xml:space="preserve">надання послуг з балансування e в зоні z за ОРЧ </w:t>
            </w:r>
            <w:proofErr w:type="spellStart"/>
            <w:r w:rsidRPr="00A02646">
              <w:rPr>
                <w:rFonts w:ascii="Times New Roman" w:eastAsiaTheme="majorEastAsia" w:hAnsi="Times New Roman" w:cs="Times New Roman"/>
                <w:b/>
                <w:bCs/>
                <w:sz w:val="24"/>
                <w:szCs w:val="24"/>
              </w:rPr>
              <w:t>rtu</w:t>
            </w:r>
            <w:proofErr w:type="spellEnd"/>
            <w:r w:rsidRPr="00A02646">
              <w:rPr>
                <w:rFonts w:ascii="Times New Roman" w:eastAsiaTheme="majorEastAsia" w:hAnsi="Times New Roman" w:cs="Times New Roman"/>
                <w:b/>
                <w:bCs/>
                <w:sz w:val="24"/>
                <w:szCs w:val="24"/>
              </w:rPr>
              <w:t xml:space="preserve">, </w:t>
            </w:r>
            <w:proofErr w:type="spellStart"/>
            <w:r w:rsidRPr="00A02646">
              <w:rPr>
                <w:rFonts w:ascii="Times New Roman" w:eastAsiaTheme="majorEastAsia" w:hAnsi="Times New Roman" w:cs="Times New Roman"/>
                <w:b/>
                <w:bCs/>
                <w:sz w:val="24"/>
                <w:szCs w:val="24"/>
              </w:rPr>
              <w:t>МВт</w:t>
            </w:r>
            <w:r w:rsidRPr="00A02646">
              <w:rPr>
                <w:rFonts w:ascii="Cambria Math" w:eastAsiaTheme="majorEastAsia" w:hAnsi="Cambria Math" w:cs="Cambria Math"/>
                <w:b/>
                <w:bCs/>
                <w:sz w:val="24"/>
                <w:szCs w:val="24"/>
              </w:rPr>
              <w:t>⋅</w:t>
            </w:r>
            <w:r w:rsidRPr="00A02646">
              <w:rPr>
                <w:rFonts w:ascii="Times New Roman" w:eastAsiaTheme="majorEastAsia" w:hAnsi="Times New Roman" w:cs="Times New Roman"/>
                <w:b/>
                <w:bCs/>
                <w:sz w:val="24"/>
                <w:szCs w:val="24"/>
              </w:rPr>
              <w:t>год</w:t>
            </w:r>
            <w:proofErr w:type="spellEnd"/>
            <w:r w:rsidRPr="00A02646">
              <w:rPr>
                <w:rFonts w:ascii="Times New Roman" w:eastAsiaTheme="majorEastAsia" w:hAnsi="Times New Roman" w:cs="Times New Roman"/>
                <w:b/>
                <w:bCs/>
                <w:sz w:val="24"/>
                <w:szCs w:val="24"/>
              </w:rPr>
              <w:t xml:space="preserve">, що розраховується за формулою </w:t>
            </w:r>
          </w:p>
          <w:p w14:paraId="43ACAFFB" w14:textId="7CA47028"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b/>
                <w:bCs/>
                <w:sz w:val="24"/>
                <w:szCs w:val="24"/>
              </w:rPr>
            </w:pP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dn</m:t>
                  </m:r>
                </m:sup>
              </m:sSubSup>
              <m:r>
                <m:rPr>
                  <m:sty m:val="b"/>
                </m:rPr>
                <w:rPr>
                  <w:rFonts w:ascii="Cambria Math" w:hAnsi="Cambria Math" w:cs="Times New Roman"/>
                  <w:sz w:val="24"/>
                  <w:szCs w:val="24"/>
                </w:rPr>
                <m:t>=</m:t>
              </m:r>
              <m:sSubSup>
                <m:sSubSupPr>
                  <m:ctrlPr>
                    <w:rPr>
                      <w:rFonts w:ascii="Cambria Math" w:hAnsi="Cambria Math" w:cs="Times New Roman"/>
                      <w:b/>
                      <w:bCs/>
                      <w:iCs/>
                      <w:sz w:val="24"/>
                      <w:szCs w:val="24"/>
                    </w:rPr>
                  </m:ctrlPr>
                </m:sSubSupPr>
                <m:e>
                  <m:nary>
                    <m:naryPr>
                      <m:chr m:val="∑"/>
                      <m:limLoc m:val="undOvr"/>
                      <m:subHide m:val="1"/>
                      <m:supHide m:val="1"/>
                      <m:ctrlPr>
                        <w:rPr>
                          <w:rFonts w:ascii="Cambria Math" w:hAnsi="Cambria Math" w:cs="Times New Roman"/>
                          <w:b/>
                          <w:bCs/>
                          <w:iCs/>
                          <w:sz w:val="24"/>
                          <w:szCs w:val="24"/>
                        </w:rPr>
                      </m:ctrlPr>
                    </m:naryPr>
                    <m:sub/>
                    <m:sup/>
                    <m:e>
                      <m:r>
                        <m:rPr>
                          <m:sty m:val="b"/>
                        </m:rPr>
                        <w:rPr>
                          <w:rFonts w:ascii="Cambria Math" w:hAnsi="Cambria Math" w:cs="Times New Roman"/>
                          <w:sz w:val="24"/>
                          <w:szCs w:val="24"/>
                        </w:rPr>
                        <m:t>AB</m:t>
                      </m:r>
                    </m:e>
                  </m:nary>
                  <m:r>
                    <m:rPr>
                      <m:sty m:val="b"/>
                    </m:rPr>
                    <w:rPr>
                      <w:rFonts w:ascii="Cambria Math" w:hAnsi="Cambria Math" w:cs="Times New Roman"/>
                      <w:sz w:val="24"/>
                      <w:szCs w:val="24"/>
                    </w:rPr>
                    <m:t xml:space="preserve"> </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dn</m:t>
                  </m:r>
                </m:sup>
              </m:sSubSup>
            </m:oMath>
            <w:r w:rsidR="00A02646" w:rsidRPr="00A02646">
              <w:rPr>
                <w:rFonts w:ascii="Times New Roman" w:eastAsiaTheme="majorEastAsia" w:hAnsi="Times New Roman" w:cs="Times New Roman"/>
                <w:b/>
                <w:bCs/>
                <w:sz w:val="24"/>
                <w:szCs w:val="24"/>
              </w:rPr>
              <w:t>,</w:t>
            </w:r>
          </w:p>
          <w:p w14:paraId="07697AF2" w14:textId="6C8F8846"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 xml:space="preserve">AB </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dn</m:t>
                  </m:r>
                </m:sup>
              </m:sSubSup>
            </m:oMath>
            <w:r w:rsidRPr="00A02646">
              <w:rPr>
                <w:rFonts w:ascii="Times New Roman" w:eastAsiaTheme="majorEastAsia" w:hAnsi="Times New Roman" w:cs="Times New Roman"/>
                <w:b/>
                <w:bCs/>
                <w:sz w:val="24"/>
                <w:szCs w:val="24"/>
              </w:rPr>
              <w:t xml:space="preserve"> – активовані з ранжиру відповідно до алгоритму балансуючого ринку заявки на балансуючу енергію на розвантаження одиниці надання послуг з балансування e в зоні z за ОРЧ </w:t>
            </w:r>
            <w:proofErr w:type="spellStart"/>
            <w:r w:rsidRPr="00A02646">
              <w:rPr>
                <w:rFonts w:ascii="Times New Roman" w:eastAsiaTheme="majorEastAsia" w:hAnsi="Times New Roman" w:cs="Times New Roman"/>
                <w:b/>
                <w:bCs/>
                <w:sz w:val="24"/>
                <w:szCs w:val="24"/>
              </w:rPr>
              <w:t>rtu</w:t>
            </w:r>
            <w:proofErr w:type="spellEnd"/>
            <w:r w:rsidRPr="00A02646">
              <w:rPr>
                <w:rFonts w:ascii="Times New Roman" w:eastAsiaTheme="majorEastAsia" w:hAnsi="Times New Roman" w:cs="Times New Roman"/>
                <w:b/>
                <w:bCs/>
                <w:sz w:val="24"/>
                <w:szCs w:val="24"/>
              </w:rPr>
              <w:t xml:space="preserve">, </w:t>
            </w:r>
            <w:proofErr w:type="spellStart"/>
            <w:r w:rsidRPr="00A02646">
              <w:rPr>
                <w:rFonts w:ascii="Times New Roman" w:eastAsiaTheme="majorEastAsia" w:hAnsi="Times New Roman" w:cs="Times New Roman"/>
                <w:b/>
                <w:bCs/>
                <w:sz w:val="24"/>
                <w:szCs w:val="24"/>
              </w:rPr>
              <w:t>МВт</w:t>
            </w:r>
            <w:r w:rsidRPr="00A02646">
              <w:rPr>
                <w:rFonts w:ascii="Cambria Math" w:eastAsiaTheme="majorEastAsia" w:hAnsi="Cambria Math" w:cs="Cambria Math"/>
                <w:b/>
                <w:bCs/>
                <w:sz w:val="24"/>
                <w:szCs w:val="24"/>
              </w:rPr>
              <w:t>⋅</w:t>
            </w:r>
            <w:r w:rsidRPr="00A02646">
              <w:rPr>
                <w:rFonts w:ascii="Times New Roman" w:eastAsiaTheme="majorEastAsia" w:hAnsi="Times New Roman" w:cs="Times New Roman"/>
                <w:b/>
                <w:bCs/>
                <w:sz w:val="24"/>
                <w:szCs w:val="24"/>
              </w:rPr>
              <w:t>год</w:t>
            </w:r>
            <w:proofErr w:type="spellEnd"/>
            <w:r w:rsidRPr="00A02646">
              <w:rPr>
                <w:rFonts w:ascii="Times New Roman" w:eastAsiaTheme="majorEastAsia" w:hAnsi="Times New Roman" w:cs="Times New Roman"/>
                <w:b/>
                <w:bCs/>
                <w:sz w:val="24"/>
                <w:szCs w:val="24"/>
              </w:rPr>
              <w:t>.</w:t>
            </w:r>
            <w:bookmarkEnd w:id="3"/>
          </w:p>
        </w:tc>
      </w:tr>
      <w:tr w:rsidR="00A02646" w:rsidRPr="00A02646" w14:paraId="628A622D" w14:textId="7F8290CB" w:rsidTr="00A02646">
        <w:tc>
          <w:tcPr>
            <w:tcW w:w="7371" w:type="dxa"/>
          </w:tcPr>
          <w:p w14:paraId="1211A368" w14:textId="305AFE06"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lastRenderedPageBreak/>
              <w:t>5.13.3. Ціна небалансу для врегулювання небалансів електричної енергії (</w:t>
            </w:r>
            <m:oMath>
              <m:sSub>
                <m:sSubPr>
                  <m:ctrlPr>
                    <w:rPr>
                      <w:rFonts w:ascii="Cambria Math" w:eastAsiaTheme="majorEastAsia" w:hAnsi="Cambria Math" w:cs="Times New Roman"/>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oMath>
            <w:r w:rsidRPr="00A02646">
              <w:rPr>
                <w:rFonts w:ascii="Times New Roman" w:eastAsiaTheme="majorEastAsia" w:hAnsi="Times New Roman" w:cs="Times New Roman"/>
                <w:sz w:val="24"/>
                <w:szCs w:val="24"/>
              </w:rPr>
              <w:t>) у зоні визначається у грн/</w:t>
            </w:r>
            <w:proofErr w:type="spellStart"/>
            <w:r w:rsidRPr="00A02646">
              <w:rPr>
                <w:rFonts w:ascii="Times New Roman" w:eastAsiaTheme="majorEastAsia" w:hAnsi="Times New Roman" w:cs="Times New Roman"/>
                <w:sz w:val="24"/>
                <w:szCs w:val="24"/>
              </w:rPr>
              <w:t>МВт·год</w:t>
            </w:r>
            <w:proofErr w:type="spellEnd"/>
            <w:r w:rsidRPr="00A02646">
              <w:rPr>
                <w:rFonts w:ascii="Times New Roman" w:eastAsiaTheme="majorEastAsia" w:hAnsi="Times New Roman" w:cs="Times New Roman"/>
                <w:sz w:val="24"/>
                <w:szCs w:val="24"/>
              </w:rPr>
              <w:t xml:space="preserve"> як середньозважена ціна для кожного розрахункового періоду в такий спосіб:</w:t>
            </w:r>
          </w:p>
          <w:p w14:paraId="49B69397"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1) якщо зона системи перебуває в дефіциті протягом розрахункового періоду, то</w:t>
            </w:r>
          </w:p>
          <w:p w14:paraId="7C48D447" w14:textId="738A12F4"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iCs/>
                <w:sz w:val="24"/>
                <w:szCs w:val="24"/>
              </w:rPr>
            </w:pP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oMath>
            <w:r w:rsidR="00A02646" w:rsidRPr="00A02646">
              <w:rPr>
                <w:rFonts w:ascii="Times New Roman" w:eastAsiaTheme="majorEastAsia" w:hAnsi="Times New Roman" w:cs="Times New Roman"/>
                <w:iCs/>
                <w:sz w:val="24"/>
                <w:szCs w:val="24"/>
              </w:rPr>
              <w:t xml:space="preserve">= </w:t>
            </w:r>
            <m:oMath>
              <m:d>
                <m:dPr>
                  <m:begChr m:val="|"/>
                  <m:endChr m:val="|"/>
                  <m:ctrlPr>
                    <w:rPr>
                      <w:rFonts w:ascii="Cambria Math" w:eastAsiaTheme="majorEastAsia" w:hAnsi="Cambria Math" w:cs="Times New Roman"/>
                      <w:iCs/>
                      <w:sz w:val="24"/>
                      <w:szCs w:val="24"/>
                    </w:rPr>
                  </m:ctrlPr>
                </m:dPr>
                <m:e>
                  <m:f>
                    <m:fPr>
                      <m:ctrlPr>
                        <w:rPr>
                          <w:rFonts w:ascii="Cambria Math" w:eastAsiaTheme="majorEastAsia" w:hAnsi="Cambria Math" w:cs="Times New Roman"/>
                          <w:iCs/>
                          <w:sz w:val="24"/>
                          <w:szCs w:val="24"/>
                        </w:rPr>
                      </m:ctrlPr>
                    </m:fPr>
                    <m:num>
                      <m:nary>
                        <m:naryPr>
                          <m:chr m:val="∑"/>
                          <m:limLoc m:val="subSup"/>
                          <m:supHide m:val="1"/>
                          <m:ctrlPr>
                            <w:rPr>
                              <w:rFonts w:ascii="Cambria Math" w:hAnsi="Cambria Math" w:cs="Times New Roman"/>
                              <w:iCs/>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 xml:space="preserve"> )</m:t>
                          </m:r>
                        </m:e>
                      </m:nary>
                    </m:num>
                    <m:den>
                      <m:nary>
                        <m:naryPr>
                          <m:chr m:val="∑"/>
                          <m:limLoc m:val="subSup"/>
                          <m:supHide m:val="1"/>
                          <m:ctrlPr>
                            <w:rPr>
                              <w:rFonts w:ascii="Cambria Math" w:hAnsi="Cambria Math" w:cs="Times New Roman"/>
                              <w:iCs/>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e>
                      </m:nary>
                    </m:den>
                  </m:f>
                </m:e>
              </m:d>
            </m:oMath>
            <w:r w:rsidR="00A02646" w:rsidRPr="00A02646">
              <w:rPr>
                <w:rFonts w:ascii="Times New Roman" w:eastAsiaTheme="majorEastAsia" w:hAnsi="Times New Roman" w:cs="Times New Roman"/>
                <w:iCs/>
                <w:sz w:val="24"/>
                <w:szCs w:val="24"/>
              </w:rPr>
              <w:t>,</w:t>
            </w:r>
          </w:p>
          <w:p w14:paraId="1104B27D" w14:textId="2C3F151A"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oMath>
            <w:r w:rsidRPr="00A02646">
              <w:rPr>
                <w:rFonts w:ascii="Times New Roman" w:eastAsiaTheme="majorEastAsia" w:hAnsi="Times New Roman" w:cs="Times New Roman"/>
                <w:sz w:val="24"/>
                <w:szCs w:val="24"/>
              </w:rPr>
              <w:t xml:space="preserve"> – маржинальна ціна балансуючої електричної енергії на завантаження в зоні z за ОРЧ rtu, грн/МВт</w:t>
            </w:r>
            <w:r w:rsidRPr="00A02646">
              <w:rPr>
                <w:rFonts w:ascii="Cambria Math" w:eastAsiaTheme="majorEastAsia" w:hAnsi="Cambria Math" w:cs="Cambria Math"/>
                <w:sz w:val="24"/>
                <w:szCs w:val="24"/>
              </w:rPr>
              <w:t>⋅</w:t>
            </w:r>
            <w:r w:rsidRPr="00A02646">
              <w:rPr>
                <w:rFonts w:ascii="Times New Roman" w:eastAsiaTheme="majorEastAsia" w:hAnsi="Times New Roman" w:cs="Times New Roman"/>
                <w:sz w:val="24"/>
                <w:szCs w:val="24"/>
              </w:rPr>
              <w:t xml:space="preserve">год; </w:t>
            </w:r>
          </w:p>
          <w:p w14:paraId="7C402146"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43497FA7" w14:textId="2AA98693"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Якщо зона системи у розрахунковому періоді перебуває у дефіциті та обсяг активованої балансуючої електричної енергії на завантаження </w:t>
            </w:r>
            <w:r w:rsidRPr="00A02646">
              <w:rPr>
                <w:rFonts w:ascii="Times New Roman" w:eastAsiaTheme="majorEastAsia" w:hAnsi="Times New Roman" w:cs="Times New Roman"/>
                <w:sz w:val="24"/>
                <w:szCs w:val="24"/>
              </w:rPr>
              <w:lastRenderedPageBreak/>
              <w:t>(</w:t>
            </w:r>
            <m:oMath>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e>
              </m:nary>
            </m:oMath>
            <w:r w:rsidRPr="00A02646">
              <w:rPr>
                <w:rFonts w:ascii="Times New Roman" w:eastAsiaTheme="majorEastAsia" w:hAnsi="Times New Roman" w:cs="Times New Roman"/>
                <w:sz w:val="24"/>
                <w:szCs w:val="24"/>
              </w:rPr>
              <w:t>) протягом цього розрахункового періоду дорівнює нулю, то ціна небалансу для врегулювання небалансів електричної енергії (</w:t>
            </w:r>
            <w:proofErr w:type="spellStart"/>
            <w:r w:rsidRPr="00A02646">
              <w:rPr>
                <w:rFonts w:ascii="Times New Roman" w:eastAsiaTheme="majorEastAsia" w:hAnsi="Times New Roman" w:cs="Times New Roman"/>
                <w:sz w:val="24"/>
                <w:szCs w:val="24"/>
              </w:rPr>
              <w:t>IMSP</w:t>
            </w:r>
            <w:r w:rsidRPr="00A02646">
              <w:rPr>
                <w:rFonts w:ascii="Times New Roman" w:eastAsiaTheme="majorEastAsia" w:hAnsi="Times New Roman" w:cs="Times New Roman"/>
                <w:sz w:val="24"/>
                <w:szCs w:val="24"/>
                <w:vertAlign w:val="subscript"/>
              </w:rPr>
              <w:t>z,t</w:t>
            </w:r>
            <w:proofErr w:type="spellEnd"/>
            <w:r w:rsidRPr="00A02646">
              <w:rPr>
                <w:rFonts w:ascii="Times New Roman" w:eastAsiaTheme="majorEastAsia" w:hAnsi="Times New Roman" w:cs="Times New Roman"/>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A02646">
              <w:rPr>
                <w:rFonts w:ascii="Times New Roman" w:eastAsiaTheme="majorEastAsia" w:hAnsi="Times New Roman" w:cs="Times New Roman"/>
                <w:sz w:val="24"/>
                <w:szCs w:val="24"/>
              </w:rPr>
              <w:t>) усіх ОРЧ цього розрахункового періоду;</w:t>
            </w:r>
          </w:p>
          <w:p w14:paraId="75B30201"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2) якщо зона системи перебуває в профіциті протягом розрахункового періоду, то </w:t>
            </w:r>
          </w:p>
          <w:p w14:paraId="6F60E67B" w14:textId="49EB53B7"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sz w:val="24"/>
                <w:szCs w:val="24"/>
              </w:rPr>
            </w:pPr>
            <m:oMath>
              <m:sSub>
                <m:sSubPr>
                  <m:ctrlPr>
                    <w:rPr>
                      <w:rFonts w:ascii="Cambria Math" w:eastAsiaTheme="majorEastAsia" w:hAnsi="Cambria Math" w:cs="Times New Roman"/>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oMath>
            <w:r w:rsidR="00A02646" w:rsidRPr="00A02646">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den>
                  </m:f>
                </m:e>
              </m:d>
            </m:oMath>
          </w:p>
          <w:p w14:paraId="73770247" w14:textId="5A291A9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A02646">
              <w:rPr>
                <w:rFonts w:ascii="Times New Roman" w:eastAsiaTheme="majorEastAsia" w:hAnsi="Times New Roman" w:cs="Times New Roman"/>
                <w:sz w:val="24"/>
                <w:szCs w:val="24"/>
              </w:rPr>
              <w:t>– маржинальна ціна балансуючої електричної енергії на розвантаження в зоні z за ОРЧ rtu, грн/МВт</w:t>
            </w:r>
            <w:r w:rsidRPr="00A02646">
              <w:rPr>
                <w:rFonts w:ascii="Cambria Math" w:eastAsiaTheme="majorEastAsia" w:hAnsi="Cambria Math" w:cs="Cambria Math"/>
                <w:sz w:val="24"/>
                <w:szCs w:val="24"/>
              </w:rPr>
              <w:t>⋅</w:t>
            </w:r>
            <w:r w:rsidRPr="00A02646">
              <w:rPr>
                <w:rFonts w:ascii="Times New Roman" w:eastAsiaTheme="majorEastAsia" w:hAnsi="Times New Roman" w:cs="Times New Roman"/>
                <w:sz w:val="24"/>
                <w:szCs w:val="24"/>
              </w:rPr>
              <w:t xml:space="preserve">год; </w:t>
            </w:r>
          </w:p>
          <w:p w14:paraId="379F58E7"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t xml:space="preserve">До розрахунку приймаються обсяги </w:t>
            </w:r>
            <w:hyperlink r:id="rId14">
              <w:r w:rsidRPr="00A02646">
                <w:rPr>
                  <w:rFonts w:ascii="Times New Roman" w:eastAsiaTheme="majorEastAsia" w:hAnsi="Times New Roman" w:cs="Times New Roman"/>
                  <w:sz w:val="24"/>
                  <w:szCs w:val="24"/>
                </w:rPr>
                <w:t>активованої балансуючої</w:t>
              </w:r>
            </w:hyperlink>
            <w:r w:rsidRPr="00A02646">
              <w:rPr>
                <w:rFonts w:ascii="Times New Roman" w:eastAsiaTheme="majorEastAsia" w:hAnsi="Times New Roman" w:cs="Times New Roman"/>
                <w:sz w:val="24"/>
                <w:szCs w:val="24"/>
              </w:rPr>
              <w:t xml:space="preserve"> </w:t>
            </w:r>
            <w:hyperlink r:id="rId15">
              <w:r w:rsidRPr="00A02646">
                <w:rPr>
                  <w:rFonts w:ascii="Times New Roman" w:eastAsiaTheme="majorEastAsia" w:hAnsi="Times New Roman" w:cs="Times New Roman"/>
                  <w:sz w:val="24"/>
                  <w:szCs w:val="24"/>
                </w:rPr>
                <w:t>електричної енергії</w:t>
              </w:r>
            </w:hyperlink>
            <w:r w:rsidRPr="00A02646">
              <w:rPr>
                <w:rFonts w:ascii="Times New Roman" w:eastAsiaTheme="majorEastAsia" w:hAnsi="Times New Roman" w:cs="Times New Roman"/>
                <w:sz w:val="24"/>
                <w:szCs w:val="24"/>
              </w:rPr>
              <w:t xml:space="preserve"> на розвантаження та маржинальні ціни балансуючої електричної енергії на розвантаження лише тих ОРЧ, у яких зона системи перебуває в профіциті.</w:t>
            </w:r>
          </w:p>
          <w:p w14:paraId="77225A2D" w14:textId="46E476A9"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sz w:val="24"/>
                <w:szCs w:val="24"/>
              </w:rPr>
              <w:t>Якщо зона системи у розрахунковому періоді перебуває у профіциті та обсяг  активованої  балансуючої  електричної  енергії  на  розвантаження (</w:t>
            </w:r>
            <m:oMath>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e>
              </m:nary>
            </m:oMath>
            <w:r w:rsidRPr="00A02646">
              <w:rPr>
                <w:rFonts w:ascii="Times New Roman" w:eastAsiaTheme="majorEastAsia" w:hAnsi="Times New Roman" w:cs="Times New Roman"/>
                <w:sz w:val="24"/>
                <w:szCs w:val="24"/>
              </w:rPr>
              <w:t>) протягом цього розрахункового періоду дорівнює нулю, то ціна небалансу для врегулювання небалансів електричної енергії (IMSPz,t) дорівнює мінімальному значенню з маржинальних цін балансуючої електричної енергії на розвантаження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d</m:t>
                  </m:r>
                  <m:r>
                    <m:rPr>
                      <m:sty m:val="p"/>
                    </m:rPr>
                    <w:rPr>
                      <w:rFonts w:ascii="Cambria Math" w:eastAsiaTheme="majorEastAsia" w:hAnsi="Cambria Math" w:cs="Times New Roman"/>
                      <w:sz w:val="24"/>
                      <w:szCs w:val="24"/>
                      <w:lang w:val="en-US"/>
                    </w:rPr>
                    <m:t>n</m:t>
                  </m:r>
                </m:sup>
              </m:sSubSup>
            </m:oMath>
            <w:r w:rsidRPr="00A02646">
              <w:rPr>
                <w:rFonts w:ascii="Times New Roman" w:eastAsiaTheme="majorEastAsia" w:hAnsi="Times New Roman" w:cs="Times New Roman"/>
                <w:sz w:val="24"/>
                <w:szCs w:val="24"/>
              </w:rPr>
              <w:t>) усіх ОРЧ цього розрахункового періоду;</w:t>
            </w:r>
          </w:p>
          <w:p w14:paraId="7BEA5C64" w14:textId="77777777" w:rsidR="00A02646" w:rsidRPr="00A02646" w:rsidRDefault="00A02646" w:rsidP="00A02646">
            <w:pPr>
              <w:pStyle w:val="a9"/>
              <w:widowControl w:val="0"/>
              <w:numPr>
                <w:ilvl w:val="0"/>
                <w:numId w:val="5"/>
              </w:numPr>
              <w:spacing w:before="60" w:after="0" w:line="240" w:lineRule="auto"/>
              <w:ind w:left="0" w:firstLine="313"/>
              <w:jc w:val="both"/>
              <w:rPr>
                <w:rFonts w:ascii="Times New Roman" w:eastAsiaTheme="majorEastAsia" w:hAnsi="Times New Roman" w:cs="Times New Roman"/>
                <w:sz w:val="24"/>
                <w:szCs w:val="24"/>
              </w:rPr>
            </w:pPr>
            <w:r w:rsidRPr="00A02646">
              <w:rPr>
                <w:rFonts w:ascii="Times New Roman" w:hAnsi="Times New Roman" w:cs="Times New Roman"/>
                <w:sz w:val="24"/>
                <w:szCs w:val="24"/>
              </w:rPr>
              <w:t xml:space="preserve"> </w:t>
            </w:r>
            <w:r w:rsidRPr="00A02646">
              <w:rPr>
                <w:rFonts w:ascii="Times New Roman" w:eastAsiaTheme="majorEastAsia" w:hAnsi="Times New Roman" w:cs="Times New Roman"/>
                <w:sz w:val="24"/>
                <w:szCs w:val="24"/>
              </w:rPr>
              <w:t>якщо зона системи є збалансованою протягом розрахункового періоду, то</w:t>
            </w:r>
          </w:p>
          <w:p w14:paraId="68E765D5" w14:textId="778B7B4F"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iCs/>
                <w:sz w:val="24"/>
                <w:szCs w:val="24"/>
              </w:rPr>
            </w:pP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PDAM</m:t>
                  </m:r>
                </m:e>
                <m:sub>
                  <m:r>
                    <m:rPr>
                      <m:sty m:val="p"/>
                    </m:rPr>
                    <w:rPr>
                      <w:rFonts w:ascii="Cambria Math" w:eastAsiaTheme="majorEastAsia" w:hAnsi="Cambria Math" w:cs="Times New Roman"/>
                      <w:sz w:val="24"/>
                      <w:szCs w:val="24"/>
                    </w:rPr>
                    <m:t>z,t</m:t>
                  </m:r>
                </m:sub>
              </m:sSub>
            </m:oMath>
            <w:r w:rsidR="00A02646" w:rsidRPr="00A02646">
              <w:rPr>
                <w:rFonts w:ascii="Times New Roman" w:eastAsiaTheme="majorEastAsia" w:hAnsi="Times New Roman" w:cs="Times New Roman"/>
                <w:iCs/>
                <w:sz w:val="24"/>
                <w:szCs w:val="24"/>
              </w:rPr>
              <w:t>,</w:t>
            </w:r>
          </w:p>
          <w:p w14:paraId="09FF879A" w14:textId="50704947" w:rsidR="00A02646" w:rsidRPr="00A02646" w:rsidRDefault="00A02646" w:rsidP="00A02646">
            <w:pPr>
              <w:pStyle w:val="tj"/>
              <w:spacing w:before="60" w:beforeAutospacing="0" w:after="0" w:afterAutospacing="0"/>
              <w:ind w:firstLine="313"/>
              <w:jc w:val="both"/>
              <w:rPr>
                <w:rFonts w:eastAsiaTheme="majorEastAsia"/>
                <w:strike/>
              </w:rPr>
            </w:pPr>
            <w:r w:rsidRPr="00A02646">
              <w:rPr>
                <w:rFonts w:eastAsiaTheme="majorEastAsia"/>
              </w:rPr>
              <w:t xml:space="preserve">де </w:t>
            </w:r>
            <m:oMath>
              <m:sSub>
                <m:sSubPr>
                  <m:ctrlPr>
                    <w:rPr>
                      <w:rFonts w:ascii="Cambria Math" w:eastAsiaTheme="majorEastAsia" w:hAnsi="Cambria Math"/>
                      <w:iCs/>
                    </w:rPr>
                  </m:ctrlPr>
                </m:sSubPr>
                <m:e>
                  <m:r>
                    <m:rPr>
                      <m:sty m:val="p"/>
                    </m:rPr>
                    <w:rPr>
                      <w:rFonts w:ascii="Cambria Math" w:eastAsiaTheme="majorEastAsia" w:hAnsi="Cambria Math"/>
                    </w:rPr>
                    <m:t>PDAM</m:t>
                  </m:r>
                </m:e>
                <m:sub>
                  <m:r>
                    <m:rPr>
                      <m:sty m:val="p"/>
                    </m:rPr>
                    <w:rPr>
                      <w:rFonts w:ascii="Cambria Math" w:eastAsiaTheme="majorEastAsia" w:hAnsi="Cambria Math"/>
                    </w:rPr>
                    <m:t>z,t</m:t>
                  </m:r>
                </m:sub>
              </m:sSub>
            </m:oMath>
            <w:r w:rsidRPr="00A02646">
              <w:rPr>
                <w:rFonts w:eastAsiaTheme="majorEastAsia"/>
              </w:rPr>
              <w:t xml:space="preserve"> – ціна купівлі-продажу електричної енергії на РДН у зоні z для розрахункового періоду t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днів, грн/</w:t>
            </w:r>
            <w:proofErr w:type="spellStart"/>
            <w:r w:rsidRPr="00A02646">
              <w:rPr>
                <w:rFonts w:eastAsiaTheme="majorEastAsia"/>
              </w:rPr>
              <w:t>МВт·год</w:t>
            </w:r>
            <w:proofErr w:type="spellEnd"/>
            <w:r w:rsidRPr="00A02646">
              <w:rPr>
                <w:rFonts w:eastAsiaTheme="majorEastAsia"/>
              </w:rPr>
              <w:t>.</w:t>
            </w:r>
          </w:p>
        </w:tc>
        <w:tc>
          <w:tcPr>
            <w:tcW w:w="7371" w:type="dxa"/>
          </w:tcPr>
          <w:p w14:paraId="6AF69CB6" w14:textId="0942D4FA"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strike/>
                <w:sz w:val="24"/>
                <w:szCs w:val="24"/>
              </w:rPr>
              <w:lastRenderedPageBreak/>
              <w:t>5.13.3. Ціна небалансу для врегулювання небалансів електричної енергії (</w:t>
            </w:r>
            <m:oMath>
              <m:sSub>
                <m:sSubPr>
                  <m:ctrlPr>
                    <w:rPr>
                      <w:rFonts w:ascii="Cambria Math" w:eastAsiaTheme="majorEastAsia" w:hAnsi="Cambria Math" w:cs="Times New Roman"/>
                      <w:strike/>
                      <w:sz w:val="24"/>
                      <w:szCs w:val="24"/>
                    </w:rPr>
                  </m:ctrlPr>
                </m:sSubPr>
                <m:e>
                  <m:r>
                    <m:rPr>
                      <m:sty m:val="p"/>
                    </m:rPr>
                    <w:rPr>
                      <w:rFonts w:ascii="Cambria Math" w:eastAsiaTheme="majorEastAsia" w:hAnsi="Cambria Math" w:cs="Times New Roman"/>
                      <w:strike/>
                      <w:sz w:val="24"/>
                      <w:szCs w:val="24"/>
                    </w:rPr>
                    <m:t>IMSP</m:t>
                  </m:r>
                </m:e>
                <m:sub>
                  <m:r>
                    <m:rPr>
                      <m:sty m:val="p"/>
                    </m:rPr>
                    <w:rPr>
                      <w:rFonts w:ascii="Cambria Math" w:eastAsiaTheme="majorEastAsia" w:hAnsi="Cambria Math" w:cs="Times New Roman"/>
                      <w:strike/>
                      <w:sz w:val="24"/>
                      <w:szCs w:val="24"/>
                    </w:rPr>
                    <m:t>z,t</m:t>
                  </m:r>
                </m:sub>
              </m:sSub>
            </m:oMath>
            <w:r w:rsidRPr="00A02646">
              <w:rPr>
                <w:rFonts w:ascii="Times New Roman" w:eastAsiaTheme="majorEastAsia" w:hAnsi="Times New Roman" w:cs="Times New Roman"/>
                <w:strike/>
                <w:sz w:val="24"/>
                <w:szCs w:val="24"/>
              </w:rPr>
              <w:t>) у зоні визначається у грн/МВт·год як середньозважена ціна для кожного розрахункового періоду в такий спосіб:</w:t>
            </w:r>
          </w:p>
          <w:p w14:paraId="11E6E18A"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strike/>
                <w:sz w:val="24"/>
                <w:szCs w:val="24"/>
              </w:rPr>
              <w:t>1) якщо зона системи перебуває в дефіциті протягом розрахункового періоду, то</w:t>
            </w:r>
          </w:p>
          <w:p w14:paraId="61672281" w14:textId="0EEB0C10"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iCs/>
                <w:strike/>
                <w:sz w:val="24"/>
                <w:szCs w:val="24"/>
              </w:rPr>
            </w:pPr>
            <m:oMath>
              <m:sSub>
                <m:sSubPr>
                  <m:ctrlPr>
                    <w:rPr>
                      <w:rFonts w:ascii="Cambria Math" w:eastAsiaTheme="majorEastAsia" w:hAnsi="Cambria Math" w:cs="Times New Roman"/>
                      <w:iCs/>
                      <w:strike/>
                      <w:sz w:val="24"/>
                      <w:szCs w:val="24"/>
                    </w:rPr>
                  </m:ctrlPr>
                </m:sSubPr>
                <m:e>
                  <m:r>
                    <m:rPr>
                      <m:sty m:val="p"/>
                    </m:rPr>
                    <w:rPr>
                      <w:rFonts w:ascii="Cambria Math" w:eastAsiaTheme="majorEastAsia" w:hAnsi="Cambria Math" w:cs="Times New Roman"/>
                      <w:strike/>
                      <w:sz w:val="24"/>
                      <w:szCs w:val="24"/>
                    </w:rPr>
                    <m:t>IMSP</m:t>
                  </m:r>
                </m:e>
                <m:sub>
                  <m:r>
                    <m:rPr>
                      <m:sty m:val="p"/>
                    </m:rPr>
                    <w:rPr>
                      <w:rFonts w:ascii="Cambria Math" w:eastAsiaTheme="majorEastAsia" w:hAnsi="Cambria Math" w:cs="Times New Roman"/>
                      <w:strike/>
                      <w:sz w:val="24"/>
                      <w:szCs w:val="24"/>
                    </w:rPr>
                    <m:t>z,t</m:t>
                  </m:r>
                </m:sub>
              </m:sSub>
              <m:r>
                <m:rPr>
                  <m:sty m:val="p"/>
                </m:rPr>
                <w:rPr>
                  <w:rFonts w:ascii="Cambria Math" w:eastAsiaTheme="majorEastAsia" w:hAnsi="Cambria Math" w:cs="Times New Roman"/>
                  <w:strike/>
                  <w:sz w:val="24"/>
                  <w:szCs w:val="24"/>
                </w:rPr>
                <m:t xml:space="preserve"> </m:t>
              </m:r>
            </m:oMath>
            <w:r w:rsidR="00A02646" w:rsidRPr="00A02646">
              <w:rPr>
                <w:rFonts w:ascii="Times New Roman" w:eastAsiaTheme="majorEastAsia" w:hAnsi="Times New Roman" w:cs="Times New Roman"/>
                <w:iCs/>
                <w:strike/>
                <w:sz w:val="24"/>
                <w:szCs w:val="24"/>
              </w:rPr>
              <w:t xml:space="preserve">= </w:t>
            </w:r>
            <m:oMath>
              <m:d>
                <m:dPr>
                  <m:begChr m:val="|"/>
                  <m:endChr m:val="|"/>
                  <m:ctrlPr>
                    <w:rPr>
                      <w:rFonts w:ascii="Cambria Math" w:eastAsiaTheme="majorEastAsia" w:hAnsi="Cambria Math" w:cs="Times New Roman"/>
                      <w:iCs/>
                      <w:strike/>
                      <w:sz w:val="24"/>
                      <w:szCs w:val="24"/>
                    </w:rPr>
                  </m:ctrlPr>
                </m:dPr>
                <m:e>
                  <m:f>
                    <m:fPr>
                      <m:ctrlPr>
                        <w:rPr>
                          <w:rFonts w:ascii="Cambria Math" w:eastAsiaTheme="majorEastAsia" w:hAnsi="Cambria Math" w:cs="Times New Roman"/>
                          <w:iCs/>
                          <w:strike/>
                          <w:sz w:val="24"/>
                          <w:szCs w:val="24"/>
                        </w:rPr>
                      </m:ctrlPr>
                    </m:fPr>
                    <m:num>
                      <m:nary>
                        <m:naryPr>
                          <m:chr m:val="∑"/>
                          <m:limLoc m:val="subSup"/>
                          <m:supHide m:val="1"/>
                          <m:ctrlPr>
                            <w:rPr>
                              <w:rFonts w:ascii="Cambria Math" w:hAnsi="Cambria Math" w:cs="Times New Roman"/>
                              <w:iCs/>
                              <w:strike/>
                              <w:sz w:val="24"/>
                              <w:szCs w:val="24"/>
                            </w:rPr>
                          </m:ctrlPr>
                        </m:naryPr>
                        <m:sub>
                          <m:r>
                            <m:rPr>
                              <m:sty m:val="p"/>
                            </m:rPr>
                            <w:rPr>
                              <w:rFonts w:ascii="Cambria Math" w:hAnsi="Cambria Math" w:cs="Times New Roman"/>
                              <w:strike/>
                              <w:sz w:val="24"/>
                              <w:szCs w:val="24"/>
                            </w:rPr>
                            <m:t xml:space="preserve">rtu∈t </m:t>
                          </m:r>
                        </m:sub>
                        <m:sup/>
                        <m:e>
                          <m:sSubSup>
                            <m:sSubSupPr>
                              <m:ctrlPr>
                                <w:rPr>
                                  <w:rFonts w:ascii="Cambria Math" w:hAnsi="Cambria Math" w:cs="Times New Roman"/>
                                  <w:iCs/>
                                  <w:strike/>
                                  <w:sz w:val="24"/>
                                  <w:szCs w:val="24"/>
                                </w:rPr>
                              </m:ctrlPr>
                            </m:sSubSupPr>
                            <m:e>
                              <m:r>
                                <m:rPr>
                                  <m:sty m:val="p"/>
                                </m:rPr>
                                <w:rPr>
                                  <w:rFonts w:ascii="Cambria Math" w:hAnsi="Cambria Math" w:cs="Times New Roman"/>
                                  <w:strike/>
                                  <w:sz w:val="24"/>
                                  <w:szCs w:val="24"/>
                                </w:rPr>
                                <m:t>(ABE</m:t>
                              </m:r>
                            </m:e>
                            <m:sub>
                              <m:r>
                                <m:rPr>
                                  <m:sty m:val="p"/>
                                </m:rPr>
                                <w:rPr>
                                  <w:rFonts w:ascii="Cambria Math" w:hAnsi="Cambria Math" w:cs="Times New Roman"/>
                                  <w:strike/>
                                  <w:sz w:val="24"/>
                                  <w:szCs w:val="24"/>
                                </w:rPr>
                                <m:t xml:space="preserve">z,rtu  </m:t>
                              </m:r>
                            </m:sub>
                            <m:sup>
                              <m:r>
                                <m:rPr>
                                  <m:sty m:val="p"/>
                                </m:rPr>
                                <w:rPr>
                                  <w:rFonts w:ascii="Cambria Math" w:hAnsi="Cambria Math" w:cs="Times New Roman"/>
                                  <w:strike/>
                                  <w:sz w:val="24"/>
                                  <w:szCs w:val="24"/>
                                </w:rPr>
                                <m:t>up</m:t>
                              </m:r>
                            </m:sup>
                          </m:sSubSup>
                          <m:r>
                            <m:rPr>
                              <m:sty m:val="p"/>
                            </m:rPr>
                            <w:rPr>
                              <w:rFonts w:ascii="Cambria Math" w:hAnsi="Cambria Math" w:cs="Times New Roman"/>
                              <w:strike/>
                              <w:sz w:val="24"/>
                              <w:szCs w:val="24"/>
                            </w:rPr>
                            <m:t>∙</m:t>
                          </m:r>
                          <m:sSubSup>
                            <m:sSubSupPr>
                              <m:ctrlPr>
                                <w:rPr>
                                  <w:rFonts w:ascii="Cambria Math" w:hAnsi="Cambria Math" w:cs="Times New Roman"/>
                                  <w:iCs/>
                                  <w:strike/>
                                  <w:sz w:val="24"/>
                                  <w:szCs w:val="24"/>
                                </w:rPr>
                              </m:ctrlPr>
                            </m:sSubSupPr>
                            <m:e>
                              <m:r>
                                <m:rPr>
                                  <m:sty m:val="p"/>
                                </m:rPr>
                                <w:rPr>
                                  <w:rFonts w:ascii="Cambria Math" w:hAnsi="Cambria Math" w:cs="Times New Roman"/>
                                  <w:strike/>
                                  <w:sz w:val="24"/>
                                  <w:szCs w:val="24"/>
                                </w:rPr>
                                <m:t>MP</m:t>
                              </m:r>
                            </m:e>
                            <m:sub>
                              <m:r>
                                <m:rPr>
                                  <m:sty m:val="p"/>
                                </m:rPr>
                                <w:rPr>
                                  <w:rFonts w:ascii="Cambria Math" w:hAnsi="Cambria Math" w:cs="Times New Roman"/>
                                  <w:strike/>
                                  <w:sz w:val="24"/>
                                  <w:szCs w:val="24"/>
                                </w:rPr>
                                <m:t>z,rtu</m:t>
                              </m:r>
                            </m:sub>
                            <m:sup>
                              <m:r>
                                <m:rPr>
                                  <m:sty m:val="p"/>
                                </m:rPr>
                                <w:rPr>
                                  <w:rFonts w:ascii="Cambria Math" w:hAnsi="Cambria Math" w:cs="Times New Roman"/>
                                  <w:strike/>
                                  <w:sz w:val="24"/>
                                  <w:szCs w:val="24"/>
                                </w:rPr>
                                <m:t>up</m:t>
                              </m:r>
                            </m:sup>
                          </m:sSubSup>
                          <m:r>
                            <m:rPr>
                              <m:sty m:val="p"/>
                            </m:rPr>
                            <w:rPr>
                              <w:rFonts w:ascii="Cambria Math" w:hAnsi="Cambria Math" w:cs="Times New Roman"/>
                              <w:strike/>
                              <w:sz w:val="24"/>
                              <w:szCs w:val="24"/>
                            </w:rPr>
                            <m:t xml:space="preserve"> )</m:t>
                          </m:r>
                        </m:e>
                      </m:nary>
                    </m:num>
                    <m:den>
                      <m:nary>
                        <m:naryPr>
                          <m:chr m:val="∑"/>
                          <m:limLoc m:val="subSup"/>
                          <m:supHide m:val="1"/>
                          <m:ctrlPr>
                            <w:rPr>
                              <w:rFonts w:ascii="Cambria Math" w:hAnsi="Cambria Math" w:cs="Times New Roman"/>
                              <w:iCs/>
                              <w:strike/>
                              <w:sz w:val="24"/>
                              <w:szCs w:val="24"/>
                            </w:rPr>
                          </m:ctrlPr>
                        </m:naryPr>
                        <m:sub>
                          <m:r>
                            <m:rPr>
                              <m:sty m:val="p"/>
                            </m:rPr>
                            <w:rPr>
                              <w:rFonts w:ascii="Cambria Math" w:hAnsi="Cambria Math" w:cs="Times New Roman"/>
                              <w:strike/>
                              <w:sz w:val="24"/>
                              <w:szCs w:val="24"/>
                            </w:rPr>
                            <m:t>rtu∈t</m:t>
                          </m:r>
                        </m:sub>
                        <m:sup/>
                        <m:e>
                          <m:sSubSup>
                            <m:sSubSupPr>
                              <m:ctrlPr>
                                <w:rPr>
                                  <w:rFonts w:ascii="Cambria Math" w:hAnsi="Cambria Math" w:cs="Times New Roman"/>
                                  <w:iCs/>
                                  <w:strike/>
                                  <w:sz w:val="24"/>
                                  <w:szCs w:val="24"/>
                                </w:rPr>
                              </m:ctrlPr>
                            </m:sSubSupPr>
                            <m:e>
                              <m:r>
                                <m:rPr>
                                  <m:sty m:val="p"/>
                                </m:rPr>
                                <w:rPr>
                                  <w:rFonts w:ascii="Cambria Math" w:hAnsi="Cambria Math" w:cs="Times New Roman"/>
                                  <w:strike/>
                                  <w:sz w:val="24"/>
                                  <w:szCs w:val="24"/>
                                </w:rPr>
                                <m:t>ABE</m:t>
                              </m:r>
                            </m:e>
                            <m:sub>
                              <m:r>
                                <m:rPr>
                                  <m:sty m:val="p"/>
                                </m:rPr>
                                <w:rPr>
                                  <w:rFonts w:ascii="Cambria Math" w:hAnsi="Cambria Math" w:cs="Times New Roman"/>
                                  <w:strike/>
                                  <w:sz w:val="24"/>
                                  <w:szCs w:val="24"/>
                                </w:rPr>
                                <m:t xml:space="preserve">z,rtu </m:t>
                              </m:r>
                            </m:sub>
                            <m:sup>
                              <m:r>
                                <m:rPr>
                                  <m:sty m:val="p"/>
                                </m:rPr>
                                <w:rPr>
                                  <w:rFonts w:ascii="Cambria Math" w:hAnsi="Cambria Math" w:cs="Times New Roman"/>
                                  <w:strike/>
                                  <w:sz w:val="24"/>
                                  <w:szCs w:val="24"/>
                                </w:rPr>
                                <m:t>up</m:t>
                              </m:r>
                            </m:sup>
                          </m:sSubSup>
                        </m:e>
                      </m:nary>
                    </m:den>
                  </m:f>
                </m:e>
              </m:d>
            </m:oMath>
            <w:r w:rsidR="00A02646" w:rsidRPr="00A02646">
              <w:rPr>
                <w:rFonts w:ascii="Times New Roman" w:eastAsiaTheme="majorEastAsia" w:hAnsi="Times New Roman" w:cs="Times New Roman"/>
                <w:iCs/>
                <w:strike/>
                <w:sz w:val="24"/>
                <w:szCs w:val="24"/>
              </w:rPr>
              <w:t>,</w:t>
            </w:r>
          </w:p>
          <w:p w14:paraId="4CA3919E" w14:textId="3818A496"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strike/>
                <w:sz w:val="24"/>
                <w:szCs w:val="24"/>
              </w:rPr>
              <w:t xml:space="preserve">де </w:t>
            </w:r>
            <m:oMath>
              <m:sSubSup>
                <m:sSubSupPr>
                  <m:ctrlPr>
                    <w:rPr>
                      <w:rFonts w:ascii="Cambria Math" w:hAnsi="Cambria Math" w:cs="Times New Roman"/>
                      <w:iCs/>
                      <w:strike/>
                      <w:sz w:val="24"/>
                      <w:szCs w:val="24"/>
                    </w:rPr>
                  </m:ctrlPr>
                </m:sSubSupPr>
                <m:e>
                  <m:r>
                    <m:rPr>
                      <m:sty m:val="p"/>
                    </m:rPr>
                    <w:rPr>
                      <w:rFonts w:ascii="Cambria Math" w:hAnsi="Cambria Math" w:cs="Times New Roman"/>
                      <w:strike/>
                      <w:sz w:val="24"/>
                      <w:szCs w:val="24"/>
                    </w:rPr>
                    <m:t>MP</m:t>
                  </m:r>
                </m:e>
                <m:sub>
                  <m:r>
                    <m:rPr>
                      <m:sty m:val="p"/>
                    </m:rPr>
                    <w:rPr>
                      <w:rFonts w:ascii="Cambria Math" w:hAnsi="Cambria Math" w:cs="Times New Roman"/>
                      <w:strike/>
                      <w:sz w:val="24"/>
                      <w:szCs w:val="24"/>
                    </w:rPr>
                    <m:t>z,rtu</m:t>
                  </m:r>
                </m:sub>
                <m:sup>
                  <m:r>
                    <m:rPr>
                      <m:sty m:val="p"/>
                    </m:rPr>
                    <w:rPr>
                      <w:rFonts w:ascii="Cambria Math" w:hAnsi="Cambria Math" w:cs="Times New Roman"/>
                      <w:strike/>
                      <w:sz w:val="24"/>
                      <w:szCs w:val="24"/>
                    </w:rPr>
                    <m:t>up</m:t>
                  </m:r>
                </m:sup>
              </m:sSubSup>
            </m:oMath>
            <w:r w:rsidRPr="00A02646">
              <w:rPr>
                <w:rFonts w:ascii="Times New Roman" w:eastAsiaTheme="majorEastAsia" w:hAnsi="Times New Roman" w:cs="Times New Roman"/>
                <w:strike/>
                <w:sz w:val="24"/>
                <w:szCs w:val="24"/>
              </w:rPr>
              <w:t xml:space="preserve"> – маржинальна ціна балансуючої електричної енергії на завантаження в зоні z за ОРЧ rtu, грн/МВт</w:t>
            </w:r>
            <w:r w:rsidRPr="00A02646">
              <w:rPr>
                <w:rFonts w:ascii="Cambria Math" w:eastAsiaTheme="majorEastAsia" w:hAnsi="Cambria Math" w:cs="Cambria Math"/>
                <w:strike/>
                <w:sz w:val="24"/>
                <w:szCs w:val="24"/>
              </w:rPr>
              <w:t>⋅</w:t>
            </w:r>
            <w:r w:rsidRPr="00A02646">
              <w:rPr>
                <w:rFonts w:ascii="Times New Roman" w:eastAsiaTheme="majorEastAsia" w:hAnsi="Times New Roman" w:cs="Times New Roman"/>
                <w:strike/>
                <w:sz w:val="24"/>
                <w:szCs w:val="24"/>
              </w:rPr>
              <w:t xml:space="preserve">год; </w:t>
            </w:r>
          </w:p>
          <w:p w14:paraId="3A1643AC"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strike/>
                <w:sz w:val="24"/>
                <w:szCs w:val="24"/>
              </w:rPr>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032EFF32" w14:textId="42098CC3"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strike/>
                <w:sz w:val="24"/>
                <w:szCs w:val="24"/>
              </w:rPr>
              <w:t xml:space="preserve">Якщо зона системи у розрахунковому періоді перебуває у дефіциті та обсяг активованої балансуючої електричної енергії на завантаження </w:t>
            </w:r>
            <w:r w:rsidRPr="00A02646">
              <w:rPr>
                <w:rFonts w:ascii="Times New Roman" w:eastAsiaTheme="majorEastAsia" w:hAnsi="Times New Roman" w:cs="Times New Roman"/>
                <w:strike/>
                <w:sz w:val="24"/>
                <w:szCs w:val="24"/>
              </w:rPr>
              <w:lastRenderedPageBreak/>
              <w:t>(</w:t>
            </w:r>
            <m:oMath>
              <m:nary>
                <m:naryPr>
                  <m:chr m:val="∑"/>
                  <m:limLoc m:val="subSup"/>
                  <m:supHide m:val="1"/>
                  <m:ctrlPr>
                    <w:rPr>
                      <w:rFonts w:ascii="Cambria Math" w:hAnsi="Cambria Math" w:cs="Times New Roman"/>
                      <w:strike/>
                      <w:sz w:val="24"/>
                      <w:szCs w:val="24"/>
                    </w:rPr>
                  </m:ctrlPr>
                </m:naryPr>
                <m:sub>
                  <m:r>
                    <m:rPr>
                      <m:sty m:val="p"/>
                    </m:rPr>
                    <w:rPr>
                      <w:rFonts w:ascii="Cambria Math" w:hAnsi="Cambria Math" w:cs="Times New Roman"/>
                      <w:strike/>
                      <w:sz w:val="24"/>
                      <w:szCs w:val="24"/>
                    </w:rPr>
                    <m:t xml:space="preserve">rtu∈t </m:t>
                  </m:r>
                </m:sub>
                <m:sup/>
                <m:e>
                  <m:sSubSup>
                    <m:sSubSupPr>
                      <m:ctrlPr>
                        <w:rPr>
                          <w:rFonts w:ascii="Cambria Math" w:hAnsi="Cambria Math" w:cs="Times New Roman"/>
                          <w:strike/>
                          <w:sz w:val="24"/>
                          <w:szCs w:val="24"/>
                        </w:rPr>
                      </m:ctrlPr>
                    </m:sSubSupPr>
                    <m:e>
                      <m:r>
                        <m:rPr>
                          <m:sty m:val="p"/>
                        </m:rPr>
                        <w:rPr>
                          <w:rFonts w:ascii="Cambria Math" w:hAnsi="Cambria Math" w:cs="Times New Roman"/>
                          <w:strike/>
                          <w:sz w:val="24"/>
                          <w:szCs w:val="24"/>
                        </w:rPr>
                        <m:t>ABE</m:t>
                      </m:r>
                    </m:e>
                    <m:sub>
                      <m:r>
                        <m:rPr>
                          <m:sty m:val="p"/>
                        </m:rPr>
                        <w:rPr>
                          <w:rFonts w:ascii="Cambria Math" w:hAnsi="Cambria Math" w:cs="Times New Roman"/>
                          <w:strike/>
                          <w:sz w:val="24"/>
                          <w:szCs w:val="24"/>
                        </w:rPr>
                        <m:t xml:space="preserve">z,rtu  </m:t>
                      </m:r>
                    </m:sub>
                    <m:sup>
                      <m:r>
                        <m:rPr>
                          <m:sty m:val="p"/>
                        </m:rPr>
                        <w:rPr>
                          <w:rFonts w:ascii="Cambria Math" w:hAnsi="Cambria Math" w:cs="Times New Roman"/>
                          <w:strike/>
                          <w:sz w:val="24"/>
                          <w:szCs w:val="24"/>
                        </w:rPr>
                        <m:t>up</m:t>
                      </m:r>
                    </m:sup>
                  </m:sSubSup>
                </m:e>
              </m:nary>
            </m:oMath>
            <w:r w:rsidRPr="00A02646">
              <w:rPr>
                <w:rFonts w:ascii="Times New Roman" w:eastAsiaTheme="majorEastAsia" w:hAnsi="Times New Roman" w:cs="Times New Roman"/>
                <w:strike/>
                <w:sz w:val="24"/>
                <w:szCs w:val="24"/>
              </w:rPr>
              <w:t>) протягом цього розрахункового періоду дорівнює нулю, то ціна небалансу для врегулювання небалансів електричної енергії (</w:t>
            </w:r>
            <w:proofErr w:type="spellStart"/>
            <w:r w:rsidRPr="00A02646">
              <w:rPr>
                <w:rFonts w:ascii="Times New Roman" w:eastAsiaTheme="majorEastAsia" w:hAnsi="Times New Roman" w:cs="Times New Roman"/>
                <w:strike/>
                <w:sz w:val="24"/>
                <w:szCs w:val="24"/>
              </w:rPr>
              <w:t>IMSP</w:t>
            </w:r>
            <w:r w:rsidRPr="00A02646">
              <w:rPr>
                <w:rFonts w:ascii="Times New Roman" w:eastAsiaTheme="majorEastAsia" w:hAnsi="Times New Roman" w:cs="Times New Roman"/>
                <w:strike/>
                <w:sz w:val="24"/>
                <w:szCs w:val="24"/>
                <w:vertAlign w:val="subscript"/>
              </w:rPr>
              <w:t>z,t</w:t>
            </w:r>
            <w:proofErr w:type="spellEnd"/>
            <w:r w:rsidRPr="00A02646">
              <w:rPr>
                <w:rFonts w:ascii="Times New Roman" w:eastAsiaTheme="majorEastAsia" w:hAnsi="Times New Roman" w:cs="Times New Roman"/>
                <w:strike/>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strike/>
                      <w:sz w:val="24"/>
                      <w:szCs w:val="24"/>
                    </w:rPr>
                  </m:ctrlPr>
                </m:sSubSupPr>
                <m:e>
                  <m:r>
                    <m:rPr>
                      <m:sty m:val="p"/>
                    </m:rPr>
                    <w:rPr>
                      <w:rFonts w:ascii="Cambria Math" w:eastAsiaTheme="majorEastAsia" w:hAnsi="Cambria Math" w:cs="Times New Roman"/>
                      <w:strike/>
                      <w:sz w:val="24"/>
                      <w:szCs w:val="24"/>
                    </w:rPr>
                    <m:t>MP</m:t>
                  </m:r>
                </m:e>
                <m:sub>
                  <m:r>
                    <m:rPr>
                      <m:sty m:val="p"/>
                    </m:rPr>
                    <w:rPr>
                      <w:rFonts w:ascii="Cambria Math" w:eastAsiaTheme="majorEastAsia" w:hAnsi="Cambria Math" w:cs="Times New Roman"/>
                      <w:strike/>
                      <w:sz w:val="24"/>
                      <w:szCs w:val="24"/>
                    </w:rPr>
                    <m:t>z,rtu</m:t>
                  </m:r>
                </m:sub>
                <m:sup>
                  <m:r>
                    <m:rPr>
                      <m:sty m:val="p"/>
                    </m:rPr>
                    <w:rPr>
                      <w:rFonts w:ascii="Cambria Math" w:eastAsiaTheme="majorEastAsia" w:hAnsi="Cambria Math" w:cs="Times New Roman"/>
                      <w:strike/>
                      <w:sz w:val="24"/>
                      <w:szCs w:val="24"/>
                    </w:rPr>
                    <m:t>up</m:t>
                  </m:r>
                </m:sup>
              </m:sSubSup>
            </m:oMath>
            <w:r w:rsidRPr="00A02646">
              <w:rPr>
                <w:rFonts w:ascii="Times New Roman" w:eastAsiaTheme="majorEastAsia" w:hAnsi="Times New Roman" w:cs="Times New Roman"/>
                <w:strike/>
                <w:sz w:val="24"/>
                <w:szCs w:val="24"/>
              </w:rPr>
              <w:t>) усіх ОРЧ цього розрахункового періоду;</w:t>
            </w:r>
          </w:p>
          <w:p w14:paraId="3D00CF3F"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strike/>
                <w:sz w:val="24"/>
                <w:szCs w:val="24"/>
              </w:rPr>
              <w:t xml:space="preserve">2) якщо зона системи перебуває в профіциті протягом розрахункового періоду, то </w:t>
            </w:r>
          </w:p>
          <w:p w14:paraId="631B7290" w14:textId="51E81431"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strike/>
                <w:sz w:val="24"/>
                <w:szCs w:val="24"/>
              </w:rPr>
            </w:pPr>
            <m:oMath>
              <m:sSub>
                <m:sSubPr>
                  <m:ctrlPr>
                    <w:rPr>
                      <w:rFonts w:ascii="Cambria Math" w:eastAsiaTheme="majorEastAsia" w:hAnsi="Cambria Math" w:cs="Times New Roman"/>
                      <w:strike/>
                      <w:sz w:val="24"/>
                      <w:szCs w:val="24"/>
                    </w:rPr>
                  </m:ctrlPr>
                </m:sSubPr>
                <m:e>
                  <m:r>
                    <m:rPr>
                      <m:sty m:val="p"/>
                    </m:rPr>
                    <w:rPr>
                      <w:rFonts w:ascii="Cambria Math" w:eastAsiaTheme="majorEastAsia" w:hAnsi="Cambria Math" w:cs="Times New Roman"/>
                      <w:strike/>
                      <w:sz w:val="24"/>
                      <w:szCs w:val="24"/>
                    </w:rPr>
                    <m:t>IMSP</m:t>
                  </m:r>
                </m:e>
                <m:sub>
                  <m:r>
                    <m:rPr>
                      <m:sty m:val="p"/>
                    </m:rPr>
                    <w:rPr>
                      <w:rFonts w:ascii="Cambria Math" w:eastAsiaTheme="majorEastAsia" w:hAnsi="Cambria Math" w:cs="Times New Roman"/>
                      <w:strike/>
                      <w:sz w:val="24"/>
                      <w:szCs w:val="24"/>
                    </w:rPr>
                    <m:t>z,t</m:t>
                  </m:r>
                </m:sub>
              </m:sSub>
              <m:r>
                <m:rPr>
                  <m:sty m:val="p"/>
                </m:rPr>
                <w:rPr>
                  <w:rFonts w:ascii="Cambria Math" w:eastAsiaTheme="majorEastAsia" w:hAnsi="Cambria Math" w:cs="Times New Roman"/>
                  <w:strike/>
                  <w:sz w:val="24"/>
                  <w:szCs w:val="24"/>
                </w:rPr>
                <m:t xml:space="preserve"> </m:t>
              </m:r>
            </m:oMath>
            <w:r w:rsidR="00A02646" w:rsidRPr="00A02646">
              <w:rPr>
                <w:rFonts w:ascii="Times New Roman" w:eastAsiaTheme="majorEastAsia" w:hAnsi="Times New Roman" w:cs="Times New Roman"/>
                <w:strike/>
                <w:sz w:val="24"/>
                <w:szCs w:val="24"/>
              </w:rPr>
              <w:t xml:space="preserve">= </w:t>
            </w:r>
            <m:oMath>
              <m:d>
                <m:dPr>
                  <m:begChr m:val="|"/>
                  <m:endChr m:val="|"/>
                  <m:ctrlPr>
                    <w:rPr>
                      <w:rFonts w:ascii="Cambria Math" w:eastAsiaTheme="majorEastAsia" w:hAnsi="Cambria Math" w:cs="Times New Roman"/>
                      <w:strike/>
                      <w:sz w:val="24"/>
                      <w:szCs w:val="24"/>
                    </w:rPr>
                  </m:ctrlPr>
                </m:dPr>
                <m:e>
                  <m:f>
                    <m:fPr>
                      <m:ctrlPr>
                        <w:rPr>
                          <w:rFonts w:ascii="Cambria Math" w:eastAsiaTheme="majorEastAsia" w:hAnsi="Cambria Math" w:cs="Times New Roman"/>
                          <w:strike/>
                          <w:sz w:val="24"/>
                          <w:szCs w:val="24"/>
                        </w:rPr>
                      </m:ctrlPr>
                    </m:fPr>
                    <m:num>
                      <m:nary>
                        <m:naryPr>
                          <m:chr m:val="∑"/>
                          <m:limLoc m:val="subSup"/>
                          <m:supHide m:val="1"/>
                          <m:ctrlPr>
                            <w:rPr>
                              <w:rFonts w:ascii="Cambria Math" w:hAnsi="Cambria Math" w:cs="Times New Roman"/>
                              <w:strike/>
                              <w:sz w:val="24"/>
                              <w:szCs w:val="24"/>
                            </w:rPr>
                          </m:ctrlPr>
                        </m:naryPr>
                        <m:sub>
                          <m:r>
                            <m:rPr>
                              <m:sty m:val="p"/>
                            </m:rPr>
                            <w:rPr>
                              <w:rFonts w:ascii="Cambria Math" w:hAnsi="Cambria Math" w:cs="Times New Roman"/>
                              <w:strike/>
                              <w:sz w:val="24"/>
                              <w:szCs w:val="24"/>
                            </w:rPr>
                            <m:t xml:space="preserve">rtu∈t </m:t>
                          </m:r>
                        </m:sub>
                        <m:sup/>
                        <m:e>
                          <m:sSubSup>
                            <m:sSubSupPr>
                              <m:ctrlPr>
                                <w:rPr>
                                  <w:rFonts w:ascii="Cambria Math" w:hAnsi="Cambria Math" w:cs="Times New Roman"/>
                                  <w:strike/>
                                  <w:sz w:val="24"/>
                                  <w:szCs w:val="24"/>
                                </w:rPr>
                              </m:ctrlPr>
                            </m:sSubSupPr>
                            <m:e>
                              <m:r>
                                <m:rPr>
                                  <m:sty m:val="p"/>
                                </m:rPr>
                                <w:rPr>
                                  <w:rFonts w:ascii="Cambria Math" w:hAnsi="Cambria Math" w:cs="Times New Roman"/>
                                  <w:strike/>
                                  <w:sz w:val="24"/>
                                  <w:szCs w:val="24"/>
                                </w:rPr>
                                <m:t>(ABE</m:t>
                              </m:r>
                            </m:e>
                            <m:sub>
                              <m:r>
                                <m:rPr>
                                  <m:sty m:val="p"/>
                                </m:rPr>
                                <w:rPr>
                                  <w:rFonts w:ascii="Cambria Math" w:hAnsi="Cambria Math" w:cs="Times New Roman"/>
                                  <w:strike/>
                                  <w:sz w:val="24"/>
                                  <w:szCs w:val="24"/>
                                </w:rPr>
                                <m:t xml:space="preserve">z,rtu  </m:t>
                              </m:r>
                            </m:sub>
                            <m:sup>
                              <m:r>
                                <m:rPr>
                                  <m:sty m:val="p"/>
                                </m:rPr>
                                <w:rPr>
                                  <w:rFonts w:ascii="Cambria Math" w:hAnsi="Cambria Math" w:cs="Times New Roman"/>
                                  <w:strike/>
                                  <w:sz w:val="24"/>
                                  <w:szCs w:val="24"/>
                                </w:rPr>
                                <m:t>dn</m:t>
                              </m:r>
                            </m:sup>
                          </m:sSubSup>
                          <m:r>
                            <m:rPr>
                              <m:sty m:val="p"/>
                            </m:rPr>
                            <w:rPr>
                              <w:rFonts w:ascii="Cambria Math" w:hAnsi="Cambria Math" w:cs="Times New Roman"/>
                              <w:strike/>
                              <w:sz w:val="24"/>
                              <w:szCs w:val="24"/>
                            </w:rPr>
                            <m:t>∙</m:t>
                          </m:r>
                          <m:sSubSup>
                            <m:sSubSupPr>
                              <m:ctrlPr>
                                <w:rPr>
                                  <w:rFonts w:ascii="Cambria Math" w:hAnsi="Cambria Math" w:cs="Times New Roman"/>
                                  <w:strike/>
                                  <w:sz w:val="24"/>
                                  <w:szCs w:val="24"/>
                                </w:rPr>
                              </m:ctrlPr>
                            </m:sSubSupPr>
                            <m:e>
                              <m:r>
                                <m:rPr>
                                  <m:sty m:val="p"/>
                                </m:rPr>
                                <w:rPr>
                                  <w:rFonts w:ascii="Cambria Math" w:hAnsi="Cambria Math" w:cs="Times New Roman"/>
                                  <w:strike/>
                                  <w:sz w:val="24"/>
                                  <w:szCs w:val="24"/>
                                </w:rPr>
                                <m:t>MP</m:t>
                              </m:r>
                            </m:e>
                            <m:sub>
                              <m:r>
                                <m:rPr>
                                  <m:sty m:val="p"/>
                                </m:rPr>
                                <w:rPr>
                                  <w:rFonts w:ascii="Cambria Math" w:hAnsi="Cambria Math" w:cs="Times New Roman"/>
                                  <w:strike/>
                                  <w:sz w:val="24"/>
                                  <w:szCs w:val="24"/>
                                </w:rPr>
                                <m:t>z,rtu</m:t>
                              </m:r>
                            </m:sub>
                            <m:sup>
                              <m:r>
                                <m:rPr>
                                  <m:sty m:val="p"/>
                                </m:rPr>
                                <w:rPr>
                                  <w:rFonts w:ascii="Cambria Math" w:hAnsi="Cambria Math" w:cs="Times New Roman"/>
                                  <w:strike/>
                                  <w:sz w:val="24"/>
                                  <w:szCs w:val="24"/>
                                </w:rPr>
                                <m:t>dn</m:t>
                              </m:r>
                            </m:sup>
                          </m:sSubSup>
                          <m:r>
                            <m:rPr>
                              <m:sty m:val="p"/>
                            </m:rPr>
                            <w:rPr>
                              <w:rFonts w:ascii="Cambria Math" w:hAnsi="Cambria Math" w:cs="Times New Roman"/>
                              <w:strike/>
                              <w:sz w:val="24"/>
                              <w:szCs w:val="24"/>
                            </w:rPr>
                            <m:t>)</m:t>
                          </m:r>
                        </m:e>
                      </m:nary>
                    </m:num>
                    <m:den>
                      <m:nary>
                        <m:naryPr>
                          <m:chr m:val="∑"/>
                          <m:limLoc m:val="subSup"/>
                          <m:supHide m:val="1"/>
                          <m:ctrlPr>
                            <w:rPr>
                              <w:rFonts w:ascii="Cambria Math" w:hAnsi="Cambria Math" w:cs="Times New Roman"/>
                              <w:strike/>
                              <w:sz w:val="24"/>
                              <w:szCs w:val="24"/>
                            </w:rPr>
                          </m:ctrlPr>
                        </m:naryPr>
                        <m:sub>
                          <m:r>
                            <m:rPr>
                              <m:sty m:val="p"/>
                            </m:rPr>
                            <w:rPr>
                              <w:rFonts w:ascii="Cambria Math" w:hAnsi="Cambria Math" w:cs="Times New Roman"/>
                              <w:strike/>
                              <w:sz w:val="24"/>
                              <w:szCs w:val="24"/>
                            </w:rPr>
                            <m:t>rtu∈t</m:t>
                          </m:r>
                        </m:sub>
                        <m:sup/>
                        <m:e>
                          <m:sSubSup>
                            <m:sSubSupPr>
                              <m:ctrlPr>
                                <w:rPr>
                                  <w:rFonts w:ascii="Cambria Math" w:hAnsi="Cambria Math" w:cs="Times New Roman"/>
                                  <w:strike/>
                                  <w:sz w:val="24"/>
                                  <w:szCs w:val="24"/>
                                </w:rPr>
                              </m:ctrlPr>
                            </m:sSubSupPr>
                            <m:e>
                              <m:r>
                                <m:rPr>
                                  <m:sty m:val="p"/>
                                </m:rPr>
                                <w:rPr>
                                  <w:rFonts w:ascii="Cambria Math" w:hAnsi="Cambria Math" w:cs="Times New Roman"/>
                                  <w:strike/>
                                  <w:sz w:val="24"/>
                                  <w:szCs w:val="24"/>
                                </w:rPr>
                                <m:t>ABE</m:t>
                              </m:r>
                            </m:e>
                            <m:sub>
                              <m:r>
                                <m:rPr>
                                  <m:sty m:val="p"/>
                                </m:rPr>
                                <w:rPr>
                                  <w:rFonts w:ascii="Cambria Math" w:hAnsi="Cambria Math" w:cs="Times New Roman"/>
                                  <w:strike/>
                                  <w:sz w:val="24"/>
                                  <w:szCs w:val="24"/>
                                </w:rPr>
                                <m:t xml:space="preserve">z,rtu </m:t>
                              </m:r>
                            </m:sub>
                            <m:sup>
                              <m:r>
                                <m:rPr>
                                  <m:sty m:val="p"/>
                                </m:rPr>
                                <w:rPr>
                                  <w:rFonts w:ascii="Cambria Math" w:hAnsi="Cambria Math" w:cs="Times New Roman"/>
                                  <w:strike/>
                                  <w:sz w:val="24"/>
                                  <w:szCs w:val="24"/>
                                </w:rPr>
                                <m:t>dn</m:t>
                              </m:r>
                            </m:sup>
                          </m:sSubSup>
                        </m:e>
                      </m:nary>
                    </m:den>
                  </m:f>
                </m:e>
              </m:d>
            </m:oMath>
          </w:p>
          <w:p w14:paraId="2F06E484" w14:textId="6A469C1F"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strike/>
                <w:sz w:val="24"/>
                <w:szCs w:val="24"/>
              </w:rPr>
              <w:t xml:space="preserve">де </w:t>
            </w:r>
            <m:oMath>
              <m:sSubSup>
                <m:sSubSupPr>
                  <m:ctrlPr>
                    <w:rPr>
                      <w:rFonts w:ascii="Cambria Math" w:hAnsi="Cambria Math" w:cs="Times New Roman"/>
                      <w:strike/>
                      <w:sz w:val="24"/>
                      <w:szCs w:val="24"/>
                    </w:rPr>
                  </m:ctrlPr>
                </m:sSubSupPr>
                <m:e>
                  <m:r>
                    <m:rPr>
                      <m:sty m:val="p"/>
                    </m:rPr>
                    <w:rPr>
                      <w:rFonts w:ascii="Cambria Math" w:hAnsi="Cambria Math" w:cs="Times New Roman"/>
                      <w:strike/>
                      <w:sz w:val="24"/>
                      <w:szCs w:val="24"/>
                    </w:rPr>
                    <m:t>MP</m:t>
                  </m:r>
                </m:e>
                <m:sub>
                  <m:r>
                    <m:rPr>
                      <m:sty m:val="p"/>
                    </m:rPr>
                    <w:rPr>
                      <w:rFonts w:ascii="Cambria Math" w:hAnsi="Cambria Math" w:cs="Times New Roman"/>
                      <w:strike/>
                      <w:sz w:val="24"/>
                      <w:szCs w:val="24"/>
                    </w:rPr>
                    <m:t>z,rtu</m:t>
                  </m:r>
                </m:sub>
                <m:sup>
                  <m:r>
                    <m:rPr>
                      <m:sty m:val="p"/>
                    </m:rPr>
                    <w:rPr>
                      <w:rFonts w:ascii="Cambria Math" w:hAnsi="Cambria Math" w:cs="Times New Roman"/>
                      <w:strike/>
                      <w:sz w:val="24"/>
                      <w:szCs w:val="24"/>
                    </w:rPr>
                    <m:t>dn</m:t>
                  </m:r>
                </m:sup>
              </m:sSubSup>
            </m:oMath>
            <w:r w:rsidRPr="00A02646">
              <w:rPr>
                <w:rFonts w:ascii="Times New Roman" w:eastAsiaTheme="majorEastAsia" w:hAnsi="Times New Roman" w:cs="Times New Roman"/>
                <w:strike/>
                <w:sz w:val="24"/>
                <w:szCs w:val="24"/>
              </w:rPr>
              <w:t>– маржинальна ціна балансуючої електричної енергії на розвантаження в зоні z за ОРЧ rtu, грн/МВт</w:t>
            </w:r>
            <w:r w:rsidRPr="00A02646">
              <w:rPr>
                <w:rFonts w:ascii="Cambria Math" w:eastAsiaTheme="majorEastAsia" w:hAnsi="Cambria Math" w:cs="Cambria Math"/>
                <w:strike/>
                <w:sz w:val="24"/>
                <w:szCs w:val="24"/>
              </w:rPr>
              <w:t>⋅</w:t>
            </w:r>
            <w:r w:rsidRPr="00A02646">
              <w:rPr>
                <w:rFonts w:ascii="Times New Roman" w:eastAsiaTheme="majorEastAsia" w:hAnsi="Times New Roman" w:cs="Times New Roman"/>
                <w:strike/>
                <w:sz w:val="24"/>
                <w:szCs w:val="24"/>
              </w:rPr>
              <w:t xml:space="preserve">год; </w:t>
            </w:r>
          </w:p>
          <w:p w14:paraId="36796C80"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strike/>
                <w:sz w:val="24"/>
                <w:szCs w:val="24"/>
              </w:rPr>
              <w:t xml:space="preserve">До розрахунку приймаються обсяги </w:t>
            </w:r>
            <w:hyperlink r:id="rId16">
              <w:r w:rsidRPr="00A02646">
                <w:rPr>
                  <w:rFonts w:ascii="Times New Roman" w:eastAsiaTheme="majorEastAsia" w:hAnsi="Times New Roman" w:cs="Times New Roman"/>
                  <w:strike/>
                  <w:sz w:val="24"/>
                  <w:szCs w:val="24"/>
                </w:rPr>
                <w:t>активованої балансуючої</w:t>
              </w:r>
            </w:hyperlink>
            <w:r w:rsidRPr="00A02646">
              <w:rPr>
                <w:rFonts w:ascii="Times New Roman" w:eastAsiaTheme="majorEastAsia" w:hAnsi="Times New Roman" w:cs="Times New Roman"/>
                <w:strike/>
                <w:sz w:val="24"/>
                <w:szCs w:val="24"/>
              </w:rPr>
              <w:t xml:space="preserve"> </w:t>
            </w:r>
            <w:hyperlink r:id="rId17">
              <w:r w:rsidRPr="00A02646">
                <w:rPr>
                  <w:rFonts w:ascii="Times New Roman" w:eastAsiaTheme="majorEastAsia" w:hAnsi="Times New Roman" w:cs="Times New Roman"/>
                  <w:strike/>
                  <w:sz w:val="24"/>
                  <w:szCs w:val="24"/>
                </w:rPr>
                <w:t>електричної енергії</w:t>
              </w:r>
            </w:hyperlink>
            <w:r w:rsidRPr="00A02646">
              <w:rPr>
                <w:rFonts w:ascii="Times New Roman" w:eastAsiaTheme="majorEastAsia" w:hAnsi="Times New Roman" w:cs="Times New Roman"/>
                <w:strike/>
                <w:sz w:val="24"/>
                <w:szCs w:val="24"/>
              </w:rPr>
              <w:t xml:space="preserve"> на розвантаження та маржинальні ціни балансуючої електричної енергії на розвантаження лише тих ОРЧ, у яких зона системи перебуває в профіциті.</w:t>
            </w:r>
          </w:p>
          <w:p w14:paraId="6B444E74" w14:textId="44A40ED5"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trike/>
                <w:sz w:val="24"/>
                <w:szCs w:val="24"/>
              </w:rPr>
            </w:pPr>
            <w:r w:rsidRPr="00A02646">
              <w:rPr>
                <w:rFonts w:ascii="Times New Roman" w:eastAsiaTheme="majorEastAsia" w:hAnsi="Times New Roman" w:cs="Times New Roman"/>
                <w:strike/>
                <w:sz w:val="24"/>
                <w:szCs w:val="24"/>
              </w:rPr>
              <w:t>Якщо зона системи у розрахунковому періоді перебуває у профіциті та обсяг  активованої  балансуючої  електричної  енергії  на  розвантаження (</w:t>
            </w:r>
            <m:oMath>
              <m:nary>
                <m:naryPr>
                  <m:chr m:val="∑"/>
                  <m:limLoc m:val="subSup"/>
                  <m:supHide m:val="1"/>
                  <m:ctrlPr>
                    <w:rPr>
                      <w:rFonts w:ascii="Cambria Math" w:hAnsi="Cambria Math" w:cs="Times New Roman"/>
                      <w:strike/>
                      <w:sz w:val="24"/>
                      <w:szCs w:val="24"/>
                    </w:rPr>
                  </m:ctrlPr>
                </m:naryPr>
                <m:sub>
                  <m:r>
                    <m:rPr>
                      <m:sty m:val="p"/>
                    </m:rPr>
                    <w:rPr>
                      <w:rFonts w:ascii="Cambria Math" w:hAnsi="Cambria Math" w:cs="Times New Roman"/>
                      <w:strike/>
                      <w:sz w:val="24"/>
                      <w:szCs w:val="24"/>
                    </w:rPr>
                    <m:t xml:space="preserve">rtu∈t </m:t>
                  </m:r>
                </m:sub>
                <m:sup/>
                <m:e>
                  <m:sSubSup>
                    <m:sSubSupPr>
                      <m:ctrlPr>
                        <w:rPr>
                          <w:rFonts w:ascii="Cambria Math" w:hAnsi="Cambria Math" w:cs="Times New Roman"/>
                          <w:strike/>
                          <w:sz w:val="24"/>
                          <w:szCs w:val="24"/>
                        </w:rPr>
                      </m:ctrlPr>
                    </m:sSubSupPr>
                    <m:e>
                      <m:r>
                        <m:rPr>
                          <m:sty m:val="p"/>
                        </m:rPr>
                        <w:rPr>
                          <w:rFonts w:ascii="Cambria Math" w:hAnsi="Cambria Math" w:cs="Times New Roman"/>
                          <w:strike/>
                          <w:sz w:val="24"/>
                          <w:szCs w:val="24"/>
                        </w:rPr>
                        <m:t>ABE</m:t>
                      </m:r>
                    </m:e>
                    <m:sub>
                      <m:r>
                        <m:rPr>
                          <m:sty m:val="p"/>
                        </m:rPr>
                        <w:rPr>
                          <w:rFonts w:ascii="Cambria Math" w:hAnsi="Cambria Math" w:cs="Times New Roman"/>
                          <w:strike/>
                          <w:sz w:val="24"/>
                          <w:szCs w:val="24"/>
                        </w:rPr>
                        <m:t xml:space="preserve">z,rtu  </m:t>
                      </m:r>
                    </m:sub>
                    <m:sup>
                      <m:r>
                        <m:rPr>
                          <m:sty m:val="p"/>
                        </m:rPr>
                        <w:rPr>
                          <w:rFonts w:ascii="Cambria Math" w:hAnsi="Cambria Math" w:cs="Times New Roman"/>
                          <w:strike/>
                          <w:sz w:val="24"/>
                          <w:szCs w:val="24"/>
                        </w:rPr>
                        <m:t>d</m:t>
                      </m:r>
                      <m:r>
                        <m:rPr>
                          <m:sty m:val="p"/>
                        </m:rPr>
                        <w:rPr>
                          <w:rFonts w:ascii="Cambria Math" w:hAnsi="Cambria Math" w:cs="Times New Roman"/>
                          <w:strike/>
                          <w:sz w:val="24"/>
                          <w:szCs w:val="24"/>
                          <w:lang w:val="en-US"/>
                        </w:rPr>
                        <m:t>n</m:t>
                      </m:r>
                    </m:sup>
                  </m:sSubSup>
                </m:e>
              </m:nary>
            </m:oMath>
            <w:r w:rsidRPr="00A02646">
              <w:rPr>
                <w:rFonts w:ascii="Times New Roman" w:eastAsiaTheme="majorEastAsia" w:hAnsi="Times New Roman" w:cs="Times New Roman"/>
                <w:strike/>
                <w:sz w:val="24"/>
                <w:szCs w:val="24"/>
              </w:rPr>
              <w:t>) протягом цього розрахункового періоду дорівнює нулю, то ціна небалансу для врегулювання небалансів електричної енергії (IMSPz,t) дорівнює мінімальному значенню з маржинальних цін балансуючої електричної енергії на розвантаження (</w:t>
            </w:r>
            <m:oMath>
              <m:sSubSup>
                <m:sSubSupPr>
                  <m:ctrlPr>
                    <w:rPr>
                      <w:rFonts w:ascii="Cambria Math" w:eastAsiaTheme="majorEastAsia" w:hAnsi="Cambria Math" w:cs="Times New Roman"/>
                      <w:strike/>
                      <w:sz w:val="24"/>
                      <w:szCs w:val="24"/>
                    </w:rPr>
                  </m:ctrlPr>
                </m:sSubSupPr>
                <m:e>
                  <m:r>
                    <m:rPr>
                      <m:sty m:val="p"/>
                    </m:rPr>
                    <w:rPr>
                      <w:rFonts w:ascii="Cambria Math" w:eastAsiaTheme="majorEastAsia" w:hAnsi="Cambria Math" w:cs="Times New Roman"/>
                      <w:strike/>
                      <w:sz w:val="24"/>
                      <w:szCs w:val="24"/>
                    </w:rPr>
                    <m:t>MP</m:t>
                  </m:r>
                </m:e>
                <m:sub>
                  <m:r>
                    <m:rPr>
                      <m:sty m:val="p"/>
                    </m:rPr>
                    <w:rPr>
                      <w:rFonts w:ascii="Cambria Math" w:eastAsiaTheme="majorEastAsia" w:hAnsi="Cambria Math" w:cs="Times New Roman"/>
                      <w:strike/>
                      <w:sz w:val="24"/>
                      <w:szCs w:val="24"/>
                    </w:rPr>
                    <m:t>z,rtu</m:t>
                  </m:r>
                </m:sub>
                <m:sup>
                  <m:r>
                    <m:rPr>
                      <m:sty m:val="p"/>
                    </m:rPr>
                    <w:rPr>
                      <w:rFonts w:ascii="Cambria Math" w:eastAsiaTheme="majorEastAsia" w:hAnsi="Cambria Math" w:cs="Times New Roman"/>
                      <w:strike/>
                      <w:sz w:val="24"/>
                      <w:szCs w:val="24"/>
                    </w:rPr>
                    <m:t>d</m:t>
                  </m:r>
                  <m:r>
                    <m:rPr>
                      <m:sty m:val="p"/>
                    </m:rPr>
                    <w:rPr>
                      <w:rFonts w:ascii="Cambria Math" w:eastAsiaTheme="majorEastAsia" w:hAnsi="Cambria Math" w:cs="Times New Roman"/>
                      <w:strike/>
                      <w:sz w:val="24"/>
                      <w:szCs w:val="24"/>
                      <w:lang w:val="en-US"/>
                    </w:rPr>
                    <m:t>n</m:t>
                  </m:r>
                </m:sup>
              </m:sSubSup>
            </m:oMath>
            <w:r w:rsidRPr="00A02646">
              <w:rPr>
                <w:rFonts w:ascii="Times New Roman" w:eastAsiaTheme="majorEastAsia" w:hAnsi="Times New Roman" w:cs="Times New Roman"/>
                <w:strike/>
                <w:sz w:val="24"/>
                <w:szCs w:val="24"/>
              </w:rPr>
              <w:t>) усіх ОРЧ цього розрахункового періоду;</w:t>
            </w:r>
          </w:p>
          <w:p w14:paraId="36829DD2" w14:textId="77777777" w:rsidR="00A02646" w:rsidRPr="00A02646" w:rsidRDefault="00A02646" w:rsidP="00A02646">
            <w:pPr>
              <w:pStyle w:val="a9"/>
              <w:widowControl w:val="0"/>
              <w:numPr>
                <w:ilvl w:val="0"/>
                <w:numId w:val="5"/>
              </w:numPr>
              <w:spacing w:before="60" w:after="0" w:line="240" w:lineRule="auto"/>
              <w:ind w:left="0" w:firstLine="313"/>
              <w:jc w:val="both"/>
              <w:rPr>
                <w:rFonts w:ascii="Times New Roman" w:eastAsiaTheme="majorEastAsia" w:hAnsi="Times New Roman" w:cs="Times New Roman"/>
                <w:strike/>
                <w:sz w:val="24"/>
                <w:szCs w:val="24"/>
              </w:rPr>
            </w:pPr>
            <w:r w:rsidRPr="00A02646">
              <w:rPr>
                <w:rFonts w:ascii="Times New Roman" w:hAnsi="Times New Roman" w:cs="Times New Roman"/>
                <w:strike/>
                <w:sz w:val="24"/>
                <w:szCs w:val="24"/>
              </w:rPr>
              <w:t xml:space="preserve"> </w:t>
            </w:r>
            <w:r w:rsidRPr="00A02646">
              <w:rPr>
                <w:rFonts w:ascii="Times New Roman" w:eastAsiaTheme="majorEastAsia" w:hAnsi="Times New Roman" w:cs="Times New Roman"/>
                <w:strike/>
                <w:sz w:val="24"/>
                <w:szCs w:val="24"/>
              </w:rPr>
              <w:t>якщо зона системи є збалансованою протягом розрахункового періоду, то</w:t>
            </w:r>
          </w:p>
          <w:p w14:paraId="4BED477F" w14:textId="03840980"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iCs/>
                <w:strike/>
                <w:sz w:val="24"/>
                <w:szCs w:val="24"/>
              </w:rPr>
            </w:pPr>
            <m:oMath>
              <m:sSub>
                <m:sSubPr>
                  <m:ctrlPr>
                    <w:rPr>
                      <w:rFonts w:ascii="Cambria Math" w:eastAsiaTheme="majorEastAsia" w:hAnsi="Cambria Math" w:cs="Times New Roman"/>
                      <w:iCs/>
                      <w:strike/>
                      <w:sz w:val="24"/>
                      <w:szCs w:val="24"/>
                    </w:rPr>
                  </m:ctrlPr>
                </m:sSubPr>
                <m:e>
                  <m:r>
                    <m:rPr>
                      <m:sty m:val="p"/>
                    </m:rPr>
                    <w:rPr>
                      <w:rFonts w:ascii="Cambria Math" w:eastAsiaTheme="majorEastAsia" w:hAnsi="Cambria Math" w:cs="Times New Roman"/>
                      <w:strike/>
                      <w:sz w:val="24"/>
                      <w:szCs w:val="24"/>
                    </w:rPr>
                    <m:t>IMSP</m:t>
                  </m:r>
                </m:e>
                <m:sub>
                  <m:r>
                    <m:rPr>
                      <m:sty m:val="p"/>
                    </m:rPr>
                    <w:rPr>
                      <w:rFonts w:ascii="Cambria Math" w:eastAsiaTheme="majorEastAsia" w:hAnsi="Cambria Math" w:cs="Times New Roman"/>
                      <w:strike/>
                      <w:sz w:val="24"/>
                      <w:szCs w:val="24"/>
                    </w:rPr>
                    <m:t>z,t</m:t>
                  </m:r>
                </m:sub>
              </m:sSub>
              <m:r>
                <m:rPr>
                  <m:sty m:val="p"/>
                </m:rPr>
                <w:rPr>
                  <w:rFonts w:ascii="Cambria Math" w:eastAsiaTheme="majorEastAsia" w:hAnsi="Cambria Math" w:cs="Times New Roman"/>
                  <w:strike/>
                  <w:sz w:val="24"/>
                  <w:szCs w:val="24"/>
                </w:rPr>
                <m:t xml:space="preserve">= </m:t>
              </m:r>
              <m:sSub>
                <m:sSubPr>
                  <m:ctrlPr>
                    <w:rPr>
                      <w:rFonts w:ascii="Cambria Math" w:eastAsiaTheme="majorEastAsia" w:hAnsi="Cambria Math" w:cs="Times New Roman"/>
                      <w:iCs/>
                      <w:strike/>
                      <w:sz w:val="24"/>
                      <w:szCs w:val="24"/>
                    </w:rPr>
                  </m:ctrlPr>
                </m:sSubPr>
                <m:e>
                  <m:r>
                    <m:rPr>
                      <m:sty m:val="p"/>
                    </m:rPr>
                    <w:rPr>
                      <w:rFonts w:ascii="Cambria Math" w:eastAsiaTheme="majorEastAsia" w:hAnsi="Cambria Math" w:cs="Times New Roman"/>
                      <w:strike/>
                      <w:sz w:val="24"/>
                      <w:szCs w:val="24"/>
                    </w:rPr>
                    <m:t>PDAM</m:t>
                  </m:r>
                </m:e>
                <m:sub>
                  <m:r>
                    <m:rPr>
                      <m:sty m:val="p"/>
                    </m:rPr>
                    <w:rPr>
                      <w:rFonts w:ascii="Cambria Math" w:eastAsiaTheme="majorEastAsia" w:hAnsi="Cambria Math" w:cs="Times New Roman"/>
                      <w:strike/>
                      <w:sz w:val="24"/>
                      <w:szCs w:val="24"/>
                    </w:rPr>
                    <m:t>z,t</m:t>
                  </m:r>
                </m:sub>
              </m:sSub>
            </m:oMath>
            <w:r w:rsidR="00A02646" w:rsidRPr="00A02646">
              <w:rPr>
                <w:rFonts w:ascii="Times New Roman" w:eastAsiaTheme="majorEastAsia" w:hAnsi="Times New Roman" w:cs="Times New Roman"/>
                <w:iCs/>
                <w:strike/>
                <w:sz w:val="24"/>
                <w:szCs w:val="24"/>
              </w:rPr>
              <w:t>,</w:t>
            </w:r>
          </w:p>
          <w:p w14:paraId="4EF9A791" w14:textId="26E440D3"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iCs/>
                <w:sz w:val="24"/>
                <w:szCs w:val="24"/>
              </w:rPr>
            </w:pPr>
            <w:r w:rsidRPr="00A02646">
              <w:rPr>
                <w:rFonts w:ascii="Times New Roman" w:eastAsiaTheme="majorEastAsia" w:hAnsi="Times New Roman" w:cs="Times New Roman"/>
                <w:strike/>
                <w:sz w:val="24"/>
                <w:szCs w:val="24"/>
              </w:rPr>
              <w:t xml:space="preserve">де </w:t>
            </w:r>
            <m:oMath>
              <m:sSub>
                <m:sSubPr>
                  <m:ctrlPr>
                    <w:rPr>
                      <w:rFonts w:ascii="Cambria Math" w:eastAsiaTheme="majorEastAsia" w:hAnsi="Cambria Math" w:cs="Times New Roman"/>
                      <w:iCs/>
                      <w:strike/>
                      <w:sz w:val="24"/>
                      <w:szCs w:val="24"/>
                    </w:rPr>
                  </m:ctrlPr>
                </m:sSubPr>
                <m:e>
                  <m:r>
                    <m:rPr>
                      <m:sty m:val="p"/>
                    </m:rPr>
                    <w:rPr>
                      <w:rFonts w:ascii="Cambria Math" w:eastAsiaTheme="majorEastAsia" w:hAnsi="Cambria Math" w:cs="Times New Roman"/>
                      <w:strike/>
                      <w:sz w:val="24"/>
                      <w:szCs w:val="24"/>
                    </w:rPr>
                    <m:t>PDAM</m:t>
                  </m:r>
                </m:e>
                <m:sub>
                  <m:r>
                    <m:rPr>
                      <m:sty m:val="p"/>
                    </m:rPr>
                    <w:rPr>
                      <w:rFonts w:ascii="Cambria Math" w:eastAsiaTheme="majorEastAsia" w:hAnsi="Cambria Math" w:cs="Times New Roman"/>
                      <w:strike/>
                      <w:sz w:val="24"/>
                      <w:szCs w:val="24"/>
                    </w:rPr>
                    <m:t>z,t</m:t>
                  </m:r>
                </m:sub>
              </m:sSub>
            </m:oMath>
            <w:r w:rsidRPr="00A02646">
              <w:rPr>
                <w:rFonts w:ascii="Times New Roman" w:eastAsiaTheme="majorEastAsia" w:hAnsi="Times New Roman" w:cs="Times New Roman"/>
                <w:strike/>
                <w:sz w:val="24"/>
                <w:szCs w:val="24"/>
              </w:rPr>
              <w:t xml:space="preserve"> – ціна купівлі-продажу електричної енергії на РДН у зоні z для розрахункового періоду t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днів, грн/</w:t>
            </w:r>
            <w:proofErr w:type="spellStart"/>
            <w:r w:rsidRPr="00A02646">
              <w:rPr>
                <w:rFonts w:ascii="Times New Roman" w:eastAsiaTheme="majorEastAsia" w:hAnsi="Times New Roman" w:cs="Times New Roman"/>
                <w:strike/>
                <w:sz w:val="24"/>
                <w:szCs w:val="24"/>
              </w:rPr>
              <w:t>МВт·год</w:t>
            </w:r>
            <w:proofErr w:type="spellEnd"/>
            <w:r w:rsidRPr="00A02646">
              <w:rPr>
                <w:rFonts w:ascii="Times New Roman" w:eastAsiaTheme="majorEastAsia" w:hAnsi="Times New Roman" w:cs="Times New Roman"/>
                <w:strike/>
                <w:sz w:val="24"/>
                <w:szCs w:val="24"/>
              </w:rPr>
              <w:t>.</w:t>
            </w:r>
          </w:p>
        </w:tc>
      </w:tr>
      <w:tr w:rsidR="00A02646" w:rsidRPr="00A02646" w14:paraId="30D1E0B6" w14:textId="365DF216" w:rsidTr="00A02646">
        <w:tc>
          <w:tcPr>
            <w:tcW w:w="7371" w:type="dxa"/>
          </w:tcPr>
          <w:p w14:paraId="51EF49B9"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eastAsiaTheme="majorEastAsia" w:hAnsi="Times New Roman" w:cs="Times New Roman"/>
                <w:sz w:val="24"/>
                <w:szCs w:val="24"/>
              </w:rPr>
              <w:lastRenderedPageBreak/>
              <w:t xml:space="preserve">5.13.4. На балансуючому ринку, крім маржинальних цін, зазначених у цій главі, використовуються ціни: </w:t>
            </w:r>
          </w:p>
          <w:p w14:paraId="63EC1E1D" w14:textId="1EBB98F0"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sz w:val="24"/>
                <w:szCs w:val="24"/>
              </w:rPr>
              <w:t xml:space="preserve">1)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oMath>
            <w:r w:rsidRPr="00A02646">
              <w:rPr>
                <w:rFonts w:ascii="Times New Roman" w:eastAsiaTheme="majorEastAsia" w:hAnsi="Times New Roman" w:cs="Times New Roman"/>
                <w:sz w:val="24"/>
                <w:szCs w:val="24"/>
              </w:rPr>
              <w:t xml:space="preserve"> – ціна балансуючої електричної енергії на розвантаження в дефіцитній системі в зоні z для розрахункового періоду t, грн/</w:t>
            </w:r>
            <w:proofErr w:type="spellStart"/>
            <w:r w:rsidRPr="00A02646">
              <w:rPr>
                <w:rFonts w:ascii="Times New Roman" w:eastAsiaTheme="majorEastAsia" w:hAnsi="Times New Roman" w:cs="Times New Roman"/>
                <w:sz w:val="24"/>
                <w:szCs w:val="24"/>
              </w:rPr>
              <w:t>МВт</w:t>
            </w:r>
            <w:r w:rsidRPr="00A02646">
              <w:rPr>
                <w:rFonts w:ascii="Cambria Math" w:eastAsiaTheme="majorEastAsia" w:hAnsi="Cambria Math" w:cs="Cambria Math"/>
                <w:sz w:val="24"/>
                <w:szCs w:val="24"/>
              </w:rPr>
              <w:t>⋅</w:t>
            </w:r>
            <w:r w:rsidRPr="00A02646">
              <w:rPr>
                <w:rFonts w:ascii="Times New Roman" w:eastAsiaTheme="majorEastAsia" w:hAnsi="Times New Roman" w:cs="Times New Roman"/>
                <w:sz w:val="24"/>
                <w:szCs w:val="24"/>
              </w:rPr>
              <w:t>год</w:t>
            </w:r>
            <w:proofErr w:type="spellEnd"/>
            <w:r w:rsidRPr="00A02646">
              <w:rPr>
                <w:rFonts w:ascii="Times New Roman" w:eastAsiaTheme="majorEastAsia" w:hAnsi="Times New Roman" w:cs="Times New Roman"/>
                <w:sz w:val="24"/>
                <w:szCs w:val="24"/>
              </w:rPr>
              <w:t>, що визначається як найменша ціна активованої пропозиції на балансуючу електричну енергію на розвантаження в зоні z у розрахунковому періоді t.</w:t>
            </w:r>
          </w:p>
          <w:p w14:paraId="744C2B8E" w14:textId="24A2CDFC"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iCs/>
                <w:sz w:val="24"/>
                <w:szCs w:val="24"/>
              </w:rPr>
              <w:t>Якщо відсутні активації пропозицій на балансуючу електричну енергію на розвантаження або усі активовані пропозиції на балансуючу електричну енергію на розвантаження акцептовані як такі, що врегульовують системні обмеження в зоні, то ціною балансуючої електричної енергії на розвантаження в дефіцитній системі є середньоарифметичне значення наявних з тридцяти цін балансуючої електричної енергії на розвантаження в дефіцитній системі (</w:t>
            </w:r>
            <m:oMath>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oMath>
            <w:r w:rsidRPr="00A02646">
              <w:rPr>
                <w:rFonts w:ascii="Times New Roman" w:eastAsiaTheme="majorEastAsia" w:hAnsi="Times New Roman" w:cs="Times New Roman"/>
                <w:iCs/>
                <w:sz w:val="24"/>
                <w:szCs w:val="24"/>
              </w:rPr>
              <w:t xml:space="preserve">) за аналогічні розрахункові періоди торгових днів, в яких така ціна була сформована, за попередні дев’яносто торгових днів; </w:t>
            </w:r>
          </w:p>
          <w:p w14:paraId="292FCB71" w14:textId="769516C8"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sz w:val="24"/>
                <w:szCs w:val="24"/>
              </w:rPr>
              <w:t xml:space="preserve">2)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Pr="00A02646">
              <w:rPr>
                <w:rFonts w:ascii="Times New Roman" w:eastAsiaTheme="majorEastAsia" w:hAnsi="Times New Roman" w:cs="Times New Roman"/>
                <w:sz w:val="24"/>
                <w:szCs w:val="24"/>
              </w:rPr>
              <w:t xml:space="preserve"> – ціна балансуючої електричної енергії на завантаження в </w:t>
            </w:r>
            <w:proofErr w:type="spellStart"/>
            <w:r w:rsidRPr="00A02646">
              <w:rPr>
                <w:rFonts w:ascii="Times New Roman" w:eastAsiaTheme="majorEastAsia" w:hAnsi="Times New Roman" w:cs="Times New Roman"/>
                <w:sz w:val="24"/>
                <w:szCs w:val="24"/>
              </w:rPr>
              <w:t>профіцитній</w:t>
            </w:r>
            <w:proofErr w:type="spellEnd"/>
            <w:r w:rsidRPr="00A02646">
              <w:rPr>
                <w:rFonts w:ascii="Times New Roman" w:eastAsiaTheme="majorEastAsia" w:hAnsi="Times New Roman" w:cs="Times New Roman"/>
                <w:sz w:val="24"/>
                <w:szCs w:val="24"/>
              </w:rPr>
              <w:t xml:space="preserve"> системі в зоні z для розрахункового періоду t, грн/</w:t>
            </w:r>
            <w:proofErr w:type="spellStart"/>
            <w:r w:rsidRPr="00A02646">
              <w:rPr>
                <w:rFonts w:ascii="Times New Roman" w:eastAsiaTheme="majorEastAsia" w:hAnsi="Times New Roman" w:cs="Times New Roman"/>
                <w:sz w:val="24"/>
                <w:szCs w:val="24"/>
              </w:rPr>
              <w:t>МВт</w:t>
            </w:r>
            <w:r w:rsidRPr="00A02646">
              <w:rPr>
                <w:rFonts w:ascii="Cambria Math" w:eastAsiaTheme="majorEastAsia" w:hAnsi="Cambria Math" w:cs="Cambria Math"/>
                <w:sz w:val="24"/>
                <w:szCs w:val="24"/>
              </w:rPr>
              <w:t>⋅</w:t>
            </w:r>
            <w:r w:rsidRPr="00A02646">
              <w:rPr>
                <w:rFonts w:ascii="Times New Roman" w:eastAsiaTheme="majorEastAsia" w:hAnsi="Times New Roman" w:cs="Times New Roman"/>
                <w:sz w:val="24"/>
                <w:szCs w:val="24"/>
              </w:rPr>
              <w:t>год</w:t>
            </w:r>
            <w:proofErr w:type="spellEnd"/>
            <w:r w:rsidRPr="00A02646">
              <w:rPr>
                <w:rFonts w:ascii="Times New Roman" w:eastAsiaTheme="majorEastAsia" w:hAnsi="Times New Roman" w:cs="Times New Roman"/>
                <w:sz w:val="24"/>
                <w:szCs w:val="24"/>
              </w:rPr>
              <w:t xml:space="preserve">, що визначається як найбільша ціна активованої пропозиції на балансуючу електричну енергію на завантаження в зоні z у розрахунковому періоді t. </w:t>
            </w:r>
          </w:p>
          <w:p w14:paraId="01D5352F" w14:textId="3E085973" w:rsidR="00A02646" w:rsidRPr="00A02646" w:rsidRDefault="00A02646" w:rsidP="00A02646">
            <w:pPr>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iCs/>
                <w:sz w:val="24"/>
                <w:szCs w:val="24"/>
              </w:rPr>
              <w:t xml:space="preserve">Якщо відсутні активації пропозицій на балансуючу електричну енергію на завантаження або усі активовані пропозиції на балансуючу електричну енергію на завантаження акцептовані як такі, що врегульовують системні обмеження в зоні, то ціною балансуючої електричної енергії на завантаження в </w:t>
            </w:r>
            <w:proofErr w:type="spellStart"/>
            <w:r w:rsidRPr="00A02646">
              <w:rPr>
                <w:rFonts w:ascii="Times New Roman" w:eastAsiaTheme="majorEastAsia" w:hAnsi="Times New Roman" w:cs="Times New Roman"/>
                <w:iCs/>
                <w:sz w:val="24"/>
                <w:szCs w:val="24"/>
              </w:rPr>
              <w:t>профіцитній</w:t>
            </w:r>
            <w:proofErr w:type="spellEnd"/>
            <w:r w:rsidRPr="00A02646">
              <w:rPr>
                <w:rFonts w:ascii="Times New Roman" w:eastAsiaTheme="majorEastAsia" w:hAnsi="Times New Roman" w:cs="Times New Roman"/>
                <w:iCs/>
                <w:sz w:val="24"/>
                <w:szCs w:val="24"/>
              </w:rPr>
              <w:t xml:space="preserve"> системі є середньоарифметичне значення наявних з тридцяти цін балансуючої електричної енергії на завантаження в </w:t>
            </w:r>
            <w:proofErr w:type="spellStart"/>
            <w:r w:rsidRPr="00A02646">
              <w:rPr>
                <w:rFonts w:ascii="Times New Roman" w:eastAsiaTheme="majorEastAsia" w:hAnsi="Times New Roman" w:cs="Times New Roman"/>
                <w:iCs/>
                <w:sz w:val="24"/>
                <w:szCs w:val="24"/>
              </w:rPr>
              <w:t>профіцитній</w:t>
            </w:r>
            <w:proofErr w:type="spellEnd"/>
            <w:r w:rsidRPr="00A02646">
              <w:rPr>
                <w:rFonts w:ascii="Times New Roman" w:eastAsiaTheme="majorEastAsia" w:hAnsi="Times New Roman" w:cs="Times New Roman"/>
                <w:iCs/>
                <w:sz w:val="24"/>
                <w:szCs w:val="24"/>
              </w:rPr>
              <w:t xml:space="preserve"> системі (</w:t>
            </w:r>
            <m:oMath>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Pr="00A02646">
              <w:rPr>
                <w:rFonts w:ascii="Times New Roman" w:eastAsiaTheme="majorEastAsia" w:hAnsi="Times New Roman" w:cs="Times New Roman"/>
                <w:iCs/>
                <w:sz w:val="24"/>
                <w:szCs w:val="24"/>
              </w:rPr>
              <w:t>) за аналогічні розрахункові періоди торгових днів, в яких така ціна була сформована, за попередні дев’яносто торгових днів.</w:t>
            </w:r>
          </w:p>
        </w:tc>
        <w:tc>
          <w:tcPr>
            <w:tcW w:w="7371" w:type="dxa"/>
          </w:tcPr>
          <w:p w14:paraId="3F87711F"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A02646">
              <w:rPr>
                <w:rFonts w:ascii="Times New Roman" w:eastAsiaTheme="majorEastAsia" w:hAnsi="Times New Roman" w:cs="Times New Roman"/>
                <w:strike/>
                <w:sz w:val="24"/>
                <w:szCs w:val="24"/>
              </w:rPr>
              <w:t xml:space="preserve">5.13.4. На балансуючому ринку, крім маржинальних цін, зазначених у цій главі, використовуються ціни: </w:t>
            </w:r>
          </w:p>
          <w:p w14:paraId="4A0B86C8" w14:textId="3F336890"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trike/>
                <w:sz w:val="24"/>
                <w:szCs w:val="24"/>
              </w:rPr>
            </w:pPr>
            <w:r w:rsidRPr="00A02646">
              <w:rPr>
                <w:rFonts w:ascii="Times New Roman" w:eastAsiaTheme="majorEastAsia" w:hAnsi="Times New Roman" w:cs="Times New Roman"/>
                <w:strike/>
                <w:sz w:val="24"/>
                <w:szCs w:val="24"/>
              </w:rPr>
              <w:t xml:space="preserve">1) </w:t>
            </w:r>
            <m:oMath>
              <m:sSubSup>
                <m:sSubSupPr>
                  <m:ctrlPr>
                    <w:rPr>
                      <w:rFonts w:ascii="Cambria Math" w:eastAsiaTheme="majorEastAsia" w:hAnsi="Cambria Math" w:cs="Times New Roman"/>
                      <w:strike/>
                      <w:sz w:val="24"/>
                      <w:szCs w:val="24"/>
                    </w:rPr>
                  </m:ctrlPr>
                </m:sSubSupPr>
                <m:e>
                  <m:r>
                    <m:rPr>
                      <m:sty m:val="p"/>
                    </m:rPr>
                    <w:rPr>
                      <w:rFonts w:ascii="Cambria Math" w:eastAsiaTheme="majorEastAsia" w:hAnsi="Cambria Math" w:cs="Times New Roman"/>
                      <w:strike/>
                      <w:sz w:val="24"/>
                      <w:szCs w:val="24"/>
                    </w:rPr>
                    <m:t>LABEO</m:t>
                  </m:r>
                </m:e>
                <m:sub>
                  <m:r>
                    <m:rPr>
                      <m:sty m:val="p"/>
                    </m:rPr>
                    <w:rPr>
                      <w:rFonts w:ascii="Cambria Math" w:eastAsiaTheme="majorEastAsia" w:hAnsi="Cambria Math" w:cs="Times New Roman"/>
                      <w:strike/>
                      <w:sz w:val="24"/>
                      <w:szCs w:val="24"/>
                    </w:rPr>
                    <m:t>z,t</m:t>
                  </m:r>
                </m:sub>
                <m:sup>
                  <m:r>
                    <m:rPr>
                      <m:sty m:val="p"/>
                    </m:rPr>
                    <w:rPr>
                      <w:rFonts w:ascii="Cambria Math" w:eastAsiaTheme="majorEastAsia" w:hAnsi="Cambria Math" w:cs="Times New Roman"/>
                      <w:strike/>
                      <w:sz w:val="24"/>
                      <w:szCs w:val="24"/>
                    </w:rPr>
                    <m:t>dn</m:t>
                  </m:r>
                </m:sup>
              </m:sSubSup>
            </m:oMath>
            <w:r w:rsidRPr="00A02646">
              <w:rPr>
                <w:rFonts w:ascii="Times New Roman" w:eastAsiaTheme="majorEastAsia" w:hAnsi="Times New Roman" w:cs="Times New Roman"/>
                <w:strike/>
                <w:sz w:val="24"/>
                <w:szCs w:val="24"/>
              </w:rPr>
              <w:t xml:space="preserve"> – ціна балансуючої електричної енергії на розвантаження в дефіцитній системі в зоні z для розрахункового періоду t, грн/МВт</w:t>
            </w:r>
            <w:r w:rsidRPr="00A02646">
              <w:rPr>
                <w:rFonts w:ascii="Cambria Math" w:eastAsiaTheme="majorEastAsia" w:hAnsi="Cambria Math" w:cs="Cambria Math"/>
                <w:strike/>
                <w:sz w:val="24"/>
                <w:szCs w:val="24"/>
              </w:rPr>
              <w:t>⋅</w:t>
            </w:r>
            <w:r w:rsidRPr="00A02646">
              <w:rPr>
                <w:rFonts w:ascii="Times New Roman" w:eastAsiaTheme="majorEastAsia" w:hAnsi="Times New Roman" w:cs="Times New Roman"/>
                <w:strike/>
                <w:sz w:val="24"/>
                <w:szCs w:val="24"/>
              </w:rPr>
              <w:t>год, що визначається як найменша ціна активованої пропозиції на балансуючу електричну енергію на розвантаження в зоні z у розрахунковому періоді t.</w:t>
            </w:r>
          </w:p>
          <w:p w14:paraId="373E7C4D" w14:textId="3BC57DFE"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trike/>
                <w:sz w:val="24"/>
                <w:szCs w:val="24"/>
              </w:rPr>
            </w:pPr>
            <w:r w:rsidRPr="00A02646">
              <w:rPr>
                <w:rFonts w:ascii="Times New Roman" w:eastAsiaTheme="majorEastAsia" w:hAnsi="Times New Roman" w:cs="Times New Roman"/>
                <w:iCs/>
                <w:strike/>
                <w:sz w:val="24"/>
                <w:szCs w:val="24"/>
              </w:rPr>
              <w:t>Якщо відсутні активації пропозицій на балансуючу електричну енергію на розвантаження або усі активовані пропозиції на балансуючу електричну енергію на розвантаження акцептовані як такі, що врегульовують системні обмеження в зоні, то ціною балансуючої електричної енергії на розвантаження в дефіцитній системі є середньоарифметичне значення наявних з тридцяти цін балансуючої електричної енергії на розвантаження в дефіцитній системі (</w:t>
            </w:r>
            <m:oMath>
              <m:sSubSup>
                <m:sSubSupPr>
                  <m:ctrlPr>
                    <w:rPr>
                      <w:rFonts w:ascii="Cambria Math" w:eastAsiaTheme="majorEastAsia" w:hAnsi="Cambria Math" w:cs="Times New Roman"/>
                      <w:iCs/>
                      <w:strike/>
                      <w:sz w:val="24"/>
                      <w:szCs w:val="24"/>
                    </w:rPr>
                  </m:ctrlPr>
                </m:sSubSupPr>
                <m:e>
                  <m:r>
                    <m:rPr>
                      <m:sty m:val="p"/>
                    </m:rPr>
                    <w:rPr>
                      <w:rFonts w:ascii="Cambria Math" w:eastAsiaTheme="majorEastAsia" w:hAnsi="Cambria Math" w:cs="Times New Roman"/>
                      <w:strike/>
                      <w:sz w:val="24"/>
                      <w:szCs w:val="24"/>
                    </w:rPr>
                    <m:t>LABEO</m:t>
                  </m:r>
                </m:e>
                <m:sub>
                  <m:r>
                    <m:rPr>
                      <m:sty m:val="p"/>
                    </m:rPr>
                    <w:rPr>
                      <w:rFonts w:ascii="Cambria Math" w:eastAsiaTheme="majorEastAsia" w:hAnsi="Cambria Math" w:cs="Times New Roman"/>
                      <w:strike/>
                      <w:sz w:val="24"/>
                      <w:szCs w:val="24"/>
                    </w:rPr>
                    <m:t>z,t</m:t>
                  </m:r>
                </m:sub>
                <m:sup>
                  <m:r>
                    <m:rPr>
                      <m:sty m:val="p"/>
                    </m:rPr>
                    <w:rPr>
                      <w:rFonts w:ascii="Cambria Math" w:eastAsiaTheme="majorEastAsia" w:hAnsi="Cambria Math" w:cs="Times New Roman"/>
                      <w:strike/>
                      <w:sz w:val="24"/>
                      <w:szCs w:val="24"/>
                    </w:rPr>
                    <m:t>dn</m:t>
                  </m:r>
                </m:sup>
              </m:sSubSup>
            </m:oMath>
            <w:r w:rsidRPr="00A02646">
              <w:rPr>
                <w:rFonts w:ascii="Times New Roman" w:eastAsiaTheme="majorEastAsia" w:hAnsi="Times New Roman" w:cs="Times New Roman"/>
                <w:iCs/>
                <w:strike/>
                <w:sz w:val="24"/>
                <w:szCs w:val="24"/>
              </w:rPr>
              <w:t xml:space="preserve">) за аналогічні розрахункові періоди торгових днів, в яких така ціна була сформована, за попередні дев’яносто торгових днів; </w:t>
            </w:r>
          </w:p>
          <w:p w14:paraId="7333610C" w14:textId="504FB4A6"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trike/>
                <w:sz w:val="24"/>
                <w:szCs w:val="24"/>
              </w:rPr>
            </w:pPr>
            <w:r w:rsidRPr="00A02646">
              <w:rPr>
                <w:rFonts w:ascii="Times New Roman" w:eastAsiaTheme="majorEastAsia" w:hAnsi="Times New Roman" w:cs="Times New Roman"/>
                <w:strike/>
                <w:sz w:val="24"/>
                <w:szCs w:val="24"/>
              </w:rPr>
              <w:t xml:space="preserve">2) </w:t>
            </w:r>
            <m:oMath>
              <m:sSubSup>
                <m:sSubSupPr>
                  <m:ctrlPr>
                    <w:rPr>
                      <w:rFonts w:ascii="Cambria Math" w:eastAsiaTheme="majorEastAsia" w:hAnsi="Cambria Math" w:cs="Times New Roman"/>
                      <w:strike/>
                      <w:sz w:val="24"/>
                      <w:szCs w:val="24"/>
                    </w:rPr>
                  </m:ctrlPr>
                </m:sSubSupPr>
                <m:e>
                  <m:r>
                    <m:rPr>
                      <m:sty m:val="p"/>
                    </m:rPr>
                    <w:rPr>
                      <w:rFonts w:ascii="Cambria Math" w:eastAsiaTheme="majorEastAsia" w:hAnsi="Cambria Math" w:cs="Times New Roman"/>
                      <w:strike/>
                      <w:sz w:val="24"/>
                      <w:szCs w:val="24"/>
                    </w:rPr>
                    <m:t>LABEO</m:t>
                  </m:r>
                </m:e>
                <m:sub>
                  <m:r>
                    <m:rPr>
                      <m:sty m:val="p"/>
                    </m:rPr>
                    <w:rPr>
                      <w:rFonts w:ascii="Cambria Math" w:eastAsiaTheme="majorEastAsia" w:hAnsi="Cambria Math" w:cs="Times New Roman"/>
                      <w:strike/>
                      <w:sz w:val="24"/>
                      <w:szCs w:val="24"/>
                    </w:rPr>
                    <m:t>z,t</m:t>
                  </m:r>
                </m:sub>
                <m:sup>
                  <m:r>
                    <m:rPr>
                      <m:sty m:val="p"/>
                    </m:rPr>
                    <w:rPr>
                      <w:rFonts w:ascii="Cambria Math" w:eastAsiaTheme="majorEastAsia" w:hAnsi="Cambria Math" w:cs="Times New Roman"/>
                      <w:strike/>
                      <w:sz w:val="24"/>
                      <w:szCs w:val="24"/>
                    </w:rPr>
                    <m:t>up</m:t>
                  </m:r>
                </m:sup>
              </m:sSubSup>
            </m:oMath>
            <w:r w:rsidRPr="00A02646">
              <w:rPr>
                <w:rFonts w:ascii="Times New Roman" w:eastAsiaTheme="majorEastAsia" w:hAnsi="Times New Roman" w:cs="Times New Roman"/>
                <w:strike/>
                <w:sz w:val="24"/>
                <w:szCs w:val="24"/>
              </w:rPr>
              <w:t xml:space="preserve"> – ціна балансуючої електричної енергії на завантаження в профіцитній системі в зоні z для розрахункового періоду t, грн/</w:t>
            </w:r>
            <w:proofErr w:type="spellStart"/>
            <w:r w:rsidRPr="00A02646">
              <w:rPr>
                <w:rFonts w:ascii="Times New Roman" w:eastAsiaTheme="majorEastAsia" w:hAnsi="Times New Roman" w:cs="Times New Roman"/>
                <w:strike/>
                <w:sz w:val="24"/>
                <w:szCs w:val="24"/>
              </w:rPr>
              <w:t>МВт</w:t>
            </w:r>
            <w:r w:rsidRPr="00A02646">
              <w:rPr>
                <w:rFonts w:ascii="Cambria Math" w:eastAsiaTheme="majorEastAsia" w:hAnsi="Cambria Math" w:cs="Cambria Math"/>
                <w:strike/>
                <w:sz w:val="24"/>
                <w:szCs w:val="24"/>
              </w:rPr>
              <w:t>⋅</w:t>
            </w:r>
            <w:r w:rsidRPr="00A02646">
              <w:rPr>
                <w:rFonts w:ascii="Times New Roman" w:eastAsiaTheme="majorEastAsia" w:hAnsi="Times New Roman" w:cs="Times New Roman"/>
                <w:strike/>
                <w:sz w:val="24"/>
                <w:szCs w:val="24"/>
              </w:rPr>
              <w:t>год</w:t>
            </w:r>
            <w:proofErr w:type="spellEnd"/>
            <w:r w:rsidRPr="00A02646">
              <w:rPr>
                <w:rFonts w:ascii="Times New Roman" w:eastAsiaTheme="majorEastAsia" w:hAnsi="Times New Roman" w:cs="Times New Roman"/>
                <w:strike/>
                <w:sz w:val="24"/>
                <w:szCs w:val="24"/>
              </w:rPr>
              <w:t xml:space="preserve">, що визначається як найбільша ціна активованої пропозиції на балансуючу електричну енергію на завантаження в зоні z у розрахунковому періоді t. </w:t>
            </w:r>
          </w:p>
          <w:p w14:paraId="4D1D00EC" w14:textId="7C7C2D11" w:rsidR="00A02646" w:rsidRPr="00A02646" w:rsidRDefault="00A02646" w:rsidP="00A02646">
            <w:pPr>
              <w:pStyle w:val="3"/>
              <w:keepNext w:val="0"/>
              <w:keepLines w:val="0"/>
              <w:widowControl w:val="0"/>
              <w:spacing w:before="60" w:after="0" w:line="240" w:lineRule="auto"/>
              <w:ind w:firstLine="313"/>
              <w:jc w:val="both"/>
              <w:outlineLvl w:val="2"/>
              <w:rPr>
                <w:rFonts w:ascii="Times New Roman" w:hAnsi="Times New Roman" w:cs="Times New Roman"/>
                <w:strike/>
                <w:color w:val="auto"/>
                <w:sz w:val="24"/>
                <w:szCs w:val="24"/>
              </w:rPr>
            </w:pPr>
            <w:r w:rsidRPr="00A02646">
              <w:rPr>
                <w:rFonts w:ascii="Times New Roman" w:hAnsi="Times New Roman" w:cs="Times New Roman"/>
                <w:iCs/>
                <w:strike/>
                <w:color w:val="auto"/>
                <w:sz w:val="24"/>
                <w:szCs w:val="24"/>
              </w:rPr>
              <w:t xml:space="preserve">Якщо відсутні активації пропозицій на балансуючу електричну енергію на завантаження або усі активовані пропозиції на балансуючу електричну енергію на завантаження акцептовані як такі, що врегульовують системні обмеження в зоні, то ціною балансуючої електричної енергії на завантаження в </w:t>
            </w:r>
            <w:proofErr w:type="spellStart"/>
            <w:r w:rsidRPr="00A02646">
              <w:rPr>
                <w:rFonts w:ascii="Times New Roman" w:hAnsi="Times New Roman" w:cs="Times New Roman"/>
                <w:iCs/>
                <w:strike/>
                <w:color w:val="auto"/>
                <w:sz w:val="24"/>
                <w:szCs w:val="24"/>
              </w:rPr>
              <w:t>профіцитній</w:t>
            </w:r>
            <w:proofErr w:type="spellEnd"/>
            <w:r w:rsidRPr="00A02646">
              <w:rPr>
                <w:rFonts w:ascii="Times New Roman" w:hAnsi="Times New Roman" w:cs="Times New Roman"/>
                <w:iCs/>
                <w:strike/>
                <w:color w:val="auto"/>
                <w:sz w:val="24"/>
                <w:szCs w:val="24"/>
              </w:rPr>
              <w:t xml:space="preserve"> системі є середньоарифметичне значення наявних з тридцяти цін балансуючої електричної енергії на завантаження в </w:t>
            </w:r>
            <w:proofErr w:type="spellStart"/>
            <w:r w:rsidRPr="00A02646">
              <w:rPr>
                <w:rFonts w:ascii="Times New Roman" w:hAnsi="Times New Roman" w:cs="Times New Roman"/>
                <w:iCs/>
                <w:strike/>
                <w:color w:val="auto"/>
                <w:sz w:val="24"/>
                <w:szCs w:val="24"/>
              </w:rPr>
              <w:t>профіцитній</w:t>
            </w:r>
            <w:proofErr w:type="spellEnd"/>
            <w:r w:rsidRPr="00A02646">
              <w:rPr>
                <w:rFonts w:ascii="Times New Roman" w:hAnsi="Times New Roman" w:cs="Times New Roman"/>
                <w:iCs/>
                <w:strike/>
                <w:color w:val="auto"/>
                <w:sz w:val="24"/>
                <w:szCs w:val="24"/>
              </w:rPr>
              <w:t xml:space="preserve"> системі (</w:t>
            </w:r>
            <m:oMath>
              <m:sSubSup>
                <m:sSubSupPr>
                  <m:ctrlPr>
                    <w:rPr>
                      <w:rFonts w:ascii="Cambria Math" w:hAnsi="Cambria Math" w:cs="Times New Roman"/>
                      <w:iCs/>
                      <w:strike/>
                      <w:color w:val="auto"/>
                      <w:sz w:val="24"/>
                      <w:szCs w:val="24"/>
                    </w:rPr>
                  </m:ctrlPr>
                </m:sSubSupPr>
                <m:e>
                  <m:r>
                    <m:rPr>
                      <m:sty m:val="p"/>
                    </m:rPr>
                    <w:rPr>
                      <w:rFonts w:ascii="Cambria Math" w:hAnsi="Cambria Math" w:cs="Times New Roman"/>
                      <w:strike/>
                      <w:color w:val="auto"/>
                      <w:sz w:val="24"/>
                      <w:szCs w:val="24"/>
                    </w:rPr>
                    <m:t>LABEO</m:t>
                  </m:r>
                </m:e>
                <m:sub>
                  <m:r>
                    <m:rPr>
                      <m:sty m:val="p"/>
                    </m:rPr>
                    <w:rPr>
                      <w:rFonts w:ascii="Cambria Math" w:hAnsi="Cambria Math" w:cs="Times New Roman"/>
                      <w:strike/>
                      <w:color w:val="auto"/>
                      <w:sz w:val="24"/>
                      <w:szCs w:val="24"/>
                    </w:rPr>
                    <m:t>z,t</m:t>
                  </m:r>
                </m:sub>
                <m:sup>
                  <m:r>
                    <m:rPr>
                      <m:sty m:val="p"/>
                    </m:rPr>
                    <w:rPr>
                      <w:rFonts w:ascii="Cambria Math" w:hAnsi="Cambria Math" w:cs="Times New Roman"/>
                      <w:strike/>
                      <w:color w:val="auto"/>
                      <w:sz w:val="24"/>
                      <w:szCs w:val="24"/>
                    </w:rPr>
                    <m:t>up</m:t>
                  </m:r>
                </m:sup>
              </m:sSubSup>
            </m:oMath>
            <w:r w:rsidRPr="00A02646">
              <w:rPr>
                <w:rFonts w:ascii="Times New Roman" w:hAnsi="Times New Roman" w:cs="Times New Roman"/>
                <w:iCs/>
                <w:strike/>
                <w:color w:val="auto"/>
                <w:sz w:val="24"/>
                <w:szCs w:val="24"/>
              </w:rPr>
              <w:t>) за аналогічні розрахункові періоди торгових днів, в яких така ціна була сформована, за попередні дев’яносто торгових днів.</w:t>
            </w:r>
          </w:p>
        </w:tc>
      </w:tr>
      <w:tr w:rsidR="00A02646" w:rsidRPr="00A02646" w14:paraId="4D56ED61" w14:textId="77777777" w:rsidTr="00A02646">
        <w:tc>
          <w:tcPr>
            <w:tcW w:w="7371" w:type="dxa"/>
          </w:tcPr>
          <w:p w14:paraId="673042F7" w14:textId="3AC61CE0" w:rsidR="00A02646" w:rsidRPr="00A02646" w:rsidRDefault="00A02646" w:rsidP="00A02646">
            <w:pPr>
              <w:pStyle w:val="tr"/>
              <w:spacing w:before="60" w:beforeAutospacing="0" w:after="0" w:afterAutospacing="0"/>
              <w:ind w:firstLine="313"/>
              <w:jc w:val="both"/>
              <w:rPr>
                <w:b/>
              </w:rPr>
            </w:pPr>
            <w:r w:rsidRPr="00A02646">
              <w:rPr>
                <w:b/>
              </w:rPr>
              <w:t>5.14. Оплата балансуючої електричної енергії</w:t>
            </w:r>
          </w:p>
        </w:tc>
        <w:tc>
          <w:tcPr>
            <w:tcW w:w="7371" w:type="dxa"/>
          </w:tcPr>
          <w:p w14:paraId="4A12C686" w14:textId="46EB926C" w:rsidR="00A02646" w:rsidRPr="00A02646" w:rsidRDefault="00A02646" w:rsidP="00A02646">
            <w:pPr>
              <w:widowControl w:val="0"/>
              <w:spacing w:before="60" w:after="0" w:line="240" w:lineRule="auto"/>
              <w:ind w:firstLine="313"/>
              <w:jc w:val="both"/>
              <w:rPr>
                <w:rFonts w:ascii="Times New Roman" w:hAnsi="Times New Roman" w:cs="Times New Roman"/>
                <w:b/>
                <w:sz w:val="24"/>
                <w:szCs w:val="24"/>
              </w:rPr>
            </w:pPr>
            <w:r w:rsidRPr="00A02646">
              <w:rPr>
                <w:rFonts w:ascii="Times New Roman" w:hAnsi="Times New Roman" w:cs="Times New Roman"/>
                <w:b/>
                <w:sz w:val="24"/>
                <w:szCs w:val="24"/>
              </w:rPr>
              <w:t>5.14. Оплата балансуючої електричної енергії</w:t>
            </w:r>
          </w:p>
        </w:tc>
      </w:tr>
      <w:tr w:rsidR="00A02646" w:rsidRPr="00A02646" w14:paraId="6164B9CB" w14:textId="04599A90" w:rsidTr="00A02646">
        <w:tc>
          <w:tcPr>
            <w:tcW w:w="7371" w:type="dxa"/>
          </w:tcPr>
          <w:p w14:paraId="3CD84726" w14:textId="049AC695"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lastRenderedPageBreak/>
              <w:t>5.14.5. У кожній торговій зоні величина нарахування/списання коштів за активовану балансуючу електричну енергію (</w:t>
            </w:r>
            <m:oMath>
              <m:sSub>
                <m:sSubPr>
                  <m:ctrlPr>
                    <w:rPr>
                      <w:rFonts w:ascii="Cambria Math" w:hAnsi="Cambria Math" w:cs="Times New Roman"/>
                      <w:sz w:val="24"/>
                      <w:szCs w:val="24"/>
                    </w:rPr>
                  </m:ctrlPr>
                </m:sSubPr>
                <m:e>
                  <m:r>
                    <m:rPr>
                      <m:sty m:val="p"/>
                    </m:rPr>
                    <w:rPr>
                      <w:rFonts w:ascii="Cambria Math" w:hAnsi="Cambria Math" w:cs="Times New Roman"/>
                      <w:sz w:val="24"/>
                      <w:szCs w:val="24"/>
                    </w:rPr>
                    <m:t>CINSTQ</m:t>
                  </m:r>
                </m:e>
                <m:sub>
                  <m:r>
                    <m:rPr>
                      <m:sty m:val="p"/>
                    </m:rPr>
                    <w:rPr>
                      <w:rFonts w:ascii="Cambria Math" w:hAnsi="Cambria Math" w:cs="Times New Roman"/>
                      <w:sz w:val="24"/>
                      <w:szCs w:val="24"/>
                    </w:rPr>
                    <m:t>e,z,t</m:t>
                  </m:r>
                </m:sub>
              </m:sSub>
            </m:oMath>
            <w:r w:rsidRPr="00A02646">
              <w:rPr>
                <w:rFonts w:ascii="Times New Roman" w:hAnsi="Times New Roman" w:cs="Times New Roman"/>
                <w:sz w:val="24"/>
                <w:szCs w:val="24"/>
              </w:rPr>
              <w:t>) одиниці надання послуг з балансування, за кожен розрахунковий період обчислюється з урахуванням стану системи, визначеного відповідно до глави 5.13 цього розділу, у такий спосіб:</w:t>
            </w:r>
          </w:p>
          <w:p w14:paraId="502E49C1" w14:textId="2D916569"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1) якщо зона системи перебуває в дефіциті протягом розрахункового періоду, то нарахування коштів за активовану балансуючу електричну енергію на завантаження за цей розрахунковий період у зоні розраховується за маржинальною ціною балансуючої електричної енергії на завантаження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 xml:space="preserve">), </m:t>
              </m:r>
            </m:oMath>
            <w:r w:rsidRPr="00A02646">
              <w:rPr>
                <w:rFonts w:ascii="Times New Roman" w:hAnsi="Times New Roman" w:cs="Times New Roman"/>
                <w:sz w:val="24"/>
                <w:szCs w:val="24"/>
              </w:rPr>
              <w:t>а списання коштів за активовану балансуючу електричну енергію на розвантаження за цей розрахунковий період у зоні розраховується за ціною балансуючої електричної енергії на розвантаження в дефіцитній системі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A02646">
              <w:rPr>
                <w:rFonts w:ascii="Times New Roman" w:hAnsi="Times New Roman" w:cs="Times New Roman"/>
                <w:sz w:val="24"/>
                <w:szCs w:val="24"/>
              </w:rPr>
              <w:t>), тобто</w:t>
            </w:r>
          </w:p>
          <w:p w14:paraId="1AD05FDC" w14:textId="20FB4399" w:rsidR="00A02646" w:rsidRPr="00A02646" w:rsidRDefault="00EE40A7" w:rsidP="00A02646">
            <w:pPr>
              <w:widowControl w:val="0"/>
              <w:spacing w:before="60" w:after="0" w:line="240" w:lineRule="auto"/>
              <w:ind w:firstLine="313"/>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00A02646" w:rsidRPr="00A02646">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00A02646" w:rsidRPr="00A02646">
              <w:rPr>
                <w:rFonts w:ascii="Times New Roman" w:hAnsi="Times New Roman" w:cs="Times New Roman"/>
                <w:sz w:val="24"/>
                <w:szCs w:val="24"/>
              </w:rPr>
              <w:t xml:space="preserve">  ,</w:t>
            </w:r>
          </w:p>
          <w:p w14:paraId="46FA403B" w14:textId="4CB40665"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A02646">
              <w:rPr>
                <w:rFonts w:ascii="Times New Roman" w:hAnsi="Times New Roman" w:cs="Times New Roman"/>
                <w:sz w:val="24"/>
                <w:szCs w:val="24"/>
              </w:rPr>
              <w:t xml:space="preserve"> – маржинальна ціна балансуючої електричної енергії на завантаження в зоні z за розрахунковий період t, грн/МВт</w:t>
            </w:r>
            <w:r w:rsidRPr="00A02646">
              <w:rPr>
                <w:rFonts w:ascii="Cambria Math" w:hAnsi="Cambria Math" w:cs="Cambria Math"/>
                <w:sz w:val="24"/>
                <w:szCs w:val="24"/>
              </w:rPr>
              <w:t>⋅</w:t>
            </w:r>
            <w:r w:rsidRPr="00A02646">
              <w:rPr>
                <w:rFonts w:ascii="Times New Roman" w:hAnsi="Times New Roman" w:cs="Times New Roman"/>
                <w:sz w:val="24"/>
                <w:szCs w:val="24"/>
              </w:rPr>
              <w:t>год, яка визначається як середньозважена ціна за розрахунковий період t у кожній торговій зоні z, отримана з маржинальних цін балансуючої електричної енергії на завантаження за кожну ОРЧ та активованих обсягів балансуючої електричної енергії на завантаження за кожну ОРЧ, та розраховується за формулою</w:t>
            </w:r>
          </w:p>
          <w:p w14:paraId="097EF1F3" w14:textId="55837AB1"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sz w:val="24"/>
                <w:szCs w:val="24"/>
              </w:rPr>
            </w:pP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00A02646" w:rsidRPr="00A02646">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e>
                          </m:nary>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 xml:space="preserve"> 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up</m:t>
                                  </m:r>
                                </m:sup>
                              </m:sSubSup>
                            </m:e>
                          </m:nary>
                        </m:e>
                      </m:nary>
                    </m:den>
                  </m:f>
                </m:e>
              </m:d>
              <m:r>
                <m:rPr>
                  <m:sty m:val="p"/>
                </m:rPr>
                <w:rPr>
                  <w:rFonts w:ascii="Cambria Math" w:eastAsiaTheme="majorEastAsia" w:hAnsi="Cambria Math" w:cs="Times New Roman"/>
                  <w:sz w:val="24"/>
                  <w:szCs w:val="24"/>
                </w:rPr>
                <m:t>;</m:t>
              </m:r>
            </m:oMath>
          </w:p>
          <w:p w14:paraId="6614BAF0" w14:textId="77777777"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iCs/>
                <w:sz w:val="24"/>
                <w:szCs w:val="24"/>
              </w:rPr>
            </w:pPr>
            <w:r w:rsidRPr="00A02646">
              <w:rPr>
                <w:rFonts w:ascii="Times New Roman" w:eastAsiaTheme="majorEastAsia" w:hAnsi="Times New Roman" w:cs="Times New Roman"/>
                <w:iCs/>
                <w:sz w:val="24"/>
                <w:szCs w:val="24"/>
              </w:rPr>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445463DA" w14:textId="5BA9B6A2"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iCs/>
                <w:sz w:val="24"/>
                <w:szCs w:val="24"/>
              </w:rPr>
            </w:pPr>
            <w:r w:rsidRPr="00A02646">
              <w:rPr>
                <w:rFonts w:ascii="Times New Roman" w:eastAsiaTheme="majorEastAsia" w:hAnsi="Times New Roman" w:cs="Times New Roman"/>
                <w:iCs/>
                <w:sz w:val="24"/>
                <w:szCs w:val="24"/>
              </w:rPr>
              <w:lastRenderedPageBreak/>
              <w:t>Якщо зона системи у розрахунковому періоді перебуває у дефіциті та обсяг  активованої  балансуючої  електричної  енергії  на  завантаження (</w:t>
            </w:r>
            <m:oMath>
              <m:nary>
                <m:naryPr>
                  <m:chr m:val="∑"/>
                  <m:limLoc m:val="subSup"/>
                  <m:supHide m:val="1"/>
                  <m:ctrlPr>
                    <w:rPr>
                      <w:rFonts w:ascii="Cambria Math" w:eastAsiaTheme="majorEastAsia" w:hAnsi="Cambria Math" w:cs="Times New Roman"/>
                      <w:iCs/>
                      <w:sz w:val="24"/>
                      <w:szCs w:val="24"/>
                    </w:rPr>
                  </m:ctrlPr>
                </m:naryPr>
                <m:sub>
                  <m:r>
                    <m:rPr>
                      <m:sty m:val="p"/>
                    </m:rPr>
                    <w:rPr>
                      <w:rFonts w:ascii="Cambria Math" w:eastAsiaTheme="majorEastAsia" w:hAnsi="Cambria Math" w:cs="Times New Roman"/>
                      <w:sz w:val="24"/>
                      <w:szCs w:val="24"/>
                      <w:lang w:val="en-US"/>
                    </w:rPr>
                    <m:t>rtu</m:t>
                  </m:r>
                  <m:r>
                    <m:rPr>
                      <m:sty m:val="p"/>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eastAsiaTheme="majorEastAsia" w:hAnsi="Cambria Math" w:cs="Times New Roman"/>
                          <w:sz w:val="24"/>
                          <w:szCs w:val="24"/>
                        </w:rPr>
                        <m:t>up</m:t>
                      </m:r>
                    </m:sup>
                  </m:sSubSup>
                  <m:r>
                    <m:rPr>
                      <m:sty m:val="p"/>
                    </m:rPr>
                    <w:rPr>
                      <w:rFonts w:ascii="Cambria Math" w:eastAsiaTheme="majorEastAsia" w:hAnsi="Cambria Math" w:cs="Times New Roman"/>
                      <w:sz w:val="24"/>
                      <w:szCs w:val="24"/>
                    </w:rPr>
                    <m:t>)</m:t>
                  </m:r>
                </m:e>
              </m:nary>
            </m:oMath>
            <w:r w:rsidRPr="00A02646">
              <w:rPr>
                <w:rFonts w:ascii="Times New Roman" w:eastAsiaTheme="majorEastAsia" w:hAnsi="Times New Roman" w:cs="Times New Roman"/>
                <w:iCs/>
                <w:sz w:val="24"/>
                <w:szCs w:val="24"/>
              </w:rPr>
              <w:t xml:space="preserve"> протягом цього розрахункового періоду дорівнює нулю, то маржинальна ціна балансуючої електричної енергії на завантаження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A02646">
              <w:rPr>
                <w:rFonts w:ascii="Times New Roman" w:eastAsiaTheme="majorEastAsia" w:hAnsi="Times New Roman" w:cs="Times New Roman"/>
                <w:iCs/>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A02646">
              <w:rPr>
                <w:rFonts w:ascii="Times New Roman" w:eastAsiaTheme="majorEastAsia" w:hAnsi="Times New Roman" w:cs="Times New Roman"/>
                <w:sz w:val="24"/>
                <w:szCs w:val="24"/>
              </w:rPr>
              <w:t xml:space="preserve">) </w:t>
            </w:r>
            <w:r w:rsidRPr="00A02646">
              <w:rPr>
                <w:rFonts w:ascii="Times New Roman" w:eastAsiaTheme="majorEastAsia" w:hAnsi="Times New Roman" w:cs="Times New Roman"/>
                <w:iCs/>
                <w:sz w:val="24"/>
                <w:szCs w:val="24"/>
              </w:rPr>
              <w:t>усіх ОРЧ цього розрахункового періоду;</w:t>
            </w:r>
          </w:p>
          <w:p w14:paraId="748773CA" w14:textId="514F99F3"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 xml:space="preserve">2) якщо зона системи перебуває в профіциті протягом розрахункового періоду, то нарахування коштів за активовану балансуючу електричну енергію на завантаження за цей розрахунковий період у зоні розраховується за ціною балансуючої електричної енергії на завантаження в </w:t>
            </w:r>
            <w:proofErr w:type="spellStart"/>
            <w:r w:rsidRPr="00A02646">
              <w:rPr>
                <w:rFonts w:ascii="Times New Roman" w:hAnsi="Times New Roman" w:cs="Times New Roman"/>
                <w:sz w:val="24"/>
                <w:szCs w:val="24"/>
              </w:rPr>
              <w:t>профіцитній</w:t>
            </w:r>
            <w:proofErr w:type="spellEnd"/>
            <w:r w:rsidRPr="00A02646">
              <w:rPr>
                <w:rFonts w:ascii="Times New Roman" w:hAnsi="Times New Roman" w:cs="Times New Roman"/>
                <w:sz w:val="24"/>
                <w:szCs w:val="24"/>
              </w:rPr>
              <w:t xml:space="preserve"> системі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A02646">
              <w:rPr>
                <w:rFonts w:ascii="Times New Roman" w:hAnsi="Times New Roman" w:cs="Times New Roman"/>
                <w:sz w:val="24"/>
                <w:szCs w:val="24"/>
              </w:rPr>
              <w:t>), а списання коштів за активовану балансуючу електричну енергію на розвантаження за цей розрахунковий період розраховується за маржинальною ціною балансуючої електричної енергії на розвантаження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A02646">
              <w:rPr>
                <w:rFonts w:ascii="Times New Roman" w:hAnsi="Times New Roman" w:cs="Times New Roman"/>
                <w:sz w:val="24"/>
                <w:szCs w:val="24"/>
              </w:rPr>
              <w:t xml:space="preserve">), тобто </w:t>
            </w:r>
          </w:p>
          <w:p w14:paraId="0B72052C" w14:textId="6C60B769" w:rsidR="00A02646" w:rsidRPr="00A02646" w:rsidRDefault="00EE40A7" w:rsidP="00A02646">
            <w:pPr>
              <w:widowControl w:val="0"/>
              <w:spacing w:before="60" w:after="0" w:line="240" w:lineRule="auto"/>
              <w:ind w:firstLine="313"/>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00A02646" w:rsidRPr="00A02646">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00A02646" w:rsidRPr="00A02646">
              <w:rPr>
                <w:rFonts w:ascii="Times New Roman" w:hAnsi="Times New Roman" w:cs="Times New Roman"/>
                <w:sz w:val="24"/>
                <w:szCs w:val="24"/>
              </w:rPr>
              <w:t>,</w:t>
            </w:r>
          </w:p>
          <w:p w14:paraId="303D14F8" w14:textId="7C11EEE8"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A02646">
              <w:rPr>
                <w:rFonts w:ascii="Times New Roman" w:eastAsiaTheme="minorEastAsia" w:hAnsi="Times New Roman" w:cs="Times New Roman"/>
                <w:sz w:val="24"/>
                <w:szCs w:val="24"/>
              </w:rPr>
              <w:t xml:space="preserve"> </w:t>
            </w:r>
            <w:r w:rsidRPr="00A02646">
              <w:rPr>
                <w:rFonts w:ascii="Times New Roman" w:hAnsi="Times New Roman" w:cs="Times New Roman"/>
                <w:sz w:val="24"/>
                <w:szCs w:val="24"/>
              </w:rPr>
              <w:t>− маржинальна ціна балансуючої електричної енергії на розвантаження в зоні z за розрахунковий період t, грн/</w:t>
            </w:r>
            <w:proofErr w:type="spellStart"/>
            <w:r w:rsidRPr="00A02646">
              <w:rPr>
                <w:rFonts w:ascii="Times New Roman" w:hAnsi="Times New Roman" w:cs="Times New Roman"/>
                <w:sz w:val="24"/>
                <w:szCs w:val="24"/>
              </w:rPr>
              <w:t>МВт·год</w:t>
            </w:r>
            <w:proofErr w:type="spellEnd"/>
            <w:r w:rsidRPr="00A02646">
              <w:rPr>
                <w:rFonts w:ascii="Times New Roman" w:hAnsi="Times New Roman" w:cs="Times New Roman"/>
                <w:sz w:val="24"/>
                <w:szCs w:val="24"/>
              </w:rPr>
              <w:t>, яка визначається як середньозважена ціна за розрахунковий період t у кожній торговій зоні z, отримана з маржинальних цін балансуючої електричної енергії на розвантаження за кожну ОРЧ та активованих обсягів балансуючої електричної енергії на розвантаження за кожну ОРЧ, та розраховується за формулою</w:t>
            </w:r>
          </w:p>
          <w:p w14:paraId="4A5BA675" w14:textId="6D712433"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sz w:val="24"/>
                <w:szCs w:val="24"/>
              </w:rPr>
            </w:pPr>
            <w:r w:rsidRPr="00A02646">
              <w:rPr>
                <w:rFonts w:ascii="Times New Roman" w:hAnsi="Times New Roman" w:cs="Times New Roman"/>
                <w:sz w:val="24"/>
                <w:szCs w:val="24"/>
              </w:rPr>
              <w:t xml:space="preserve">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r>
                <m:rPr>
                  <m:sty m:val="p"/>
                </m:rPr>
                <w:rPr>
                  <w:rFonts w:ascii="Cambria Math" w:eastAsiaTheme="majorEastAsia" w:hAnsi="Cambria Math" w:cs="Times New Roman"/>
                  <w:sz w:val="24"/>
                  <w:szCs w:val="24"/>
                </w:rPr>
                <m:t xml:space="preserve"> </m:t>
              </m:r>
            </m:oMath>
            <w:r w:rsidRPr="00A02646">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 xml:space="preserve"> 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e>
                      </m:nary>
                    </m:den>
                  </m:f>
                </m:e>
              </m:d>
              <m:r>
                <m:rPr>
                  <m:sty m:val="p"/>
                </m:rPr>
                <w:rPr>
                  <w:rFonts w:ascii="Cambria Math" w:eastAsiaTheme="majorEastAsia" w:hAnsi="Cambria Math" w:cs="Times New Roman"/>
                  <w:sz w:val="24"/>
                  <w:szCs w:val="24"/>
                </w:rPr>
                <m:t>;</m:t>
              </m:r>
            </m:oMath>
          </w:p>
          <w:p w14:paraId="390DA5A1" w14:textId="77777777"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 xml:space="preserve">До розрахунку приймаються обсяги активованої балансуючої електричної енергії на розвантаження та маржинальні ціни балансуючої електричної енергії на розвантаження лише тих ОРЧ, у яких зона </w:t>
            </w:r>
            <w:r w:rsidRPr="00A02646">
              <w:rPr>
                <w:rFonts w:ascii="Times New Roman" w:hAnsi="Times New Roman" w:cs="Times New Roman"/>
                <w:sz w:val="24"/>
                <w:szCs w:val="24"/>
              </w:rPr>
              <w:lastRenderedPageBreak/>
              <w:t>системи перебуває в профіциті.</w:t>
            </w:r>
          </w:p>
          <w:p w14:paraId="5B97E422" w14:textId="37B041E3"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iCs/>
                <w:sz w:val="24"/>
                <w:szCs w:val="24"/>
              </w:rPr>
            </w:pPr>
            <w:r w:rsidRPr="00A02646">
              <w:rPr>
                <w:rFonts w:ascii="Times New Roman" w:hAnsi="Times New Roman" w:cs="Times New Roman"/>
                <w:sz w:val="24"/>
                <w:szCs w:val="24"/>
              </w:rPr>
              <w:t xml:space="preserve">Якщо зона системи у розрахунковому періоді перебуває у профіциті та обсяг активованої балансуючої електричної енергії на розвантаження </w:t>
            </w:r>
            <w:r w:rsidRPr="00A02646">
              <w:rPr>
                <w:rFonts w:ascii="Times New Roman" w:eastAsiaTheme="majorEastAsia" w:hAnsi="Times New Roman" w:cs="Times New Roman"/>
                <w:iCs/>
                <w:sz w:val="24"/>
                <w:szCs w:val="24"/>
              </w:rPr>
              <w:t>(</w:t>
            </w:r>
            <m:oMath>
              <m:nary>
                <m:naryPr>
                  <m:chr m:val="∑"/>
                  <m:limLoc m:val="subSup"/>
                  <m:supHide m:val="1"/>
                  <m:ctrlPr>
                    <w:rPr>
                      <w:rFonts w:ascii="Cambria Math" w:eastAsiaTheme="majorEastAsia" w:hAnsi="Cambria Math" w:cs="Times New Roman"/>
                      <w:iCs/>
                      <w:sz w:val="24"/>
                      <w:szCs w:val="24"/>
                    </w:rPr>
                  </m:ctrlPr>
                </m:naryPr>
                <m:sub>
                  <m:r>
                    <m:rPr>
                      <m:sty m:val="p"/>
                    </m:rPr>
                    <w:rPr>
                      <w:rFonts w:ascii="Cambria Math" w:eastAsiaTheme="majorEastAsia" w:hAnsi="Cambria Math" w:cs="Times New Roman"/>
                      <w:sz w:val="24"/>
                      <w:szCs w:val="24"/>
                      <w:lang w:val="en-US"/>
                    </w:rPr>
                    <m:t>rtu</m:t>
                  </m:r>
                  <m:r>
                    <m:rPr>
                      <m:sty m:val="p"/>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eastAsiaTheme="majorEastAsia" w:hAnsi="Cambria Math" w:cs="Times New Roman"/>
                          <w:sz w:val="24"/>
                          <w:szCs w:val="24"/>
                        </w:rPr>
                        <m:t>d</m:t>
                      </m:r>
                      <m:r>
                        <m:rPr>
                          <m:sty m:val="p"/>
                        </m:rPr>
                        <w:rPr>
                          <w:rFonts w:ascii="Cambria Math" w:eastAsiaTheme="majorEastAsia" w:hAnsi="Cambria Math" w:cs="Times New Roman"/>
                          <w:sz w:val="24"/>
                          <w:szCs w:val="24"/>
                          <w:lang w:val="en-US"/>
                        </w:rPr>
                        <m:t>n</m:t>
                      </m:r>
                    </m:sup>
                  </m:sSubSup>
                  <m:r>
                    <m:rPr>
                      <m:sty m:val="p"/>
                    </m:rPr>
                    <w:rPr>
                      <w:rFonts w:ascii="Cambria Math" w:eastAsiaTheme="majorEastAsia" w:hAnsi="Cambria Math" w:cs="Times New Roman"/>
                      <w:sz w:val="24"/>
                      <w:szCs w:val="24"/>
                    </w:rPr>
                    <m:t>)</m:t>
                  </m:r>
                </m:e>
              </m:nary>
            </m:oMath>
            <w:r w:rsidRPr="00A02646">
              <w:rPr>
                <w:rFonts w:ascii="Times New Roman" w:eastAsiaTheme="majorEastAsia" w:hAnsi="Times New Roman" w:cs="Times New Roman"/>
                <w:iCs/>
                <w:sz w:val="24"/>
                <w:szCs w:val="24"/>
              </w:rPr>
              <w:t xml:space="preserve"> протягом цього розрахункового періоду дорівнює нулю, то маржинальна ціна балансуючої електричної енергії на розвантаження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oMath>
            <w:r w:rsidRPr="00A02646">
              <w:rPr>
                <w:rFonts w:ascii="Times New Roman" w:eastAsiaTheme="majorEastAsia" w:hAnsi="Times New Roman" w:cs="Times New Roman"/>
                <w:iCs/>
                <w:sz w:val="24"/>
                <w:szCs w:val="24"/>
              </w:rPr>
              <w:t>) дорівнює мінімальному значенню з маржинальних цін балансуючої електричної енергії на розвантаження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m:t>
                  </m:r>
                  <m:r>
                    <m:rPr>
                      <m:sty m:val="p"/>
                    </m:rPr>
                    <w:rPr>
                      <w:rFonts w:ascii="Cambria Math" w:eastAsiaTheme="majorEastAsia" w:hAnsi="Cambria Math" w:cs="Times New Roman"/>
                      <w:sz w:val="24"/>
                      <w:szCs w:val="24"/>
                      <w:lang w:val="en-US"/>
                    </w:rPr>
                    <m:t>r</m:t>
                  </m:r>
                  <m:r>
                    <m:rPr>
                      <m:sty m:val="p"/>
                    </m:rPr>
                    <w:rPr>
                      <w:rFonts w:ascii="Cambria Math" w:eastAsiaTheme="majorEastAsia" w:hAnsi="Cambria Math" w:cs="Times New Roman"/>
                      <w:sz w:val="24"/>
                      <w:szCs w:val="24"/>
                    </w:rPr>
                    <m:t>tu</m:t>
                  </m:r>
                </m:sub>
                <m:sup>
                  <m:r>
                    <m:rPr>
                      <m:sty m:val="p"/>
                    </m:rPr>
                    <w:rPr>
                      <w:rFonts w:ascii="Cambria Math" w:eastAsiaTheme="majorEastAsia" w:hAnsi="Cambria Math" w:cs="Times New Roman"/>
                      <w:sz w:val="24"/>
                      <w:szCs w:val="24"/>
                    </w:rPr>
                    <m:t>dn</m:t>
                  </m:r>
                </m:sup>
              </m:sSubSup>
              <m:r>
                <m:rPr>
                  <m:sty m:val="p"/>
                </m:rPr>
                <w:rPr>
                  <w:rFonts w:ascii="Cambria Math" w:eastAsiaTheme="majorEastAsia" w:hAnsi="Cambria Math" w:cs="Times New Roman"/>
                  <w:sz w:val="24"/>
                  <w:szCs w:val="24"/>
                </w:rPr>
                <m:t xml:space="preserve"> </m:t>
              </m:r>
            </m:oMath>
            <w:r w:rsidRPr="00A02646">
              <w:rPr>
                <w:rFonts w:ascii="Times New Roman" w:eastAsiaTheme="majorEastAsia" w:hAnsi="Times New Roman" w:cs="Times New Roman"/>
                <w:sz w:val="24"/>
                <w:szCs w:val="24"/>
              </w:rPr>
              <w:t xml:space="preserve">) </w:t>
            </w:r>
            <w:r w:rsidRPr="00A02646">
              <w:rPr>
                <w:rFonts w:ascii="Times New Roman" w:eastAsiaTheme="majorEastAsia" w:hAnsi="Times New Roman" w:cs="Times New Roman"/>
                <w:iCs/>
                <w:sz w:val="24"/>
                <w:szCs w:val="24"/>
              </w:rPr>
              <w:t>усіх ОРЧ цього розрахункового періоду;</w:t>
            </w:r>
          </w:p>
          <w:p w14:paraId="6D17D39A" w14:textId="20989DD9"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3) якщо зона системи є збалансованою впродовж розрахункового періоду, то нарахування та списання коштів за активовану балансуючу електричну енергію на завантаження та розвантаження за цей розрахунковий період у зоні розраховується за ціною купівлі-продажу електричної енергії на РДН за розрахунковий період (</w:t>
            </w:r>
            <m:oMath>
              <m:sSub>
                <m:sSubPr>
                  <m:ctrlPr>
                    <w:rPr>
                      <w:rFonts w:ascii="Cambria Math" w:hAnsi="Cambria Math" w:cs="Times New Roman"/>
                      <w:sz w:val="24"/>
                      <w:szCs w:val="24"/>
                    </w:rPr>
                  </m:ctrlPr>
                </m:sSubPr>
                <m:e>
                  <m:r>
                    <m:rPr>
                      <m:sty m:val="p"/>
                    </m:rPr>
                    <w:rPr>
                      <w:rFonts w:ascii="Cambria Math" w:hAnsi="Cambria Math" w:cs="Times New Roman"/>
                      <w:sz w:val="24"/>
                      <w:szCs w:val="24"/>
                    </w:rPr>
                    <m:t>PDAM</m:t>
                  </m:r>
                </m:e>
                <m:sub>
                  <m:r>
                    <m:rPr>
                      <m:sty m:val="p"/>
                    </m:rPr>
                    <w:rPr>
                      <w:rFonts w:ascii="Cambria Math" w:hAnsi="Cambria Math" w:cs="Times New Roman"/>
                      <w:sz w:val="24"/>
                      <w:szCs w:val="24"/>
                    </w:rPr>
                    <m:t>z,t</m:t>
                  </m:r>
                </m:sub>
              </m:sSub>
            </m:oMath>
            <w:r w:rsidRPr="00A02646">
              <w:rPr>
                <w:rFonts w:ascii="Times New Roman" w:hAnsi="Times New Roman" w:cs="Times New Roman"/>
                <w:sz w:val="24"/>
                <w:szCs w:val="24"/>
              </w:rPr>
              <w:t>), тобто</w:t>
            </w:r>
          </w:p>
          <w:p w14:paraId="42B359C7" w14:textId="718A32F0" w:rsidR="00A02646" w:rsidRPr="00A02646" w:rsidRDefault="00EE40A7" w:rsidP="00A02646">
            <w:pPr>
              <w:widowControl w:val="0"/>
              <w:spacing w:before="60" w:after="0" w:line="240" w:lineRule="auto"/>
              <w:ind w:firstLine="313"/>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00A02646" w:rsidRPr="00A02646">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
                        <m:sSubPr>
                          <m:ctrlPr>
                            <w:rPr>
                              <w:rFonts w:ascii="Cambria Math" w:hAnsi="Cambria Math" w:cs="Times New Roman"/>
                              <w:sz w:val="24"/>
                              <w:szCs w:val="24"/>
                            </w:rPr>
                          </m:ctrlPr>
                        </m:sSubPr>
                        <m:e>
                          <m:r>
                            <m:rPr>
                              <m:sty m:val="p"/>
                            </m:rPr>
                            <w:rPr>
                              <w:rFonts w:ascii="Cambria Math" w:hAnsi="Cambria Math" w:cs="Times New Roman"/>
                              <w:sz w:val="24"/>
                              <w:szCs w:val="24"/>
                            </w:rPr>
                            <m:t>PDAM</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
                        <m:sSubPr>
                          <m:ctrlPr>
                            <w:rPr>
                              <w:rFonts w:ascii="Cambria Math" w:hAnsi="Cambria Math" w:cs="Times New Roman"/>
                              <w:sz w:val="24"/>
                              <w:szCs w:val="24"/>
                            </w:rPr>
                          </m:ctrlPr>
                        </m:sSubPr>
                        <m:e>
                          <m:r>
                            <m:rPr>
                              <m:sty m:val="p"/>
                            </m:rPr>
                            <w:rPr>
                              <w:rFonts w:ascii="Cambria Math" w:hAnsi="Cambria Math" w:cs="Times New Roman"/>
                              <w:sz w:val="24"/>
                              <w:szCs w:val="24"/>
                            </w:rPr>
                            <m:t>-PDAM</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00A02646" w:rsidRPr="00A02646">
              <w:rPr>
                <w:rFonts w:ascii="Times New Roman" w:hAnsi="Times New Roman" w:cs="Times New Roman"/>
                <w:sz w:val="24"/>
                <w:szCs w:val="24"/>
              </w:rPr>
              <w:t>.</w:t>
            </w:r>
          </w:p>
        </w:tc>
        <w:tc>
          <w:tcPr>
            <w:tcW w:w="7371" w:type="dxa"/>
          </w:tcPr>
          <w:p w14:paraId="5F4356FF" w14:textId="54DB21EF" w:rsidR="00A02646" w:rsidRPr="00A02646" w:rsidRDefault="00A02646" w:rsidP="00A02646">
            <w:pPr>
              <w:widowControl w:val="0"/>
              <w:spacing w:before="60" w:after="0" w:line="240" w:lineRule="auto"/>
              <w:ind w:firstLine="313"/>
              <w:jc w:val="both"/>
              <w:rPr>
                <w:rFonts w:ascii="Times New Roman" w:eastAsiaTheme="minorEastAsia" w:hAnsi="Times New Roman" w:cs="Times New Roman"/>
                <w:b/>
                <w:sz w:val="24"/>
                <w:szCs w:val="24"/>
              </w:rPr>
            </w:pPr>
            <w:bookmarkStart w:id="4" w:name="_Hlk236049240"/>
            <w:r w:rsidRPr="00A02646">
              <w:rPr>
                <w:rFonts w:ascii="Times New Roman" w:hAnsi="Times New Roman" w:cs="Times New Roman"/>
                <w:sz w:val="24"/>
                <w:szCs w:val="24"/>
              </w:rPr>
              <w:lastRenderedPageBreak/>
              <w:t xml:space="preserve">5.14.5. </w:t>
            </w:r>
            <w:r w:rsidRPr="00A02646">
              <w:rPr>
                <w:rFonts w:ascii="Times New Roman" w:hAnsi="Times New Roman" w:cs="Times New Roman"/>
                <w:b/>
                <w:sz w:val="24"/>
                <w:szCs w:val="24"/>
              </w:rPr>
              <w:t>Величина нарахування/списання коштів за активовану балансуючу електричну енергію (</w:t>
            </w:r>
            <m:oMath>
              <m:sSub>
                <m:sSubPr>
                  <m:ctrlPr>
                    <w:rPr>
                      <w:rFonts w:ascii="Cambria Math" w:hAnsi="Cambria Math" w:cs="Times New Roman"/>
                      <w:b/>
                      <w:sz w:val="24"/>
                      <w:szCs w:val="24"/>
                    </w:rPr>
                  </m:ctrlPr>
                </m:sSubPr>
                <m:e>
                  <m:r>
                    <m:rPr>
                      <m:sty m:val="b"/>
                    </m:rPr>
                    <w:rPr>
                      <w:rFonts w:ascii="Cambria Math" w:hAnsi="Cambria Math" w:cs="Times New Roman"/>
                      <w:sz w:val="24"/>
                      <w:szCs w:val="24"/>
                    </w:rPr>
                    <m:t>CINSTQ</m:t>
                  </m:r>
                </m:e>
                <m:sub>
                  <m:r>
                    <m:rPr>
                      <m:sty m:val="b"/>
                    </m:rPr>
                    <w:rPr>
                      <w:rFonts w:ascii="Cambria Math" w:hAnsi="Cambria Math" w:cs="Times New Roman"/>
                      <w:sz w:val="24"/>
                      <w:szCs w:val="24"/>
                    </w:rPr>
                    <m:t>e,z,t</m:t>
                  </m:r>
                </m:sub>
              </m:sSub>
            </m:oMath>
            <w:r w:rsidRPr="00A02646">
              <w:rPr>
                <w:rFonts w:ascii="Times New Roman" w:hAnsi="Times New Roman" w:cs="Times New Roman"/>
                <w:b/>
                <w:sz w:val="24"/>
                <w:szCs w:val="24"/>
              </w:rPr>
              <w:t xml:space="preserve">) </w:t>
            </w:r>
            <w:r w:rsidRPr="00A02646">
              <w:rPr>
                <w:rFonts w:ascii="Times New Roman" w:hAnsi="Times New Roman" w:cs="Times New Roman"/>
                <w:b/>
                <w:bCs/>
                <w:sz w:val="24"/>
                <w:szCs w:val="24"/>
              </w:rPr>
              <w:t xml:space="preserve">одиниці надання послуг з балансування е </w:t>
            </w:r>
            <w:r w:rsidRPr="00A02646">
              <w:rPr>
                <w:rFonts w:ascii="Times New Roman" w:hAnsi="Times New Roman" w:cs="Times New Roman"/>
                <w:b/>
                <w:sz w:val="24"/>
                <w:szCs w:val="24"/>
              </w:rPr>
              <w:t xml:space="preserve">в торговій зоні </w:t>
            </w:r>
            <w:r w:rsidRPr="00A02646">
              <w:rPr>
                <w:rFonts w:ascii="Times New Roman" w:hAnsi="Times New Roman" w:cs="Times New Roman"/>
                <w:b/>
                <w:bCs/>
                <w:sz w:val="24"/>
                <w:szCs w:val="24"/>
                <w:lang w:val="en-US"/>
              </w:rPr>
              <w:t>z</w:t>
            </w:r>
            <w:r w:rsidRPr="00A02646">
              <w:rPr>
                <w:rFonts w:ascii="Times New Roman" w:hAnsi="Times New Roman" w:cs="Times New Roman"/>
                <w:b/>
                <w:sz w:val="24"/>
                <w:szCs w:val="24"/>
              </w:rPr>
              <w:t xml:space="preserve"> </w:t>
            </w:r>
            <w:r w:rsidRPr="00A02646">
              <w:rPr>
                <w:rFonts w:ascii="Times New Roman" w:hAnsi="Times New Roman" w:cs="Times New Roman"/>
                <w:b/>
                <w:bCs/>
                <w:sz w:val="24"/>
                <w:szCs w:val="24"/>
              </w:rPr>
              <w:t xml:space="preserve">за розрахунковий період </w:t>
            </w:r>
            <w:r w:rsidRPr="00A02646">
              <w:rPr>
                <w:rFonts w:ascii="Times New Roman" w:hAnsi="Times New Roman" w:cs="Times New Roman"/>
                <w:b/>
                <w:bCs/>
                <w:sz w:val="24"/>
                <w:szCs w:val="24"/>
                <w:lang w:val="en-US"/>
              </w:rPr>
              <w:t>t</w:t>
            </w:r>
            <w:r w:rsidRPr="00A02646">
              <w:rPr>
                <w:rFonts w:ascii="Times New Roman" w:hAnsi="Times New Roman" w:cs="Times New Roman"/>
                <w:b/>
                <w:bCs/>
                <w:sz w:val="24"/>
                <w:szCs w:val="24"/>
              </w:rPr>
              <w:t xml:space="preserve"> обчислюється </w:t>
            </w:r>
            <w:r w:rsidRPr="00A02646">
              <w:rPr>
                <w:rFonts w:ascii="Times New Roman" w:eastAsiaTheme="minorEastAsia" w:hAnsi="Times New Roman" w:cs="Times New Roman"/>
                <w:b/>
                <w:sz w:val="24"/>
                <w:szCs w:val="24"/>
              </w:rPr>
              <w:t>за формулою</w:t>
            </w:r>
          </w:p>
          <w:p w14:paraId="0485D1AF" w14:textId="23C12E2A" w:rsidR="00A02646" w:rsidRPr="00A02646" w:rsidRDefault="00EE40A7" w:rsidP="00A02646">
            <w:pPr>
              <w:widowControl w:val="0"/>
              <w:spacing w:before="60" w:after="0" w:line="240" w:lineRule="auto"/>
              <w:ind w:firstLine="313"/>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00A02646" w:rsidRPr="00A02646">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lang w:val="en-US"/>
                            </w:rPr>
                            <m:t>dn</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00A02646" w:rsidRPr="00A02646">
              <w:rPr>
                <w:rFonts w:ascii="Times New Roman" w:hAnsi="Times New Roman" w:cs="Times New Roman"/>
                <w:sz w:val="24"/>
                <w:szCs w:val="24"/>
              </w:rPr>
              <w:t>,</w:t>
            </w:r>
          </w:p>
          <w:p w14:paraId="1CC9D149" w14:textId="77777777"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 xml:space="preserve">де </w:t>
            </w:r>
          </w:p>
          <w:p w14:paraId="056EA588" w14:textId="59084AC8" w:rsidR="00A02646" w:rsidRPr="00A02646" w:rsidRDefault="00EE40A7" w:rsidP="00A02646">
            <w:pPr>
              <w:widowControl w:val="0"/>
              <w:spacing w:before="60" w:after="0" w:line="240" w:lineRule="auto"/>
              <w:ind w:firstLine="313"/>
              <w:jc w:val="both"/>
              <w:rPr>
                <w:rFonts w:ascii="Times New Roman" w:hAnsi="Times New Roman" w:cs="Times New Roman"/>
                <w:sz w:val="24"/>
                <w:szCs w:val="24"/>
              </w:rPr>
            </w:pP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00A02646" w:rsidRPr="00A02646">
              <w:rPr>
                <w:rFonts w:ascii="Times New Roman" w:hAnsi="Times New Roman" w:cs="Times New Roman"/>
                <w:sz w:val="24"/>
                <w:szCs w:val="24"/>
              </w:rPr>
              <w:t xml:space="preserve"> – </w:t>
            </w:r>
            <w:r w:rsidR="00A02646" w:rsidRPr="00A02646">
              <w:rPr>
                <w:rFonts w:ascii="Times New Roman" w:hAnsi="Times New Roman" w:cs="Times New Roman"/>
                <w:bCs/>
                <w:sz w:val="24"/>
                <w:szCs w:val="24"/>
              </w:rPr>
              <w:t>маржинальна</w:t>
            </w:r>
            <w:r w:rsidR="00A02646" w:rsidRPr="00A02646">
              <w:rPr>
                <w:rFonts w:ascii="Times New Roman" w:hAnsi="Times New Roman" w:cs="Times New Roman"/>
                <w:sz w:val="24"/>
                <w:szCs w:val="24"/>
              </w:rPr>
              <w:t xml:space="preserve"> ціна балансуючої електричної енергії на завантаження в зоні z за розрахунковий період t, грн/</w:t>
            </w:r>
            <w:proofErr w:type="spellStart"/>
            <w:r w:rsidR="00A02646" w:rsidRPr="00A02646">
              <w:rPr>
                <w:rFonts w:ascii="Times New Roman" w:hAnsi="Times New Roman" w:cs="Times New Roman"/>
                <w:sz w:val="24"/>
                <w:szCs w:val="24"/>
              </w:rPr>
              <w:t>МВт</w:t>
            </w:r>
            <w:r w:rsidR="00A02646" w:rsidRPr="00A02646">
              <w:rPr>
                <w:rFonts w:ascii="Cambria Math" w:hAnsi="Cambria Math" w:cs="Cambria Math"/>
                <w:sz w:val="24"/>
                <w:szCs w:val="24"/>
              </w:rPr>
              <w:t>⋅</w:t>
            </w:r>
            <w:r w:rsidR="00A02646" w:rsidRPr="00A02646">
              <w:rPr>
                <w:rFonts w:ascii="Times New Roman" w:hAnsi="Times New Roman" w:cs="Times New Roman"/>
                <w:sz w:val="24"/>
                <w:szCs w:val="24"/>
              </w:rPr>
              <w:t>год</w:t>
            </w:r>
            <w:proofErr w:type="spellEnd"/>
            <w:r w:rsidR="00A02646" w:rsidRPr="00A02646">
              <w:rPr>
                <w:rFonts w:ascii="Times New Roman" w:hAnsi="Times New Roman" w:cs="Times New Roman"/>
                <w:sz w:val="24"/>
                <w:szCs w:val="24"/>
              </w:rPr>
              <w:t>, яка визначається як середньозважена ціна за розрахунковий період у кожній торговій зоні, отримана з маржинальних цін балансуючої електричної енергії на завантаження за кожну ОРЧ та активованих обсягів балансуючої електричної енергії на завантаження за кожну ОРЧ, та розраховується за формулою</w:t>
            </w:r>
          </w:p>
          <w:p w14:paraId="00D0F4E1" w14:textId="51472628"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sz w:val="24"/>
                <w:szCs w:val="24"/>
              </w:rPr>
            </w:pP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00A02646" w:rsidRPr="00A02646">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e>
                          </m:nary>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 xml:space="preserve"> 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up</m:t>
                                  </m:r>
                                </m:sup>
                              </m:sSubSup>
                            </m:e>
                          </m:nary>
                        </m:e>
                      </m:nary>
                    </m:den>
                  </m:f>
                </m:e>
              </m:d>
            </m:oMath>
            <w:r w:rsidR="00A02646" w:rsidRPr="00A02646">
              <w:rPr>
                <w:rFonts w:ascii="Times New Roman" w:eastAsiaTheme="majorEastAsia" w:hAnsi="Times New Roman" w:cs="Times New Roman"/>
                <w:sz w:val="24"/>
                <w:szCs w:val="24"/>
              </w:rPr>
              <w:t>.</w:t>
            </w:r>
          </w:p>
          <w:p w14:paraId="50782024" w14:textId="4EBCFD95"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A02646">
              <w:rPr>
                <w:rFonts w:ascii="Times New Roman" w:eastAsiaTheme="majorEastAsia" w:hAnsi="Times New Roman" w:cs="Times New Roman"/>
                <w:b/>
                <w:bCs/>
                <w:iCs/>
                <w:sz w:val="24"/>
                <w:szCs w:val="24"/>
              </w:rPr>
              <w:t xml:space="preserve">Якщо обсяг  активованої </w:t>
            </w:r>
            <w:r w:rsidRPr="00A02646">
              <w:rPr>
                <w:rFonts w:ascii="Times New Roman" w:eastAsiaTheme="majorEastAsia" w:hAnsi="Times New Roman" w:cs="Times New Roman"/>
                <w:b/>
                <w:bCs/>
                <w:sz w:val="24"/>
                <w:szCs w:val="24"/>
              </w:rPr>
              <w:t>відповідно до алгоритму балансуючого ринку</w:t>
            </w:r>
            <w:r w:rsidRPr="00A02646">
              <w:rPr>
                <w:rFonts w:ascii="Times New Roman" w:eastAsiaTheme="majorEastAsia" w:hAnsi="Times New Roman" w:cs="Times New Roman"/>
                <w:b/>
                <w:bCs/>
                <w:iCs/>
                <w:sz w:val="24"/>
                <w:szCs w:val="24"/>
              </w:rPr>
              <w:t xml:space="preserve"> балансуючої  електричної  енергії  на  завантаження (</w:t>
            </w:r>
            <m:oMath>
              <m:nary>
                <m:naryPr>
                  <m:chr m:val="∑"/>
                  <m:limLoc m:val="subSup"/>
                  <m:supHide m:val="1"/>
                  <m:ctrlPr>
                    <w:rPr>
                      <w:rFonts w:ascii="Cambria Math" w:eastAsiaTheme="majorEastAsia" w:hAnsi="Cambria Math" w:cs="Times New Roman"/>
                      <w:b/>
                      <w:bCs/>
                      <w:iCs/>
                      <w:sz w:val="24"/>
                      <w:szCs w:val="24"/>
                    </w:rPr>
                  </m:ctrlPr>
                </m:naryPr>
                <m:sub>
                  <m:r>
                    <m:rPr>
                      <m:sty m:val="b"/>
                    </m:rPr>
                    <w:rPr>
                      <w:rFonts w:ascii="Cambria Math" w:eastAsiaTheme="majorEastAsia" w:hAnsi="Cambria Math" w:cs="Times New Roman"/>
                      <w:sz w:val="24"/>
                      <w:szCs w:val="24"/>
                      <w:lang w:val="en-US"/>
                    </w:rPr>
                    <m:t>rtu</m:t>
                  </m:r>
                  <m:r>
                    <m:rPr>
                      <m:sty m:val="b"/>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b/>
                          <w:bCs/>
                          <w:iCs/>
                          <w:sz w:val="24"/>
                          <w:szCs w:val="24"/>
                        </w:rPr>
                      </m:ctrlPr>
                    </m:sSubSupPr>
                    <m:e>
                      <m:r>
                        <m:rPr>
                          <m:sty m:val="b"/>
                        </m:rPr>
                        <w:rPr>
                          <w:rFonts w:ascii="Cambria Math" w:eastAsiaTheme="majorEastAsia" w:hAnsi="Cambria Math" w:cs="Times New Roman"/>
                          <w:sz w:val="24"/>
                          <w:szCs w:val="24"/>
                        </w:rPr>
                        <m:t>ABE</m:t>
                      </m:r>
                    </m:e>
                    <m:sub>
                      <m:r>
                        <m:rPr>
                          <m:sty m:val="b"/>
                        </m:rPr>
                        <w:rPr>
                          <w:rFonts w:ascii="Cambria Math" w:eastAsiaTheme="majorEastAsia" w:hAnsi="Cambria Math" w:cs="Times New Roman"/>
                          <w:sz w:val="24"/>
                          <w:szCs w:val="24"/>
                        </w:rPr>
                        <m:t xml:space="preserve">z,rtu </m:t>
                      </m:r>
                    </m:sub>
                    <m:sup>
                      <m:r>
                        <m:rPr>
                          <m:sty m:val="b"/>
                        </m:rPr>
                        <w:rPr>
                          <w:rFonts w:ascii="Cambria Math" w:eastAsiaTheme="majorEastAsia" w:hAnsi="Cambria Math" w:cs="Times New Roman"/>
                          <w:sz w:val="24"/>
                          <w:szCs w:val="24"/>
                        </w:rPr>
                        <m:t>up</m:t>
                      </m:r>
                    </m:sup>
                  </m:sSubSup>
                  <m:r>
                    <m:rPr>
                      <m:sty m:val="b"/>
                    </m:rPr>
                    <w:rPr>
                      <w:rFonts w:ascii="Cambria Math" w:eastAsiaTheme="majorEastAsia" w:hAnsi="Cambria Math" w:cs="Times New Roman"/>
                      <w:sz w:val="24"/>
                      <w:szCs w:val="24"/>
                    </w:rPr>
                    <m:t>)</m:t>
                  </m:r>
                </m:e>
              </m:nary>
            </m:oMath>
            <w:r w:rsidRPr="00A02646">
              <w:rPr>
                <w:rFonts w:ascii="Times New Roman" w:eastAsiaTheme="majorEastAsia" w:hAnsi="Times New Roman" w:cs="Times New Roman"/>
                <w:b/>
                <w:bCs/>
                <w:iCs/>
                <w:sz w:val="24"/>
                <w:szCs w:val="24"/>
              </w:rPr>
              <w:t xml:space="preserve"> протягом розрахункового періоду дорівнює нулю</w:t>
            </w:r>
            <w:r w:rsidRPr="00A02646">
              <w:rPr>
                <w:rFonts w:ascii="Times New Roman" w:eastAsiaTheme="majorEastAsia" w:hAnsi="Times New Roman" w:cs="Times New Roman"/>
                <w:iCs/>
                <w:sz w:val="24"/>
                <w:szCs w:val="24"/>
              </w:rPr>
              <w:t xml:space="preserve">, то </w:t>
            </w:r>
            <w:r w:rsidRPr="00A02646">
              <w:rPr>
                <w:rFonts w:ascii="Times New Roman" w:eastAsiaTheme="majorEastAsia" w:hAnsi="Times New Roman" w:cs="Times New Roman"/>
                <w:bCs/>
                <w:iCs/>
                <w:sz w:val="24"/>
                <w:szCs w:val="24"/>
              </w:rPr>
              <w:t>маржинальна</w:t>
            </w:r>
            <w:r w:rsidRPr="00A02646">
              <w:rPr>
                <w:rFonts w:ascii="Times New Roman" w:eastAsiaTheme="majorEastAsia" w:hAnsi="Times New Roman" w:cs="Times New Roman"/>
                <w:iCs/>
                <w:sz w:val="24"/>
                <w:szCs w:val="24"/>
              </w:rPr>
              <w:t xml:space="preserve"> ціна балансуючої електричної енергії на завантаження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A02646">
              <w:rPr>
                <w:rFonts w:ascii="Times New Roman" w:eastAsiaTheme="majorEastAsia" w:hAnsi="Times New Roman" w:cs="Times New Roman"/>
                <w:iCs/>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M</m:t>
                  </m:r>
                  <m:r>
                    <m:rPr>
                      <m:sty m:val="p"/>
                    </m:rPr>
                    <w:rPr>
                      <w:rFonts w:ascii="Cambria Math" w:eastAsiaTheme="majorEastAsia" w:hAnsi="Cambria Math" w:cs="Times New Roman"/>
                      <w:sz w:val="24"/>
                      <w:szCs w:val="24"/>
                      <w:lang w:val="en-US"/>
                    </w:rPr>
                    <m:t>P</m:t>
                  </m:r>
                </m:e>
                <m:sub>
                  <m:r>
                    <m:rPr>
                      <m:sty m:val="p"/>
                    </m:rPr>
                    <w:rPr>
                      <w:rFonts w:ascii="Cambria Math" w:eastAsiaTheme="majorEastAsia" w:hAnsi="Cambria Math" w:cs="Times New Roman"/>
                      <w:sz w:val="24"/>
                      <w:szCs w:val="24"/>
                    </w:rPr>
                    <m:t>z,</m:t>
                  </m:r>
                  <m:r>
                    <m:rPr>
                      <m:sty m:val="p"/>
                    </m:rPr>
                    <w:rPr>
                      <w:rFonts w:ascii="Cambria Math" w:eastAsiaTheme="majorEastAsia" w:hAnsi="Cambria Math" w:cs="Times New Roman"/>
                      <w:sz w:val="24"/>
                      <w:szCs w:val="24"/>
                      <w:lang w:val="en-US"/>
                    </w:rPr>
                    <m:t>rtu</m:t>
                  </m:r>
                </m:sub>
                <m:sup>
                  <m:r>
                    <m:rPr>
                      <m:sty m:val="p"/>
                    </m:rPr>
                    <w:rPr>
                      <w:rFonts w:ascii="Cambria Math" w:eastAsiaTheme="majorEastAsia" w:hAnsi="Cambria Math" w:cs="Times New Roman"/>
                      <w:sz w:val="24"/>
                      <w:szCs w:val="24"/>
                    </w:rPr>
                    <m:t>u</m:t>
                  </m:r>
                  <m:r>
                    <m:rPr>
                      <m:sty m:val="p"/>
                    </m:rPr>
                    <w:rPr>
                      <w:rFonts w:ascii="Cambria Math" w:eastAsiaTheme="majorEastAsia" w:hAnsi="Cambria Math" w:cs="Times New Roman"/>
                      <w:sz w:val="24"/>
                      <w:szCs w:val="24"/>
                      <w:lang w:val="en-US"/>
                    </w:rPr>
                    <m:t>p</m:t>
                  </m:r>
                </m:sup>
              </m:sSubSup>
            </m:oMath>
            <w:r w:rsidRPr="00A02646">
              <w:rPr>
                <w:rFonts w:ascii="Times New Roman" w:eastAsiaTheme="majorEastAsia" w:hAnsi="Times New Roman" w:cs="Times New Roman"/>
                <w:iCs/>
                <w:sz w:val="24"/>
                <w:szCs w:val="24"/>
              </w:rPr>
              <w:t>) всіх ОРЧ цього розрахункового періоду;</w:t>
            </w:r>
          </w:p>
          <w:p w14:paraId="2B75D687" w14:textId="47704F9F" w:rsidR="00A02646" w:rsidRPr="00A02646" w:rsidRDefault="00EE40A7" w:rsidP="00A02646">
            <w:pPr>
              <w:widowControl w:val="0"/>
              <w:spacing w:before="60" w:after="0" w:line="240" w:lineRule="auto"/>
              <w:ind w:firstLine="313"/>
              <w:jc w:val="both"/>
              <w:rPr>
                <w:rFonts w:ascii="Times New Roman"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00A02646" w:rsidRPr="00A02646">
              <w:rPr>
                <w:rFonts w:ascii="Times New Roman" w:eastAsiaTheme="minorEastAsia" w:hAnsi="Times New Roman" w:cs="Times New Roman"/>
                <w:sz w:val="24"/>
                <w:szCs w:val="24"/>
              </w:rPr>
              <w:t xml:space="preserve"> </w:t>
            </w:r>
            <w:r w:rsidR="00A02646" w:rsidRPr="00A02646">
              <w:rPr>
                <w:rFonts w:ascii="Times New Roman" w:hAnsi="Times New Roman" w:cs="Times New Roman"/>
                <w:sz w:val="24"/>
                <w:szCs w:val="24"/>
              </w:rPr>
              <w:t xml:space="preserve">− </w:t>
            </w:r>
            <w:r w:rsidR="00A02646" w:rsidRPr="00A02646">
              <w:rPr>
                <w:rFonts w:ascii="Times New Roman" w:hAnsi="Times New Roman" w:cs="Times New Roman"/>
                <w:bCs/>
                <w:sz w:val="24"/>
                <w:szCs w:val="24"/>
              </w:rPr>
              <w:t>маржинальна</w:t>
            </w:r>
            <w:r w:rsidR="00A02646" w:rsidRPr="00A02646">
              <w:rPr>
                <w:rFonts w:ascii="Times New Roman" w:hAnsi="Times New Roman" w:cs="Times New Roman"/>
                <w:sz w:val="24"/>
                <w:szCs w:val="24"/>
              </w:rPr>
              <w:t xml:space="preserve"> ціна балансуючої електричної енергії на розвантаження в зоні z за розрахунковий період t, грн/</w:t>
            </w:r>
            <w:proofErr w:type="spellStart"/>
            <w:r w:rsidR="00A02646" w:rsidRPr="00A02646">
              <w:rPr>
                <w:rFonts w:ascii="Times New Roman" w:hAnsi="Times New Roman" w:cs="Times New Roman"/>
                <w:sz w:val="24"/>
                <w:szCs w:val="24"/>
              </w:rPr>
              <w:t>МВт·год</w:t>
            </w:r>
            <w:proofErr w:type="spellEnd"/>
            <w:r w:rsidR="00A02646" w:rsidRPr="00A02646">
              <w:rPr>
                <w:rFonts w:ascii="Times New Roman" w:hAnsi="Times New Roman" w:cs="Times New Roman"/>
                <w:sz w:val="24"/>
                <w:szCs w:val="24"/>
              </w:rPr>
              <w:t>, яка визначається як середньозважена ціна за розрахунковий період у кожній торговій зоні, отримана з маржинальних цін балансуючої електричної енергії на розвантаження за кожну ОРЧ та активованих обсягів балансуючої електричної енергії на розвантаження за кожну ОРЧ, та розраховується за формулою</w:t>
            </w:r>
          </w:p>
          <w:p w14:paraId="62B3BD87" w14:textId="56D0E899" w:rsidR="00A02646" w:rsidRPr="00A02646" w:rsidRDefault="00EE40A7" w:rsidP="00A02646">
            <w:pPr>
              <w:widowControl w:val="0"/>
              <w:spacing w:before="60" w:after="0" w:line="240" w:lineRule="auto"/>
              <w:ind w:firstLine="313"/>
              <w:jc w:val="both"/>
              <w:rPr>
                <w:rFonts w:ascii="Times New Roman" w:eastAsiaTheme="majorEastAsia" w:hAnsi="Times New Roman" w:cs="Times New Roman"/>
                <w:sz w:val="24"/>
                <w:szCs w:val="24"/>
              </w:rPr>
            </w:pP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r>
                <m:rPr>
                  <m:sty m:val="p"/>
                </m:rPr>
                <w:rPr>
                  <w:rFonts w:ascii="Cambria Math" w:eastAsiaTheme="majorEastAsia" w:hAnsi="Cambria Math" w:cs="Times New Roman"/>
                  <w:sz w:val="24"/>
                  <w:szCs w:val="24"/>
                </w:rPr>
                <m:t xml:space="preserve"> </m:t>
              </m:r>
            </m:oMath>
            <w:r w:rsidR="00A02646" w:rsidRPr="00A02646">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 xml:space="preserve"> 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e>
                      </m:nary>
                    </m:den>
                  </m:f>
                </m:e>
              </m:d>
            </m:oMath>
            <w:r w:rsidR="00A02646" w:rsidRPr="00A02646">
              <w:rPr>
                <w:rFonts w:ascii="Times New Roman" w:eastAsiaTheme="majorEastAsia" w:hAnsi="Times New Roman" w:cs="Times New Roman"/>
                <w:sz w:val="24"/>
                <w:szCs w:val="24"/>
              </w:rPr>
              <w:t>.</w:t>
            </w:r>
          </w:p>
          <w:p w14:paraId="247ABEA2" w14:textId="502821BB"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iCs/>
                <w:sz w:val="24"/>
                <w:szCs w:val="24"/>
              </w:rPr>
            </w:pPr>
            <w:r w:rsidRPr="00A02646">
              <w:rPr>
                <w:rFonts w:ascii="Times New Roman" w:hAnsi="Times New Roman" w:cs="Times New Roman"/>
                <w:b/>
                <w:bCs/>
                <w:sz w:val="24"/>
                <w:szCs w:val="24"/>
              </w:rPr>
              <w:t xml:space="preserve">Якщо обсяг активованої </w:t>
            </w:r>
            <w:r w:rsidRPr="00A02646">
              <w:rPr>
                <w:rFonts w:ascii="Times New Roman" w:eastAsiaTheme="majorEastAsia" w:hAnsi="Times New Roman" w:cs="Times New Roman"/>
                <w:b/>
                <w:bCs/>
                <w:sz w:val="24"/>
                <w:szCs w:val="24"/>
              </w:rPr>
              <w:t>відповідно до алгоритму балансуючого ринку</w:t>
            </w:r>
            <w:r w:rsidRPr="00A02646">
              <w:rPr>
                <w:rFonts w:ascii="Times New Roman" w:hAnsi="Times New Roman" w:cs="Times New Roman"/>
                <w:b/>
                <w:bCs/>
                <w:sz w:val="24"/>
                <w:szCs w:val="24"/>
              </w:rPr>
              <w:t xml:space="preserve"> балансуючої електричної енергії на розвантаження </w:t>
            </w:r>
            <w:r w:rsidRPr="00A02646">
              <w:rPr>
                <w:rFonts w:ascii="Times New Roman" w:eastAsiaTheme="majorEastAsia" w:hAnsi="Times New Roman" w:cs="Times New Roman"/>
                <w:b/>
                <w:bCs/>
                <w:iCs/>
                <w:sz w:val="24"/>
                <w:szCs w:val="24"/>
              </w:rPr>
              <w:t>(</w:t>
            </w:r>
            <m:oMath>
              <m:nary>
                <m:naryPr>
                  <m:chr m:val="∑"/>
                  <m:limLoc m:val="subSup"/>
                  <m:supHide m:val="1"/>
                  <m:ctrlPr>
                    <w:rPr>
                      <w:rFonts w:ascii="Cambria Math" w:eastAsiaTheme="majorEastAsia" w:hAnsi="Cambria Math" w:cs="Times New Roman"/>
                      <w:b/>
                      <w:bCs/>
                      <w:iCs/>
                      <w:sz w:val="24"/>
                      <w:szCs w:val="24"/>
                    </w:rPr>
                  </m:ctrlPr>
                </m:naryPr>
                <m:sub>
                  <m:r>
                    <m:rPr>
                      <m:sty m:val="b"/>
                    </m:rPr>
                    <w:rPr>
                      <w:rFonts w:ascii="Cambria Math" w:eastAsiaTheme="majorEastAsia" w:hAnsi="Cambria Math" w:cs="Times New Roman"/>
                      <w:sz w:val="24"/>
                      <w:szCs w:val="24"/>
                      <w:lang w:val="en-US"/>
                    </w:rPr>
                    <m:t>rtu</m:t>
                  </m:r>
                  <m:r>
                    <m:rPr>
                      <m:sty m:val="b"/>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b/>
                          <w:bCs/>
                          <w:iCs/>
                          <w:sz w:val="24"/>
                          <w:szCs w:val="24"/>
                        </w:rPr>
                      </m:ctrlPr>
                    </m:sSubSupPr>
                    <m:e>
                      <m:r>
                        <m:rPr>
                          <m:sty m:val="b"/>
                        </m:rPr>
                        <w:rPr>
                          <w:rFonts w:ascii="Cambria Math" w:eastAsiaTheme="majorEastAsia" w:hAnsi="Cambria Math" w:cs="Times New Roman"/>
                          <w:sz w:val="24"/>
                          <w:szCs w:val="24"/>
                        </w:rPr>
                        <m:t>ABE</m:t>
                      </m:r>
                    </m:e>
                    <m:sub>
                      <m:r>
                        <m:rPr>
                          <m:sty m:val="b"/>
                        </m:rPr>
                        <w:rPr>
                          <w:rFonts w:ascii="Cambria Math" w:eastAsiaTheme="majorEastAsia" w:hAnsi="Cambria Math" w:cs="Times New Roman"/>
                          <w:sz w:val="24"/>
                          <w:szCs w:val="24"/>
                        </w:rPr>
                        <m:t xml:space="preserve">z,rtu </m:t>
                      </m:r>
                    </m:sub>
                    <m:sup>
                      <m:r>
                        <m:rPr>
                          <m:sty m:val="b"/>
                        </m:rPr>
                        <w:rPr>
                          <w:rFonts w:ascii="Cambria Math" w:eastAsiaTheme="majorEastAsia" w:hAnsi="Cambria Math" w:cs="Times New Roman"/>
                          <w:sz w:val="24"/>
                          <w:szCs w:val="24"/>
                        </w:rPr>
                        <m:t>d</m:t>
                      </m:r>
                      <m:r>
                        <m:rPr>
                          <m:sty m:val="b"/>
                        </m:rPr>
                        <w:rPr>
                          <w:rFonts w:ascii="Cambria Math" w:eastAsiaTheme="majorEastAsia" w:hAnsi="Cambria Math" w:cs="Times New Roman"/>
                          <w:sz w:val="24"/>
                          <w:szCs w:val="24"/>
                          <w:lang w:val="en-US"/>
                        </w:rPr>
                        <m:t>n</m:t>
                      </m:r>
                    </m:sup>
                  </m:sSubSup>
                  <m:r>
                    <m:rPr>
                      <m:sty m:val="b"/>
                    </m:rPr>
                    <w:rPr>
                      <w:rFonts w:ascii="Cambria Math" w:eastAsiaTheme="majorEastAsia" w:hAnsi="Cambria Math" w:cs="Times New Roman"/>
                      <w:sz w:val="24"/>
                      <w:szCs w:val="24"/>
                    </w:rPr>
                    <m:t>)</m:t>
                  </m:r>
                </m:e>
              </m:nary>
            </m:oMath>
            <w:r w:rsidRPr="00A02646">
              <w:rPr>
                <w:rFonts w:ascii="Times New Roman" w:eastAsiaTheme="majorEastAsia" w:hAnsi="Times New Roman" w:cs="Times New Roman"/>
                <w:b/>
                <w:bCs/>
                <w:iCs/>
                <w:sz w:val="24"/>
                <w:szCs w:val="24"/>
              </w:rPr>
              <w:t xml:space="preserve"> протягом розрахункового періоду дорівнює нулю,</w:t>
            </w:r>
            <w:r w:rsidRPr="00A02646">
              <w:rPr>
                <w:rFonts w:ascii="Times New Roman" w:eastAsiaTheme="majorEastAsia" w:hAnsi="Times New Roman" w:cs="Times New Roman"/>
                <w:iCs/>
                <w:sz w:val="24"/>
                <w:szCs w:val="24"/>
              </w:rPr>
              <w:t xml:space="preserve"> то маржинальна ціна балансуючої електричної енергії на розвантаження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oMath>
            <w:r w:rsidRPr="00A02646">
              <w:rPr>
                <w:rFonts w:ascii="Times New Roman" w:eastAsiaTheme="majorEastAsia" w:hAnsi="Times New Roman" w:cs="Times New Roman"/>
                <w:iCs/>
                <w:sz w:val="24"/>
                <w:szCs w:val="24"/>
              </w:rPr>
              <w:t>) дорівнює мінімальному значенню з маржинальних цін балансуючої електричної енергії на розвантаження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m:t>
                  </m:r>
                  <m:r>
                    <m:rPr>
                      <m:sty m:val="p"/>
                    </m:rPr>
                    <w:rPr>
                      <w:rFonts w:ascii="Cambria Math" w:hAnsi="Cambria Math" w:cs="Times New Roman"/>
                      <w:sz w:val="24"/>
                      <w:szCs w:val="24"/>
                      <w:lang w:val="en-US"/>
                    </w:rPr>
                    <m:t>tu</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oMath>
            <w:r w:rsidRPr="00A02646">
              <w:rPr>
                <w:rFonts w:ascii="Times New Roman" w:eastAsiaTheme="majorEastAsia" w:hAnsi="Times New Roman" w:cs="Times New Roman"/>
                <w:iCs/>
                <w:sz w:val="24"/>
                <w:szCs w:val="24"/>
              </w:rPr>
              <w:t>)  всіх ОРЧ цього розрахункового періоду.</w:t>
            </w:r>
          </w:p>
          <w:bookmarkEnd w:id="4"/>
          <w:p w14:paraId="7C8B43E6" w14:textId="7B8ADF08"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p>
        </w:tc>
      </w:tr>
      <w:tr w:rsidR="00A02646" w:rsidRPr="00A02646" w14:paraId="15C82A79" w14:textId="77777777" w:rsidTr="00A02646">
        <w:tc>
          <w:tcPr>
            <w:tcW w:w="7371" w:type="dxa"/>
          </w:tcPr>
          <w:p w14:paraId="7949252E" w14:textId="4581AF9C" w:rsidR="00A02646" w:rsidRPr="00A02646" w:rsidRDefault="00A02646" w:rsidP="00A02646">
            <w:pPr>
              <w:pStyle w:val="tj"/>
              <w:spacing w:before="60" w:beforeAutospacing="0" w:after="0" w:afterAutospacing="0"/>
              <w:ind w:firstLine="313"/>
              <w:jc w:val="both"/>
              <w:rPr>
                <w:b/>
              </w:rPr>
            </w:pPr>
            <w:r w:rsidRPr="00A02646">
              <w:rPr>
                <w:b/>
              </w:rPr>
              <w:lastRenderedPageBreak/>
              <w:t>5.16. Отримання ціни небалансу електричної енергії для розрахунків за небаланс електричної енергії</w:t>
            </w:r>
          </w:p>
        </w:tc>
        <w:tc>
          <w:tcPr>
            <w:tcW w:w="7371" w:type="dxa"/>
          </w:tcPr>
          <w:p w14:paraId="3A48CC08" w14:textId="65300194" w:rsidR="00A02646" w:rsidRPr="00A02646" w:rsidRDefault="00A02646" w:rsidP="00A02646">
            <w:pPr>
              <w:widowControl w:val="0"/>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
                <w:sz w:val="24"/>
                <w:szCs w:val="24"/>
              </w:rPr>
              <w:t>5.16. Отримання ціни небалансу електричної енергії для розрахунків за небаланс електричної енергії</w:t>
            </w:r>
          </w:p>
        </w:tc>
      </w:tr>
      <w:tr w:rsidR="00A02646" w:rsidRPr="00A02646" w14:paraId="222FE8BE" w14:textId="60CA57CA" w:rsidTr="00A02646">
        <w:tc>
          <w:tcPr>
            <w:tcW w:w="7371" w:type="dxa"/>
          </w:tcPr>
          <w:p w14:paraId="7C8C536F" w14:textId="04912ED9" w:rsidR="00A02646" w:rsidRPr="00A02646" w:rsidRDefault="00A02646" w:rsidP="00A02646">
            <w:pPr>
              <w:pStyle w:val="tj"/>
              <w:spacing w:before="60" w:beforeAutospacing="0" w:after="0" w:afterAutospacing="0"/>
              <w:ind w:firstLine="313"/>
              <w:jc w:val="both"/>
              <w:rPr>
                <w:b/>
                <w:bCs/>
              </w:rPr>
            </w:pPr>
            <w:r w:rsidRPr="00A02646">
              <w:t>5.16.2. Ціна небалансу електричної енергії (</w:t>
            </w:r>
            <w:proofErr w:type="spellStart"/>
            <w:r w:rsidRPr="00A02646">
              <w:t>IMSP</w:t>
            </w:r>
            <w:r w:rsidRPr="00A02646">
              <w:rPr>
                <w:vertAlign w:val="subscript"/>
              </w:rPr>
              <w:t>z,t</w:t>
            </w:r>
            <w:proofErr w:type="spellEnd"/>
            <w:r w:rsidRPr="00A02646">
              <w:t>) за розрахунковий період t дорівнює маржинальній ціні балансуючої електричної енергії (у грн/</w:t>
            </w:r>
            <w:proofErr w:type="spellStart"/>
            <w:r w:rsidRPr="00A02646">
              <w:t>МВт·год</w:t>
            </w:r>
            <w:proofErr w:type="spellEnd"/>
            <w:r w:rsidRPr="00A02646">
              <w:t>) за розрахунковий період t, що розрахована відповідно до пункту 5.13.3 глави 5.13 цього розділу в залежності від того, чи перебуває система в дефіциті, профіциті або збалансована.</w:t>
            </w:r>
          </w:p>
        </w:tc>
        <w:tc>
          <w:tcPr>
            <w:tcW w:w="7371" w:type="dxa"/>
          </w:tcPr>
          <w:p w14:paraId="436268ED" w14:textId="42EF4235" w:rsidR="00A02646" w:rsidRPr="00A02646" w:rsidRDefault="00A02646" w:rsidP="00A02646">
            <w:pPr>
              <w:widowControl w:val="0"/>
              <w:spacing w:before="60" w:after="0" w:line="240" w:lineRule="auto"/>
              <w:ind w:firstLine="313"/>
              <w:jc w:val="both"/>
              <w:rPr>
                <w:rFonts w:ascii="Times New Roman" w:hAnsi="Times New Roman" w:cs="Times New Roman"/>
                <w:b/>
                <w:bCs/>
                <w:sz w:val="24"/>
                <w:szCs w:val="24"/>
              </w:rPr>
            </w:pPr>
            <w:bookmarkStart w:id="5" w:name="_Hlk236049418"/>
            <w:r w:rsidRPr="00A02646">
              <w:rPr>
                <w:rFonts w:ascii="Times New Roman" w:hAnsi="Times New Roman" w:cs="Times New Roman"/>
                <w:b/>
                <w:bCs/>
                <w:sz w:val="24"/>
                <w:szCs w:val="24"/>
              </w:rPr>
              <w:t xml:space="preserve">5.16.2. Ціни небалансу електричної енергії у торговій зоні </w:t>
            </w:r>
            <w:r w:rsidRPr="00A02646">
              <w:rPr>
                <w:rFonts w:ascii="Times New Roman" w:hAnsi="Times New Roman" w:cs="Times New Roman"/>
                <w:sz w:val="24"/>
                <w:szCs w:val="24"/>
              </w:rPr>
              <w:t>z</w:t>
            </w:r>
            <w:r w:rsidRPr="00A02646">
              <w:rPr>
                <w:rFonts w:ascii="Times New Roman" w:hAnsi="Times New Roman" w:cs="Times New Roman"/>
                <w:b/>
                <w:bCs/>
                <w:sz w:val="24"/>
                <w:szCs w:val="24"/>
              </w:rPr>
              <w:t xml:space="preserve"> за розрахунковий період </w:t>
            </w:r>
            <w:r w:rsidRPr="00A02646">
              <w:rPr>
                <w:rFonts w:ascii="Times New Roman" w:hAnsi="Times New Roman" w:cs="Times New Roman"/>
                <w:sz w:val="24"/>
                <w:szCs w:val="24"/>
              </w:rPr>
              <w:t>t</w:t>
            </w:r>
            <w:r w:rsidRPr="00A02646">
              <w:rPr>
                <w:rFonts w:ascii="Times New Roman" w:hAnsi="Times New Roman" w:cs="Times New Roman"/>
                <w:b/>
                <w:bCs/>
                <w:sz w:val="24"/>
                <w:szCs w:val="24"/>
              </w:rPr>
              <w:t xml:space="preserve"> визнаються в такий спосіб:</w:t>
            </w:r>
          </w:p>
          <w:p w14:paraId="51F68DE9" w14:textId="768286EB" w:rsidR="00A02646" w:rsidRPr="00A02646" w:rsidRDefault="00A02646" w:rsidP="00A02646">
            <w:pPr>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
                <w:bCs/>
                <w:sz w:val="24"/>
                <w:szCs w:val="24"/>
              </w:rPr>
              <w:t>1) ціна позитивного небалансу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IMSP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
                </m:rPr>
                <w:rPr>
                  <w:rFonts w:ascii="Cambria Math" w:hAnsi="Cambria Math" w:cs="Times New Roman"/>
                  <w:sz w:val="24"/>
                  <w:szCs w:val="24"/>
                </w:rPr>
                <m:t>)</m:t>
              </m:r>
            </m:oMath>
            <w:r w:rsidRPr="00A02646">
              <w:rPr>
                <w:rFonts w:ascii="Times New Roman" w:eastAsiaTheme="minorEastAsia" w:hAnsi="Times New Roman" w:cs="Times New Roman"/>
                <w:b/>
                <w:bCs/>
                <w:iCs/>
                <w:sz w:val="24"/>
                <w:szCs w:val="24"/>
              </w:rPr>
              <w:t xml:space="preserve"> </w:t>
            </w:r>
            <w:r w:rsidRPr="00A02646">
              <w:rPr>
                <w:rFonts w:ascii="Times New Roman" w:hAnsi="Times New Roman" w:cs="Times New Roman"/>
                <w:b/>
                <w:bCs/>
                <w:sz w:val="24"/>
                <w:szCs w:val="24"/>
              </w:rPr>
              <w:t>дорівнює маржинальній ціні балансуючої енергії на розвантаження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dn</m:t>
                  </m:r>
                </m:sup>
              </m:sSubSup>
            </m:oMath>
            <w:r w:rsidRPr="00A02646">
              <w:rPr>
                <w:rFonts w:ascii="Times New Roman" w:eastAsiaTheme="minorEastAsia" w:hAnsi="Times New Roman" w:cs="Times New Roman"/>
                <w:b/>
                <w:bCs/>
                <w:sz w:val="24"/>
                <w:szCs w:val="24"/>
              </w:rPr>
              <w:t>) за цей розрахунковий період;</w:t>
            </w:r>
          </w:p>
          <w:p w14:paraId="4D96BF51" w14:textId="45329C52" w:rsidR="00A02646" w:rsidRPr="00A02646" w:rsidRDefault="00A02646" w:rsidP="00A02646">
            <w:pPr>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
                <w:bCs/>
                <w:sz w:val="24"/>
                <w:szCs w:val="24"/>
              </w:rPr>
              <w:t>2)</w:t>
            </w:r>
            <w:r w:rsidRPr="00A02646">
              <w:rPr>
                <w:rFonts w:ascii="Times New Roman" w:hAnsi="Times New Roman" w:cs="Times New Roman"/>
                <w:b/>
                <w:bCs/>
                <w:sz w:val="24"/>
                <w:szCs w:val="24"/>
                <w:lang w:val="ru-RU"/>
              </w:rPr>
              <w:t xml:space="preserve"> </w:t>
            </w:r>
            <w:r w:rsidRPr="00A02646">
              <w:rPr>
                <w:rFonts w:ascii="Times New Roman" w:hAnsi="Times New Roman" w:cs="Times New Roman"/>
                <w:b/>
                <w:bCs/>
                <w:sz w:val="24"/>
                <w:szCs w:val="24"/>
              </w:rPr>
              <w:t>ціна негативного небалансу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IMSP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
                </m:rPr>
                <w:rPr>
                  <w:rFonts w:ascii="Cambria Math" w:hAnsi="Cambria Math" w:cs="Times New Roman"/>
                  <w:sz w:val="24"/>
                  <w:szCs w:val="24"/>
                </w:rPr>
                <m:t>)</m:t>
              </m:r>
            </m:oMath>
            <w:r w:rsidRPr="00A02646">
              <w:rPr>
                <w:rFonts w:ascii="Times New Roman" w:eastAsiaTheme="minorEastAsia" w:hAnsi="Times New Roman" w:cs="Times New Roman"/>
                <w:b/>
                <w:bCs/>
                <w:iCs/>
                <w:sz w:val="24"/>
                <w:szCs w:val="24"/>
              </w:rPr>
              <w:t xml:space="preserve"> </w:t>
            </w:r>
            <w:r w:rsidRPr="00A02646">
              <w:rPr>
                <w:rFonts w:ascii="Times New Roman" w:hAnsi="Times New Roman" w:cs="Times New Roman"/>
                <w:b/>
                <w:bCs/>
                <w:sz w:val="24"/>
                <w:szCs w:val="24"/>
              </w:rPr>
              <w:t>дорівнює маржинальній ціні балансуючої енергії на завантаження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u</m:t>
                  </m:r>
                  <m:r>
                    <m:rPr>
                      <m:sty m:val="b"/>
                    </m:rPr>
                    <w:rPr>
                      <w:rFonts w:ascii="Cambria Math" w:eastAsiaTheme="majorEastAsia" w:hAnsi="Cambria Math" w:cs="Times New Roman"/>
                      <w:sz w:val="24"/>
                      <w:szCs w:val="24"/>
                      <w:lang w:val="en-US"/>
                    </w:rPr>
                    <m:t>p</m:t>
                  </m:r>
                </m:sup>
              </m:sSubSup>
            </m:oMath>
            <w:r w:rsidRPr="00A02646">
              <w:rPr>
                <w:rFonts w:ascii="Times New Roman" w:eastAsiaTheme="minorEastAsia" w:hAnsi="Times New Roman" w:cs="Times New Roman"/>
                <w:b/>
                <w:bCs/>
                <w:sz w:val="24"/>
                <w:szCs w:val="24"/>
              </w:rPr>
              <w:t>) за цей розрахунковий період.</w:t>
            </w:r>
            <w:bookmarkEnd w:id="5"/>
          </w:p>
        </w:tc>
      </w:tr>
      <w:tr w:rsidR="00A02646" w:rsidRPr="00A02646" w14:paraId="308CBE44" w14:textId="77777777" w:rsidTr="00A02646">
        <w:tc>
          <w:tcPr>
            <w:tcW w:w="7371" w:type="dxa"/>
          </w:tcPr>
          <w:p w14:paraId="03C38311" w14:textId="737F75F5" w:rsidR="00A02646" w:rsidRPr="00A02646" w:rsidRDefault="00A02646" w:rsidP="00A02646">
            <w:pPr>
              <w:widowControl w:val="0"/>
              <w:spacing w:before="60" w:after="0" w:line="240" w:lineRule="auto"/>
              <w:ind w:firstLine="313"/>
              <w:jc w:val="both"/>
              <w:rPr>
                <w:rFonts w:ascii="Times New Roman" w:hAnsi="Times New Roman" w:cs="Times New Roman"/>
                <w:b/>
                <w:sz w:val="24"/>
                <w:szCs w:val="24"/>
              </w:rPr>
            </w:pPr>
            <w:r w:rsidRPr="00A02646">
              <w:rPr>
                <w:rFonts w:ascii="Times New Roman" w:hAnsi="Times New Roman" w:cs="Times New Roman"/>
                <w:b/>
                <w:sz w:val="24"/>
                <w:szCs w:val="24"/>
              </w:rPr>
              <w:t>5.17. Списання або нарахування небалансів електричної енергії</w:t>
            </w:r>
          </w:p>
        </w:tc>
        <w:tc>
          <w:tcPr>
            <w:tcW w:w="7371" w:type="dxa"/>
          </w:tcPr>
          <w:p w14:paraId="3AE9A5DC" w14:textId="604A3CC6" w:rsidR="00A02646" w:rsidRPr="00A02646" w:rsidRDefault="00A02646" w:rsidP="00A02646">
            <w:pPr>
              <w:widowControl w:val="0"/>
              <w:spacing w:before="60" w:after="0" w:line="240" w:lineRule="auto"/>
              <w:ind w:firstLine="313"/>
              <w:jc w:val="both"/>
              <w:rPr>
                <w:rFonts w:ascii="Times New Roman" w:hAnsi="Times New Roman" w:cs="Times New Roman"/>
                <w:b/>
                <w:sz w:val="24"/>
                <w:szCs w:val="24"/>
              </w:rPr>
            </w:pPr>
            <w:r w:rsidRPr="00A02646">
              <w:rPr>
                <w:rFonts w:ascii="Times New Roman" w:hAnsi="Times New Roman" w:cs="Times New Roman"/>
                <w:b/>
                <w:sz w:val="24"/>
                <w:szCs w:val="24"/>
              </w:rPr>
              <w:t>5.17. Списання або нарахування небалансів електричної енергії</w:t>
            </w:r>
          </w:p>
        </w:tc>
      </w:tr>
      <w:tr w:rsidR="00A02646" w:rsidRPr="00A02646" w14:paraId="49F3EB4D" w14:textId="24DBB481" w:rsidTr="00A02646">
        <w:tc>
          <w:tcPr>
            <w:tcW w:w="7371" w:type="dxa"/>
          </w:tcPr>
          <w:p w14:paraId="6723AC4F" w14:textId="77777777"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5.17.2. Списання/нарахування за небаланс для СВБ b у всіх зонах z протягом розрахункового періоду t визначається за формулою</w:t>
            </w:r>
          </w:p>
          <w:p w14:paraId="446242D8" w14:textId="539BAEB6"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noProof/>
                <w:sz w:val="24"/>
                <w:szCs w:val="24"/>
              </w:rPr>
              <w:lastRenderedPageBreak/>
              <w:drawing>
                <wp:inline distT="0" distB="0" distL="0" distR="0" wp14:anchorId="1BFCF9B5" wp14:editId="1C7F1D81">
                  <wp:extent cx="3753016" cy="680085"/>
                  <wp:effectExtent l="0" t="0" r="0" b="5715"/>
                  <wp:docPr id="516046940" name="Рисунок 516046940" descr="https://zakon-pro.ligazakon.net/l_flib1.nsf/LookupFiles/GK39821_IMG_498.GIF/$file/GK39821_IMG_498.GIF">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s://zakon-pro.ligazakon.net/l_flib1.nsf/LookupFiles/GK39821_IMG_498.GIF/$file/GK39821_IMG_498.GIF">
                            <a:hlinkClick r:id="rId18" tgtFrame="&quot;_blank&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86667" cy="686183"/>
                          </a:xfrm>
                          <a:prstGeom prst="rect">
                            <a:avLst/>
                          </a:prstGeom>
                          <a:noFill/>
                          <a:ln>
                            <a:noFill/>
                          </a:ln>
                        </pic:spPr>
                      </pic:pic>
                    </a:graphicData>
                  </a:graphic>
                </wp:inline>
              </w:drawing>
            </w:r>
          </w:p>
          <w:p w14:paraId="08AB3C21" w14:textId="77777777"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 xml:space="preserve">де </w:t>
            </w:r>
            <w:proofErr w:type="spellStart"/>
            <w:r w:rsidRPr="00A02646">
              <w:rPr>
                <w:rFonts w:ascii="Times New Roman" w:hAnsi="Times New Roman" w:cs="Times New Roman"/>
                <w:sz w:val="24"/>
                <w:szCs w:val="24"/>
              </w:rPr>
              <w:t>PDAM</w:t>
            </w:r>
            <w:r w:rsidRPr="00A02646">
              <w:rPr>
                <w:rFonts w:ascii="Times New Roman" w:hAnsi="Times New Roman" w:cs="Times New Roman"/>
                <w:sz w:val="24"/>
                <w:szCs w:val="24"/>
                <w:vertAlign w:val="subscript"/>
              </w:rPr>
              <w:t>z,t</w:t>
            </w:r>
            <w:proofErr w:type="spellEnd"/>
            <w:r w:rsidRPr="00A02646">
              <w:rPr>
                <w:rFonts w:ascii="Times New Roman" w:hAnsi="Times New Roman" w:cs="Times New Roman"/>
                <w:sz w:val="24"/>
                <w:szCs w:val="24"/>
              </w:rPr>
              <w:t xml:space="preserve"> - визначена на торгах на РДН ціна купівлі-продажу електричної енергії в зоні z для розрахункового періоду t, грн/</w:t>
            </w:r>
            <w:proofErr w:type="spellStart"/>
            <w:r w:rsidRPr="00A02646">
              <w:rPr>
                <w:rFonts w:ascii="Times New Roman" w:hAnsi="Times New Roman" w:cs="Times New Roman"/>
                <w:sz w:val="24"/>
                <w:szCs w:val="24"/>
              </w:rPr>
              <w:t>МВт·год</w:t>
            </w:r>
            <w:proofErr w:type="spellEnd"/>
            <w:r w:rsidRPr="00A02646">
              <w:rPr>
                <w:rFonts w:ascii="Times New Roman" w:hAnsi="Times New Roman" w:cs="Times New Roman"/>
                <w:sz w:val="24"/>
                <w:szCs w:val="24"/>
              </w:rPr>
              <w:t>;</w:t>
            </w:r>
          </w:p>
          <w:p w14:paraId="2C2E616E" w14:textId="77777777"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proofErr w:type="spellStart"/>
            <w:r w:rsidRPr="00A02646">
              <w:rPr>
                <w:rFonts w:ascii="Times New Roman" w:hAnsi="Times New Roman" w:cs="Times New Roman"/>
                <w:sz w:val="24"/>
                <w:szCs w:val="24"/>
              </w:rPr>
              <w:t>K</w:t>
            </w:r>
            <w:r w:rsidRPr="00A02646">
              <w:rPr>
                <w:rFonts w:ascii="Times New Roman" w:hAnsi="Times New Roman" w:cs="Times New Roman"/>
                <w:sz w:val="24"/>
                <w:szCs w:val="24"/>
                <w:vertAlign w:val="superscript"/>
              </w:rPr>
              <w:t>im</w:t>
            </w:r>
            <w:proofErr w:type="spellEnd"/>
            <w:r w:rsidRPr="00A02646">
              <w:rPr>
                <w:rFonts w:ascii="Times New Roman" w:hAnsi="Times New Roman" w:cs="Times New Roman"/>
                <w:sz w:val="24"/>
                <w:szCs w:val="24"/>
              </w:rPr>
              <w:t xml:space="preserve"> = 0,05 - коефіцієнт ціни небалансу.</w:t>
            </w:r>
          </w:p>
          <w:p w14:paraId="2D257D9E" w14:textId="69D1C8E2" w:rsidR="00A02646" w:rsidRPr="00A02646" w:rsidRDefault="00A02646" w:rsidP="00A02646">
            <w:pPr>
              <w:pStyle w:val="tj"/>
              <w:spacing w:before="60" w:beforeAutospacing="0" w:after="0" w:afterAutospacing="0"/>
              <w:ind w:firstLine="313"/>
              <w:jc w:val="both"/>
            </w:pPr>
            <w:r w:rsidRPr="00A02646">
              <w:t xml:space="preserve">Позитивне значення </w:t>
            </w:r>
            <w:proofErr w:type="spellStart"/>
            <w:r w:rsidRPr="00A02646">
              <w:t>CIEQ</w:t>
            </w:r>
            <w:r w:rsidRPr="00A02646">
              <w:rPr>
                <w:vertAlign w:val="subscript"/>
              </w:rPr>
              <w:t>b,z,t</w:t>
            </w:r>
            <w:proofErr w:type="spellEnd"/>
            <w:r w:rsidRPr="00A02646">
              <w:t xml:space="preserve"> означає нарахування для СВБ (або списання для АР), тоді як негативне значення означає списання СВБ (або нарахування для АР) </w:t>
            </w:r>
            <w:r w:rsidRPr="00A02646">
              <w:rPr>
                <w:strike/>
              </w:rPr>
              <w:t>незалежно від напряму небалансу електричної енергії системи</w:t>
            </w:r>
            <w:r w:rsidRPr="00A02646">
              <w:t>.</w:t>
            </w:r>
          </w:p>
        </w:tc>
        <w:tc>
          <w:tcPr>
            <w:tcW w:w="7371" w:type="dxa"/>
          </w:tcPr>
          <w:p w14:paraId="4ACA838D" w14:textId="2F5D1ADC" w:rsidR="00A02646" w:rsidRPr="00A02646" w:rsidRDefault="00A02646" w:rsidP="00A02646">
            <w:pPr>
              <w:widowControl w:val="0"/>
              <w:spacing w:before="60" w:after="0" w:line="240" w:lineRule="auto"/>
              <w:ind w:firstLine="313"/>
              <w:jc w:val="both"/>
              <w:rPr>
                <w:rFonts w:ascii="Times New Roman" w:eastAsiaTheme="minorEastAsia" w:hAnsi="Times New Roman" w:cs="Times New Roman"/>
                <w:sz w:val="24"/>
                <w:szCs w:val="24"/>
              </w:rPr>
            </w:pPr>
            <w:bookmarkStart w:id="6" w:name="_Hlk236049572"/>
            <w:r w:rsidRPr="00A02646">
              <w:rPr>
                <w:rFonts w:ascii="Times New Roman" w:hAnsi="Times New Roman" w:cs="Times New Roman"/>
                <w:sz w:val="24"/>
                <w:szCs w:val="24"/>
              </w:rPr>
              <w:lastRenderedPageBreak/>
              <w:t xml:space="preserve">5.17.2. Списання/нарахування за небаланс для СВБ b </w:t>
            </w:r>
            <w:r w:rsidRPr="00A02646">
              <w:rPr>
                <w:rFonts w:ascii="Times New Roman" w:hAnsi="Times New Roman" w:cs="Times New Roman"/>
                <w:b/>
                <w:sz w:val="24"/>
                <w:szCs w:val="24"/>
              </w:rPr>
              <w:t xml:space="preserve">у </w:t>
            </w:r>
            <w:r w:rsidRPr="00A02646">
              <w:rPr>
                <w:rFonts w:ascii="Times New Roman" w:hAnsi="Times New Roman" w:cs="Times New Roman"/>
                <w:b/>
                <w:bCs/>
                <w:sz w:val="24"/>
                <w:szCs w:val="24"/>
              </w:rPr>
              <w:t xml:space="preserve">торговій зоні </w:t>
            </w:r>
            <w:r w:rsidRPr="00A02646">
              <w:rPr>
                <w:rFonts w:ascii="Times New Roman" w:hAnsi="Times New Roman" w:cs="Times New Roman"/>
                <w:sz w:val="24"/>
                <w:szCs w:val="24"/>
              </w:rPr>
              <w:t>z</w:t>
            </w:r>
            <w:r w:rsidRPr="00A02646">
              <w:rPr>
                <w:rFonts w:ascii="Times New Roman" w:hAnsi="Times New Roman" w:cs="Times New Roman"/>
                <w:b/>
                <w:bCs/>
                <w:sz w:val="24"/>
                <w:szCs w:val="24"/>
              </w:rPr>
              <w:t xml:space="preserve"> за розрахунковий період </w:t>
            </w:r>
            <w:r w:rsidRPr="00A02646">
              <w:rPr>
                <w:rFonts w:ascii="Times New Roman" w:hAnsi="Times New Roman" w:cs="Times New Roman"/>
                <w:sz w:val="24"/>
                <w:szCs w:val="24"/>
              </w:rPr>
              <w:t>t визначається за формулою</w:t>
            </w:r>
          </w:p>
          <w:p w14:paraId="56259DC0" w14:textId="40543246" w:rsidR="00A02646" w:rsidRPr="00A02646" w:rsidRDefault="00EE40A7" w:rsidP="00A02646">
            <w:pPr>
              <w:widowControl w:val="0"/>
              <w:spacing w:before="60" w:after="0" w:line="240" w:lineRule="auto"/>
              <w:ind w:firstLine="313"/>
              <w:jc w:val="both"/>
              <w:rPr>
                <w:rFonts w:ascii="Times New Roman" w:hAnsi="Times New Roman" w:cs="Times New Roman"/>
                <w:bCs/>
                <w:sz w:val="24"/>
                <w:szCs w:val="24"/>
              </w:rPr>
            </w:pPr>
            <m:oMath>
              <m:sSub>
                <m:sSubPr>
                  <m:ctrlPr>
                    <w:rPr>
                      <w:rFonts w:ascii="Cambria Math" w:hAnsi="Cambria Math" w:cs="Times New Roman"/>
                      <w:bCs/>
                      <w:iCs/>
                      <w:sz w:val="24"/>
                      <w:szCs w:val="24"/>
                    </w:rPr>
                  </m:ctrlPr>
                </m:sSubPr>
                <m:e>
                  <m:r>
                    <m:rPr>
                      <m:sty m:val="p"/>
                    </m:rPr>
                    <w:rPr>
                      <w:rFonts w:ascii="Cambria Math" w:hAnsi="Cambria Math" w:cs="Times New Roman"/>
                      <w:sz w:val="24"/>
                      <w:szCs w:val="24"/>
                    </w:rPr>
                    <m:t>CIE</m:t>
                  </m:r>
                  <m:r>
                    <m:rPr>
                      <m:sty m:val="p"/>
                    </m:rPr>
                    <w:rPr>
                      <w:rFonts w:ascii="Cambria Math" w:hAnsi="Cambria Math" w:cs="Times New Roman"/>
                      <w:sz w:val="24"/>
                      <w:szCs w:val="24"/>
                      <w:lang w:val="en-US"/>
                    </w:rPr>
                    <m:t>Q</m:t>
                  </m:r>
                  <m:r>
                    <m:rPr>
                      <m:sty m:val="p"/>
                    </m:rPr>
                    <w:rPr>
                      <w:rFonts w:ascii="Cambria Math" w:hAnsi="Cambria Math" w:cs="Times New Roman"/>
                      <w:sz w:val="24"/>
                      <w:szCs w:val="24"/>
                    </w:rPr>
                    <m:t xml:space="preserve"> </m:t>
                  </m:r>
                </m:e>
                <m:sub>
                  <m:r>
                    <m:rPr>
                      <m:sty m:val="p"/>
                    </m:rPr>
                    <w:rPr>
                      <w:rFonts w:ascii="Cambria Math" w:hAnsi="Cambria Math" w:cs="Times New Roman"/>
                      <w:sz w:val="24"/>
                      <w:szCs w:val="24"/>
                    </w:rPr>
                    <m:t>e,z,t</m:t>
                  </m:r>
                </m:sub>
              </m:sSub>
            </m:oMath>
            <w:r w:rsidR="00A02646" w:rsidRPr="00A02646">
              <w:rPr>
                <w:rFonts w:ascii="Times New Roman" w:hAnsi="Times New Roman" w:cs="Times New Roman"/>
                <w:bCs/>
                <w:sz w:val="24"/>
                <w:szCs w:val="24"/>
              </w:rPr>
              <w:t xml:space="preserve"> = </w:t>
            </w:r>
            <m:oMath>
              <m:d>
                <m:dPr>
                  <m:begChr m:val="{"/>
                  <m:endChr m:val=""/>
                  <m:ctrlPr>
                    <w:rPr>
                      <w:rFonts w:ascii="Cambria Math" w:hAnsi="Cambria Math" w:cs="Times New Roman"/>
                      <w:bCs/>
                      <w:sz w:val="24"/>
                      <w:szCs w:val="24"/>
                    </w:rPr>
                  </m:ctrlPr>
                </m:dPr>
                <m:e>
                  <m:eqArr>
                    <m:eqArrPr>
                      <m:ctrlPr>
                        <w:rPr>
                          <w:rFonts w:ascii="Cambria Math" w:hAnsi="Cambria Math" w:cs="Times New Roman"/>
                          <w:bCs/>
                          <w:sz w:val="24"/>
                          <w:szCs w:val="24"/>
                        </w:rPr>
                      </m:ctrlPr>
                    </m:eqArrPr>
                    <m:e>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m:t>
                      </m:r>
                      <m:d>
                        <m:dPr>
                          <m:ctrlPr>
                            <w:rPr>
                              <w:rFonts w:ascii="Cambria Math" w:hAnsi="Cambria Math" w:cs="Times New Roman"/>
                              <w:b/>
                              <w:sz w:val="24"/>
                              <w:szCs w:val="24"/>
                            </w:rPr>
                          </m:ctrlPr>
                        </m:dPr>
                        <m:e>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lang w:val="en-US"/>
                                </w:rPr>
                                <m:t>I</m:t>
                              </m:r>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m:t>
                              </m:r>
                            </m:sup>
                          </m:sSubSup>
                        </m:e>
                      </m:d>
                      <m:r>
                        <m:rPr>
                          <m:sty m:val="b"/>
                        </m:rPr>
                        <w:rPr>
                          <w:rFonts w:ascii="Cambria Math" w:hAnsi="Cambria Math" w:cs="Times New Roman"/>
                          <w:sz w:val="24"/>
                          <w:szCs w:val="24"/>
                        </w:rPr>
                        <m:t>·(</m:t>
                      </m:r>
                      <m:r>
                        <m:rPr>
                          <m:sty m:val="p"/>
                        </m:rPr>
                        <w:rPr>
                          <w:rFonts w:ascii="Cambria Math" w:hAnsi="Cambria Math" w:cs="Times New Roman"/>
                          <w:sz w:val="24"/>
                          <w:szCs w:val="24"/>
                        </w:rPr>
                        <m:t>1-</m:t>
                      </m:r>
                      <m:sSup>
                        <m:sSupPr>
                          <m:ctrlPr>
                            <w:rPr>
                              <w:rFonts w:ascii="Cambria Math" w:hAnsi="Cambria Math" w:cs="Times New Roman"/>
                              <w:sz w:val="24"/>
                              <w:szCs w:val="24"/>
                            </w:rPr>
                          </m:ctrlPr>
                        </m:sSupPr>
                        <m:e>
                          <m:r>
                            <m:rPr>
                              <m:sty m:val="p"/>
                            </m:rPr>
                            <w:rPr>
                              <w:rFonts w:ascii="Cambria Math" w:hAnsi="Cambria Math" w:cs="Times New Roman"/>
                              <w:sz w:val="24"/>
                              <w:szCs w:val="24"/>
                            </w:rPr>
                            <m:t>K</m:t>
                          </m:r>
                        </m:e>
                        <m:sup>
                          <m:r>
                            <m:rPr>
                              <m:sty m:val="p"/>
                            </m:rPr>
                            <w:rPr>
                              <w:rFonts w:ascii="Cambria Math" w:hAnsi="Cambria Math" w:cs="Times New Roman"/>
                              <w:sz w:val="24"/>
                              <w:szCs w:val="24"/>
                            </w:rPr>
                            <m:t>i</m:t>
                          </m:r>
                          <m:r>
                            <m:rPr>
                              <m:sty m:val="p"/>
                            </m:rPr>
                            <w:rPr>
                              <w:rFonts w:ascii="Cambria Math" w:hAnsi="Cambria Math" w:cs="Times New Roman"/>
                              <w:sz w:val="24"/>
                              <w:szCs w:val="24"/>
                              <w:lang w:val="en-US"/>
                            </w:rPr>
                            <m:t>m</m:t>
                          </m:r>
                        </m:sup>
                      </m:sSup>
                      <m:r>
                        <m:rPr>
                          <m:sty m:val="p"/>
                        </m:rPr>
                        <w:rPr>
                          <w:rFonts w:ascii="Cambria Math" w:hAnsi="Cambria Math" w:cs="Times New Roman"/>
                          <w:sz w:val="24"/>
                          <w:szCs w:val="24"/>
                        </w:rPr>
                        <m:t>),</m:t>
                      </m: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&gt; 0</m:t>
                      </m:r>
                      <m:ctrlPr>
                        <w:rPr>
                          <w:rFonts w:ascii="Cambria Math" w:eastAsia="Cambria Math" w:hAnsi="Cambria Math" w:cs="Times New Roman"/>
                          <w:bCs/>
                          <w:sz w:val="24"/>
                          <w:szCs w:val="24"/>
                        </w:rPr>
                      </m:ctrlPr>
                    </m:e>
                    <m:e>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 xml:space="preserve">b,z,t </m:t>
                          </m:r>
                        </m:sub>
                      </m:sSub>
                      <m:r>
                        <m:rPr>
                          <m:sty m:val="p"/>
                        </m:rPr>
                        <w:rPr>
                          <w:rFonts w:ascii="Cambria Math" w:hAnsi="Cambria Math" w:cs="Times New Roman"/>
                          <w:sz w:val="24"/>
                          <w:szCs w:val="24"/>
                        </w:rPr>
                        <m:t>·</m:t>
                      </m:r>
                      <m:r>
                        <m:rPr>
                          <m:sty m:val="b"/>
                        </m:rPr>
                        <w:rPr>
                          <w:rFonts w:ascii="Cambria Math" w:hAnsi="Cambria Math" w:cs="Times New Roman"/>
                          <w:sz w:val="24"/>
                          <w:szCs w:val="24"/>
                        </w:rPr>
                        <m:t>(</m:t>
                      </m:r>
                      <m:r>
                        <m:rPr>
                          <m:sty m:val="b"/>
                        </m:rPr>
                        <w:rPr>
                          <w:rFonts w:ascii="Cambria Math" w:hAnsi="Cambria Math" w:cs="Times New Roman"/>
                          <w:sz w:val="24"/>
                          <w:szCs w:val="24"/>
                          <w:lang w:val="en-US"/>
                        </w:rPr>
                        <m:t>I</m:t>
                      </m:r>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m:t>
                          </m:r>
                        </m:sup>
                      </m:sSubSup>
                      <m:r>
                        <m:rPr>
                          <m:sty m:val="b"/>
                        </m:rPr>
                        <w:rPr>
                          <w:rFonts w:ascii="Cambria Math" w:hAnsi="Cambria Math" w:cs="Times New Roman"/>
                          <w:sz w:val="24"/>
                          <w:szCs w:val="24"/>
                        </w:rPr>
                        <m:t xml:space="preserve">) </m:t>
                      </m:r>
                      <m:r>
                        <m:rPr>
                          <m:sty m:val="p"/>
                        </m:rPr>
                        <w:rPr>
                          <w:rFonts w:ascii="Cambria Math" w:hAnsi="Cambria Math" w:cs="Times New Roman"/>
                          <w:sz w:val="24"/>
                          <w:szCs w:val="24"/>
                        </w:rPr>
                        <m:t>·(1+</m:t>
                      </m:r>
                      <m:sSup>
                        <m:sSupPr>
                          <m:ctrlPr>
                            <w:rPr>
                              <w:rFonts w:ascii="Cambria Math" w:hAnsi="Cambria Math" w:cs="Times New Roman"/>
                              <w:sz w:val="24"/>
                              <w:szCs w:val="24"/>
                            </w:rPr>
                          </m:ctrlPr>
                        </m:sSupPr>
                        <m:e>
                          <m:r>
                            <m:rPr>
                              <m:sty m:val="p"/>
                            </m:rPr>
                            <w:rPr>
                              <w:rFonts w:ascii="Cambria Math" w:hAnsi="Cambria Math" w:cs="Times New Roman"/>
                              <w:sz w:val="24"/>
                              <w:szCs w:val="24"/>
                            </w:rPr>
                            <m:t>K</m:t>
                          </m:r>
                        </m:e>
                        <m:sup>
                          <m:r>
                            <m:rPr>
                              <m:sty m:val="p"/>
                            </m:rPr>
                            <w:rPr>
                              <w:rFonts w:ascii="Cambria Math" w:hAnsi="Cambria Math" w:cs="Times New Roman"/>
                              <w:sz w:val="24"/>
                              <w:szCs w:val="24"/>
                            </w:rPr>
                            <m:t>i</m:t>
                          </m:r>
                          <m:r>
                            <m:rPr>
                              <m:sty m:val="p"/>
                            </m:rPr>
                            <w:rPr>
                              <w:rFonts w:ascii="Cambria Math" w:hAnsi="Cambria Math" w:cs="Times New Roman"/>
                              <w:sz w:val="24"/>
                              <w:szCs w:val="24"/>
                              <w:lang w:val="en-US"/>
                            </w:rPr>
                            <m:t>m</m:t>
                          </m:r>
                        </m:sup>
                      </m:sSup>
                      <m:r>
                        <m:rPr>
                          <m:sty m:val="p"/>
                        </m:rPr>
                        <w:rPr>
                          <w:rFonts w:ascii="Cambria Math" w:hAnsi="Cambria Math" w:cs="Times New Roman"/>
                          <w:sz w:val="24"/>
                          <w:szCs w:val="24"/>
                        </w:rPr>
                        <m:t>)</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 xml:space="preserve">&lt; 0 </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0, 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=0</m:t>
                      </m:r>
                    </m:e>
                  </m:eqArr>
                </m:e>
              </m:d>
            </m:oMath>
            <w:r w:rsidR="00A02646" w:rsidRPr="00A02646">
              <w:rPr>
                <w:rFonts w:ascii="Times New Roman" w:hAnsi="Times New Roman" w:cs="Times New Roman"/>
                <w:bCs/>
                <w:sz w:val="24"/>
                <w:szCs w:val="24"/>
              </w:rPr>
              <w:t>,</w:t>
            </w:r>
          </w:p>
          <w:p w14:paraId="04B675A0" w14:textId="35E70BCF" w:rsidR="00A02646" w:rsidRPr="00A02646" w:rsidRDefault="00A02646" w:rsidP="00A02646">
            <w:pPr>
              <w:widowControl w:val="0"/>
              <w:spacing w:before="60" w:after="0" w:line="240" w:lineRule="auto"/>
              <w:ind w:firstLine="313"/>
              <w:jc w:val="both"/>
              <w:rPr>
                <w:rFonts w:ascii="Times New Roman" w:hAnsi="Times New Roman" w:cs="Times New Roman"/>
                <w:b/>
                <w:bCs/>
                <w:sz w:val="24"/>
                <w:szCs w:val="24"/>
              </w:rPr>
            </w:pPr>
            <w:r w:rsidRPr="00A02646">
              <w:rPr>
                <w:rFonts w:ascii="Times New Roman" w:hAnsi="Times New Roman" w:cs="Times New Roman"/>
                <w:bCs/>
                <w:sz w:val="24"/>
                <w:szCs w:val="24"/>
              </w:rPr>
              <w:t xml:space="preserve">де </w:t>
            </w:r>
            <w:proofErr w:type="spellStart"/>
            <w:r w:rsidRPr="00A02646">
              <w:rPr>
                <w:rFonts w:ascii="Times New Roman" w:hAnsi="Times New Roman" w:cs="Times New Roman"/>
                <w:bCs/>
                <w:sz w:val="24"/>
                <w:szCs w:val="24"/>
              </w:rPr>
              <w:t>K</w:t>
            </w:r>
            <w:r w:rsidRPr="00A02646">
              <w:rPr>
                <w:rFonts w:ascii="Times New Roman" w:hAnsi="Times New Roman" w:cs="Times New Roman"/>
                <w:bCs/>
                <w:sz w:val="24"/>
                <w:szCs w:val="24"/>
                <w:vertAlign w:val="superscript"/>
              </w:rPr>
              <w:t>im</w:t>
            </w:r>
            <w:proofErr w:type="spellEnd"/>
            <w:r w:rsidRPr="00A02646">
              <w:rPr>
                <w:rFonts w:ascii="Times New Roman" w:hAnsi="Times New Roman" w:cs="Times New Roman"/>
                <w:bCs/>
                <w:sz w:val="24"/>
                <w:szCs w:val="24"/>
              </w:rPr>
              <w:t xml:space="preserve"> = 0,05 </w:t>
            </w:r>
            <w:r w:rsidR="00DA2570">
              <w:rPr>
                <w:rFonts w:ascii="Times New Roman" w:hAnsi="Times New Roman" w:cs="Times New Roman"/>
                <w:bCs/>
                <w:sz w:val="24"/>
                <w:szCs w:val="24"/>
              </w:rPr>
              <w:t xml:space="preserve">– </w:t>
            </w:r>
            <w:r w:rsidRPr="00A02646">
              <w:rPr>
                <w:rFonts w:ascii="Times New Roman" w:hAnsi="Times New Roman" w:cs="Times New Roman"/>
                <w:bCs/>
                <w:sz w:val="24"/>
                <w:szCs w:val="24"/>
              </w:rPr>
              <w:t>коефіцієнт ціни небалансу</w:t>
            </w:r>
            <w:r w:rsidRPr="00A02646">
              <w:rPr>
                <w:rFonts w:ascii="Times New Roman" w:hAnsi="Times New Roman" w:cs="Times New Roman"/>
                <w:b/>
                <w:bCs/>
                <w:sz w:val="24"/>
                <w:szCs w:val="24"/>
              </w:rPr>
              <w:t>.</w:t>
            </w:r>
          </w:p>
          <w:p w14:paraId="1BA87B54" w14:textId="6BF306DF" w:rsidR="00A02646" w:rsidRPr="00A02646" w:rsidRDefault="00A02646" w:rsidP="00A02646">
            <w:pPr>
              <w:widowControl w:val="0"/>
              <w:spacing w:before="60" w:after="0" w:line="240" w:lineRule="auto"/>
              <w:ind w:firstLine="313"/>
              <w:jc w:val="both"/>
              <w:rPr>
                <w:rFonts w:ascii="Times New Roman" w:hAnsi="Times New Roman" w:cs="Times New Roman"/>
                <w:bCs/>
                <w:sz w:val="24"/>
                <w:szCs w:val="24"/>
              </w:rPr>
            </w:pPr>
            <w:r w:rsidRPr="00A02646">
              <w:rPr>
                <w:rFonts w:ascii="Times New Roman" w:hAnsi="Times New Roman" w:cs="Times New Roman"/>
                <w:bCs/>
                <w:sz w:val="24"/>
                <w:szCs w:val="24"/>
              </w:rPr>
              <w:t xml:space="preserve">Позитивне значення </w:t>
            </w:r>
            <m:oMath>
              <m:sSub>
                <m:sSubPr>
                  <m:ctrlPr>
                    <w:rPr>
                      <w:rFonts w:ascii="Cambria Math" w:hAnsi="Cambria Math" w:cs="Times New Roman"/>
                      <w:bCs/>
                      <w:sz w:val="24"/>
                      <w:szCs w:val="24"/>
                    </w:rPr>
                  </m:ctrlPr>
                </m:sSubPr>
                <m:e>
                  <m:r>
                    <m:rPr>
                      <m:sty m:val="p"/>
                    </m:rPr>
                    <w:rPr>
                      <w:rFonts w:ascii="Cambria Math" w:hAnsi="Cambria Math" w:cs="Times New Roman"/>
                      <w:sz w:val="24"/>
                      <w:szCs w:val="24"/>
                      <w:lang w:val="en-US"/>
                    </w:rPr>
                    <m:t>CIEQ</m:t>
                  </m:r>
                </m:e>
                <m:sub>
                  <m:r>
                    <m:rPr>
                      <m:sty m:val="p"/>
                    </m:rPr>
                    <w:rPr>
                      <w:rFonts w:ascii="Cambria Math" w:hAnsi="Cambria Math" w:cs="Times New Roman"/>
                      <w:sz w:val="24"/>
                      <w:szCs w:val="24"/>
                    </w:rPr>
                    <m:t>e</m:t>
                  </m:r>
                  <m:r>
                    <m:rPr>
                      <m:sty m:val="p"/>
                    </m:rPr>
                    <w:rPr>
                      <w:rFonts w:ascii="Cambria Math" w:hAnsi="Cambria Math" w:cs="Times New Roman"/>
                      <w:sz w:val="24"/>
                      <w:szCs w:val="24"/>
                      <w:lang w:val="ru-RU"/>
                    </w:rPr>
                    <m:t>,</m:t>
                  </m:r>
                  <m:r>
                    <m:rPr>
                      <m:sty m:val="p"/>
                    </m:rPr>
                    <w:rPr>
                      <w:rFonts w:ascii="Cambria Math" w:hAnsi="Cambria Math" w:cs="Times New Roman"/>
                      <w:sz w:val="24"/>
                      <w:szCs w:val="24"/>
                      <w:lang w:val="en-US"/>
                    </w:rPr>
                    <m:t>z</m:t>
                  </m:r>
                  <m:r>
                    <m:rPr>
                      <m:sty m:val="p"/>
                    </m:rPr>
                    <w:rPr>
                      <w:rFonts w:ascii="Cambria Math" w:hAnsi="Cambria Math" w:cs="Times New Roman"/>
                      <w:sz w:val="24"/>
                      <w:szCs w:val="24"/>
                      <w:lang w:val="ru-RU"/>
                    </w:rPr>
                    <m:t>,</m:t>
                  </m:r>
                  <m:r>
                    <m:rPr>
                      <m:sty m:val="p"/>
                    </m:rPr>
                    <w:rPr>
                      <w:rFonts w:ascii="Cambria Math" w:hAnsi="Cambria Math" w:cs="Times New Roman"/>
                      <w:sz w:val="24"/>
                      <w:szCs w:val="24"/>
                      <w:lang w:val="en-US"/>
                    </w:rPr>
                    <m:t>t</m:t>
                  </m:r>
                </m:sub>
              </m:sSub>
            </m:oMath>
            <w:r w:rsidRPr="00A02646">
              <w:rPr>
                <w:rFonts w:ascii="Times New Roman" w:hAnsi="Times New Roman" w:cs="Times New Roman"/>
                <w:bCs/>
                <w:sz w:val="24"/>
                <w:szCs w:val="24"/>
              </w:rPr>
              <w:t xml:space="preserve"> означає нарахування для СВБ (або списання для АР), тоді як негативне значення означає списання СВБ (або нарахування для АР).</w:t>
            </w:r>
            <w:bookmarkEnd w:id="6"/>
          </w:p>
        </w:tc>
      </w:tr>
      <w:tr w:rsidR="00A02646" w:rsidRPr="00A02646" w14:paraId="34DE1587" w14:textId="77777777" w:rsidTr="00A02646">
        <w:tc>
          <w:tcPr>
            <w:tcW w:w="7371" w:type="dxa"/>
          </w:tcPr>
          <w:p w14:paraId="7FA49076" w14:textId="2C762D8C" w:rsidR="00A02646" w:rsidRPr="00A02646" w:rsidRDefault="00A02646" w:rsidP="00A02646">
            <w:pPr>
              <w:widowControl w:val="0"/>
              <w:spacing w:before="60" w:after="0" w:line="240" w:lineRule="auto"/>
              <w:ind w:firstLine="313"/>
              <w:jc w:val="both"/>
              <w:rPr>
                <w:rFonts w:ascii="Times New Roman" w:hAnsi="Times New Roman" w:cs="Times New Roman"/>
                <w:b/>
                <w:sz w:val="24"/>
                <w:szCs w:val="24"/>
              </w:rPr>
            </w:pPr>
            <w:r w:rsidRPr="00A02646">
              <w:rPr>
                <w:rFonts w:ascii="Times New Roman" w:hAnsi="Times New Roman" w:cs="Times New Roman"/>
                <w:b/>
                <w:sz w:val="24"/>
                <w:szCs w:val="24"/>
              </w:rPr>
              <w:lastRenderedPageBreak/>
              <w:t>X. Прикінцеві та перехідні положення</w:t>
            </w:r>
          </w:p>
        </w:tc>
        <w:tc>
          <w:tcPr>
            <w:tcW w:w="7371" w:type="dxa"/>
          </w:tcPr>
          <w:p w14:paraId="277B00E5" w14:textId="253823C9" w:rsidR="00A02646" w:rsidRPr="00A02646" w:rsidRDefault="00A02646" w:rsidP="00A02646">
            <w:pPr>
              <w:widowControl w:val="0"/>
              <w:spacing w:before="60" w:after="0" w:line="240" w:lineRule="auto"/>
              <w:ind w:firstLine="313"/>
              <w:jc w:val="both"/>
              <w:rPr>
                <w:rFonts w:ascii="Times New Roman" w:hAnsi="Times New Roman" w:cs="Times New Roman"/>
                <w:b/>
                <w:sz w:val="24"/>
                <w:szCs w:val="24"/>
              </w:rPr>
            </w:pPr>
            <w:r w:rsidRPr="00A02646">
              <w:rPr>
                <w:rFonts w:ascii="Times New Roman" w:hAnsi="Times New Roman" w:cs="Times New Roman"/>
                <w:b/>
                <w:sz w:val="24"/>
                <w:szCs w:val="24"/>
              </w:rPr>
              <w:t>X. Прикінцеві та перехідні положення</w:t>
            </w:r>
          </w:p>
        </w:tc>
      </w:tr>
      <w:tr w:rsidR="00A02646" w:rsidRPr="00A02646" w14:paraId="2E837E8B" w14:textId="77777777" w:rsidTr="00A02646">
        <w:tc>
          <w:tcPr>
            <w:tcW w:w="7371" w:type="dxa"/>
          </w:tcPr>
          <w:p w14:paraId="3C6B3288" w14:textId="71EFC9FE" w:rsidR="00A02646" w:rsidRPr="00A02646" w:rsidRDefault="00A02646" w:rsidP="00A02646">
            <w:pPr>
              <w:widowControl w:val="0"/>
              <w:spacing w:before="60" w:after="0" w:line="240" w:lineRule="auto"/>
              <w:ind w:firstLine="313"/>
              <w:jc w:val="both"/>
              <w:rPr>
                <w:rFonts w:ascii="Times New Roman" w:hAnsi="Times New Roman" w:cs="Times New Roman"/>
                <w:strike/>
                <w:sz w:val="24"/>
                <w:szCs w:val="24"/>
              </w:rPr>
            </w:pPr>
            <w:r w:rsidRPr="00A02646">
              <w:rPr>
                <w:rFonts w:ascii="Times New Roman" w:hAnsi="Times New Roman" w:cs="Times New Roman"/>
                <w:sz w:val="24"/>
                <w:szCs w:val="24"/>
              </w:rPr>
              <w:t xml:space="preserve">10.9. </w:t>
            </w:r>
            <w:r w:rsidRPr="00A02646">
              <w:rPr>
                <w:rFonts w:ascii="Times New Roman" w:hAnsi="Times New Roman" w:cs="Times New Roman"/>
                <w:strike/>
                <w:sz w:val="24"/>
                <w:szCs w:val="24"/>
              </w:rPr>
              <w:t>Для виробників електричної енергії, крім мікро-, міні-, малих гідроелектростанцій та електричних станцій, що виробляють електричну енергію з альтернативних джерел енергії, та імпортерів у кожному розрахунковому періоді доби постачання гранична нижня межа обов'язкової заявки щодо продажу електричної енергії на РДН становить 10 відсотків від сумарного обсягу відпуску електричної енергії в цьому розрахунковому періоді такими учасниками ринку (без урахування обсягу відпуску/відбору електричної енергії, здійсненого на виконання диспетчерських команд). ОСП забезпечує щодекадну перевірку дотримання учасниками ринку вимоги цього абзацу та повідомляє Регулятору про випадки її порушення учасниками ринку.</w:t>
            </w:r>
          </w:p>
          <w:p w14:paraId="441F14AB" w14:textId="17250FB6"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Зазначена вимога застосовується окремо для кожної торгової зони, визначеної ОСП відповідно до цих Правил та погодженої Регулятором.</w:t>
            </w:r>
          </w:p>
          <w:p w14:paraId="2C377687" w14:textId="21B391AE"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До синхронізації ОЕС України з об'єднаннями енергетичних систем держав - членів Європейського Союзу (Європейське співтовариство операторів магістральних мереж в електроенергетиці ENTSO-E) учасники ринку у своїх заявках на балансуючу електричну енергію зобов'язані вказувати ціну не більше 115 % від встановленого обмеження ціни на РДН на цей розрахунковий період.</w:t>
            </w:r>
          </w:p>
          <w:p w14:paraId="47A0AEFA" w14:textId="06764048"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lastRenderedPageBreak/>
              <w:t>У разі подання ППБ пропозицій на балансуючу електричну енергію із ціною, що перебуває поза наведеним діапазоном, така заявка автоматично відхиляється системою управління ринком.</w:t>
            </w:r>
          </w:p>
        </w:tc>
        <w:tc>
          <w:tcPr>
            <w:tcW w:w="7371" w:type="dxa"/>
          </w:tcPr>
          <w:p w14:paraId="5E986F2E" w14:textId="7A36B4F0"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lastRenderedPageBreak/>
              <w:t xml:space="preserve">10.9. </w:t>
            </w:r>
            <w:r w:rsidRPr="00A02646">
              <w:rPr>
                <w:rFonts w:ascii="Times New Roman" w:hAnsi="Times New Roman" w:cs="Times New Roman"/>
                <w:strike/>
                <w:sz w:val="24"/>
                <w:szCs w:val="24"/>
              </w:rPr>
              <w:t>Для виробників електричної енергії, крім мікро-, міні-, малих гідроелектростанцій та електричних станцій, що виробляють електричну енергію з альтернативних джерел енергії, та імпортерів у кожному розрахунковому періоді доби постачання гранична нижня межа обов'язкової заявки щодо продажу електричної енергії на РДН становить 10 відсотків від сумарного обсягу відпуску електричної енергії в цьому розрахунковому періоді такими учасниками ринку (без урахування обсягу відпуску/відбору електричної енергії, здійсненого на виконання диспетчерських команд). ОСП забезпечує щодекадну перевірку дотримання учасниками ринку вимоги цього абзацу та повідомляє Регулятору про випадки її порушення учасниками ринку.</w:t>
            </w:r>
          </w:p>
          <w:p w14:paraId="2B63CD86" w14:textId="2E967F25" w:rsidR="00A02646" w:rsidRPr="00A02646" w:rsidRDefault="00A02646" w:rsidP="00A02646">
            <w:pPr>
              <w:widowControl w:val="0"/>
              <w:spacing w:before="60" w:after="0" w:line="240" w:lineRule="auto"/>
              <w:ind w:firstLine="313"/>
              <w:jc w:val="both"/>
              <w:rPr>
                <w:rFonts w:ascii="Times New Roman" w:hAnsi="Times New Roman" w:cs="Times New Roman"/>
                <w:strike/>
                <w:sz w:val="24"/>
                <w:szCs w:val="24"/>
              </w:rPr>
            </w:pPr>
            <w:r w:rsidRPr="00A02646">
              <w:rPr>
                <w:rFonts w:ascii="Times New Roman" w:hAnsi="Times New Roman" w:cs="Times New Roman"/>
                <w:strike/>
                <w:sz w:val="24"/>
                <w:szCs w:val="24"/>
              </w:rPr>
              <w:t>Зазначена вимога застосовується окремо для кожної торгової зони, визначеної ОСП відповідно до цих Правил та погодженої Регулятором.</w:t>
            </w:r>
          </w:p>
          <w:p w14:paraId="2ED04594" w14:textId="77777777" w:rsidR="00A02646" w:rsidRPr="00A02646" w:rsidRDefault="00A02646" w:rsidP="00A02646">
            <w:pPr>
              <w:widowControl w:val="0"/>
              <w:spacing w:before="60" w:after="0" w:line="240" w:lineRule="auto"/>
              <w:ind w:firstLine="313"/>
              <w:jc w:val="both"/>
              <w:rPr>
                <w:rFonts w:ascii="Times New Roman" w:hAnsi="Times New Roman" w:cs="Times New Roman"/>
                <w:sz w:val="24"/>
                <w:szCs w:val="24"/>
              </w:rPr>
            </w:pPr>
            <w:r w:rsidRPr="00A02646">
              <w:rPr>
                <w:rFonts w:ascii="Times New Roman" w:hAnsi="Times New Roman" w:cs="Times New Roman"/>
                <w:sz w:val="24"/>
                <w:szCs w:val="24"/>
              </w:rPr>
              <w:t>До синхронізації ОЕС України з об'єднаннями енергетичних систем держав - членів Європейського Союзу (Європейське співтовариство операторів магістральних мереж в електроенергетиці ENTSO-E) учасники ринку у своїх заявках на балансуючу електричну енергію зобов'язані вказувати ціну не більше 115 % від встановленого обмеження ціни на РДН на цей розрахунковий період.</w:t>
            </w:r>
          </w:p>
          <w:p w14:paraId="2697F44A" w14:textId="655B9BD6" w:rsidR="00A02646" w:rsidRPr="00A02646" w:rsidRDefault="00A02646" w:rsidP="00A02646">
            <w:pPr>
              <w:widowControl w:val="0"/>
              <w:spacing w:before="60" w:after="0" w:line="240" w:lineRule="auto"/>
              <w:ind w:firstLine="313"/>
              <w:jc w:val="both"/>
              <w:rPr>
                <w:rFonts w:ascii="Times New Roman" w:eastAsiaTheme="majorEastAsia" w:hAnsi="Times New Roman" w:cs="Times New Roman"/>
                <w:iCs/>
                <w:sz w:val="24"/>
                <w:szCs w:val="24"/>
              </w:rPr>
            </w:pPr>
            <w:r w:rsidRPr="00A02646">
              <w:rPr>
                <w:rFonts w:ascii="Times New Roman" w:hAnsi="Times New Roman" w:cs="Times New Roman"/>
                <w:strike/>
                <w:sz w:val="24"/>
                <w:szCs w:val="24"/>
              </w:rPr>
              <w:lastRenderedPageBreak/>
              <w:t>У разі подання ППБ пропозицій на балансуючу електричну енергію із ціною, що перебуває поза наведеним діапазоном, така заявка автоматично відхиляється системою управління ринком.</w:t>
            </w:r>
          </w:p>
        </w:tc>
      </w:tr>
    </w:tbl>
    <w:p w14:paraId="511A17DC" w14:textId="71122A10" w:rsidR="006F77C4" w:rsidRDefault="006F77C4">
      <w:pPr>
        <w:rPr>
          <w:rFonts w:ascii="Times New Roman" w:hAnsi="Times New Roman" w:cs="Times New Roman"/>
        </w:rPr>
      </w:pPr>
      <w:bookmarkStart w:id="7" w:name="_GoBack"/>
      <w:bookmarkEnd w:id="7"/>
    </w:p>
    <w:p w14:paraId="60E48B2A" w14:textId="31B0DB7F" w:rsidR="006F77C4" w:rsidRPr="000C509D" w:rsidRDefault="006F77C4" w:rsidP="006F77C4">
      <w:pPr>
        <w:jc w:val="center"/>
        <w:rPr>
          <w:rFonts w:ascii="Times New Roman" w:hAnsi="Times New Roman" w:cs="Times New Roman"/>
        </w:rPr>
      </w:pP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t>_________________</w:t>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r>
      <w:r>
        <w:rPr>
          <w:rFonts w:ascii="Times New Roman" w:hAnsi="Times New Roman" w:cs="Times New Roman"/>
        </w:rPr>
        <w:softHyphen/>
        <w:t>__________________</w:t>
      </w:r>
    </w:p>
    <w:sectPr w:rsidR="006F77C4" w:rsidRPr="000C509D" w:rsidSect="00F40A52">
      <w:headerReference w:type="default" r:id="rId20"/>
      <w:pgSz w:w="16838" w:h="11906" w:orient="landscape" w:code="9"/>
      <w:pgMar w:top="170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1B58A" w14:textId="77777777" w:rsidR="00EE40A7" w:rsidRDefault="00EE40A7" w:rsidP="000C509D">
      <w:pPr>
        <w:spacing w:after="0" w:line="240" w:lineRule="auto"/>
      </w:pPr>
      <w:r>
        <w:separator/>
      </w:r>
    </w:p>
  </w:endnote>
  <w:endnote w:type="continuationSeparator" w:id="0">
    <w:p w14:paraId="28A58546" w14:textId="77777777" w:rsidR="00EE40A7" w:rsidRDefault="00EE40A7" w:rsidP="000C5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DC1B0" w14:textId="77777777" w:rsidR="00EE40A7" w:rsidRDefault="00EE40A7" w:rsidP="000C509D">
      <w:pPr>
        <w:spacing w:after="0" w:line="240" w:lineRule="auto"/>
      </w:pPr>
      <w:r>
        <w:separator/>
      </w:r>
    </w:p>
  </w:footnote>
  <w:footnote w:type="continuationSeparator" w:id="0">
    <w:p w14:paraId="5C441391" w14:textId="77777777" w:rsidR="00EE40A7" w:rsidRDefault="00EE40A7" w:rsidP="000C50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8910532"/>
      <w:docPartObj>
        <w:docPartGallery w:val="Page Numbers (Top of Page)"/>
        <w:docPartUnique/>
      </w:docPartObj>
    </w:sdtPr>
    <w:sdtEndPr/>
    <w:sdtContent>
      <w:p w14:paraId="1DEB90AD" w14:textId="1541C296" w:rsidR="00FA0821" w:rsidRDefault="00FA0821" w:rsidP="00403DD5">
        <w:pPr>
          <w:pStyle w:val="afa"/>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5B9E"/>
    <w:multiLevelType w:val="hybridMultilevel"/>
    <w:tmpl w:val="2E4ED2E4"/>
    <w:lvl w:ilvl="0" w:tplc="0422000F">
      <w:start w:val="1"/>
      <w:numFmt w:val="decimal"/>
      <w:lvlText w:val="%1."/>
      <w:lvlJc w:val="left"/>
      <w:pPr>
        <w:ind w:left="1033" w:hanging="360"/>
      </w:pPr>
    </w:lvl>
    <w:lvl w:ilvl="1" w:tplc="04220019" w:tentative="1">
      <w:start w:val="1"/>
      <w:numFmt w:val="lowerLetter"/>
      <w:lvlText w:val="%2."/>
      <w:lvlJc w:val="left"/>
      <w:pPr>
        <w:ind w:left="1753" w:hanging="360"/>
      </w:pPr>
    </w:lvl>
    <w:lvl w:ilvl="2" w:tplc="0422001B" w:tentative="1">
      <w:start w:val="1"/>
      <w:numFmt w:val="lowerRoman"/>
      <w:lvlText w:val="%3."/>
      <w:lvlJc w:val="right"/>
      <w:pPr>
        <w:ind w:left="2473" w:hanging="180"/>
      </w:pPr>
    </w:lvl>
    <w:lvl w:ilvl="3" w:tplc="0422000F" w:tentative="1">
      <w:start w:val="1"/>
      <w:numFmt w:val="decimal"/>
      <w:lvlText w:val="%4."/>
      <w:lvlJc w:val="left"/>
      <w:pPr>
        <w:ind w:left="3193" w:hanging="360"/>
      </w:pPr>
    </w:lvl>
    <w:lvl w:ilvl="4" w:tplc="04220019" w:tentative="1">
      <w:start w:val="1"/>
      <w:numFmt w:val="lowerLetter"/>
      <w:lvlText w:val="%5."/>
      <w:lvlJc w:val="left"/>
      <w:pPr>
        <w:ind w:left="3913" w:hanging="360"/>
      </w:pPr>
    </w:lvl>
    <w:lvl w:ilvl="5" w:tplc="0422001B" w:tentative="1">
      <w:start w:val="1"/>
      <w:numFmt w:val="lowerRoman"/>
      <w:lvlText w:val="%6."/>
      <w:lvlJc w:val="right"/>
      <w:pPr>
        <w:ind w:left="4633" w:hanging="180"/>
      </w:pPr>
    </w:lvl>
    <w:lvl w:ilvl="6" w:tplc="0422000F" w:tentative="1">
      <w:start w:val="1"/>
      <w:numFmt w:val="decimal"/>
      <w:lvlText w:val="%7."/>
      <w:lvlJc w:val="left"/>
      <w:pPr>
        <w:ind w:left="5353" w:hanging="360"/>
      </w:pPr>
    </w:lvl>
    <w:lvl w:ilvl="7" w:tplc="04220019" w:tentative="1">
      <w:start w:val="1"/>
      <w:numFmt w:val="lowerLetter"/>
      <w:lvlText w:val="%8."/>
      <w:lvlJc w:val="left"/>
      <w:pPr>
        <w:ind w:left="6073" w:hanging="360"/>
      </w:pPr>
    </w:lvl>
    <w:lvl w:ilvl="8" w:tplc="0422001B" w:tentative="1">
      <w:start w:val="1"/>
      <w:numFmt w:val="lowerRoman"/>
      <w:lvlText w:val="%9."/>
      <w:lvlJc w:val="right"/>
      <w:pPr>
        <w:ind w:left="6793" w:hanging="180"/>
      </w:pPr>
    </w:lvl>
  </w:abstractNum>
  <w:abstractNum w:abstractNumId="1" w15:restartNumberingAfterBreak="0">
    <w:nsid w:val="026F7F33"/>
    <w:multiLevelType w:val="hybridMultilevel"/>
    <w:tmpl w:val="3A843A90"/>
    <w:lvl w:ilvl="0" w:tplc="0422000F">
      <w:start w:val="1"/>
      <w:numFmt w:val="decimal"/>
      <w:lvlText w:val="%1."/>
      <w:lvlJc w:val="left"/>
      <w:pPr>
        <w:ind w:left="960" w:hanging="360"/>
      </w:pPr>
    </w:lvl>
    <w:lvl w:ilvl="1" w:tplc="04220019" w:tentative="1">
      <w:start w:val="1"/>
      <w:numFmt w:val="lowerLetter"/>
      <w:lvlText w:val="%2."/>
      <w:lvlJc w:val="left"/>
      <w:pPr>
        <w:ind w:left="1680" w:hanging="360"/>
      </w:pPr>
    </w:lvl>
    <w:lvl w:ilvl="2" w:tplc="0422001B" w:tentative="1">
      <w:start w:val="1"/>
      <w:numFmt w:val="lowerRoman"/>
      <w:lvlText w:val="%3."/>
      <w:lvlJc w:val="right"/>
      <w:pPr>
        <w:ind w:left="2400" w:hanging="180"/>
      </w:pPr>
    </w:lvl>
    <w:lvl w:ilvl="3" w:tplc="0422000F" w:tentative="1">
      <w:start w:val="1"/>
      <w:numFmt w:val="decimal"/>
      <w:lvlText w:val="%4."/>
      <w:lvlJc w:val="left"/>
      <w:pPr>
        <w:ind w:left="3120" w:hanging="360"/>
      </w:pPr>
    </w:lvl>
    <w:lvl w:ilvl="4" w:tplc="04220019" w:tentative="1">
      <w:start w:val="1"/>
      <w:numFmt w:val="lowerLetter"/>
      <w:lvlText w:val="%5."/>
      <w:lvlJc w:val="left"/>
      <w:pPr>
        <w:ind w:left="3840" w:hanging="360"/>
      </w:pPr>
    </w:lvl>
    <w:lvl w:ilvl="5" w:tplc="0422001B" w:tentative="1">
      <w:start w:val="1"/>
      <w:numFmt w:val="lowerRoman"/>
      <w:lvlText w:val="%6."/>
      <w:lvlJc w:val="right"/>
      <w:pPr>
        <w:ind w:left="4560" w:hanging="180"/>
      </w:pPr>
    </w:lvl>
    <w:lvl w:ilvl="6" w:tplc="0422000F" w:tentative="1">
      <w:start w:val="1"/>
      <w:numFmt w:val="decimal"/>
      <w:lvlText w:val="%7."/>
      <w:lvlJc w:val="left"/>
      <w:pPr>
        <w:ind w:left="5280" w:hanging="360"/>
      </w:pPr>
    </w:lvl>
    <w:lvl w:ilvl="7" w:tplc="04220019" w:tentative="1">
      <w:start w:val="1"/>
      <w:numFmt w:val="lowerLetter"/>
      <w:lvlText w:val="%8."/>
      <w:lvlJc w:val="left"/>
      <w:pPr>
        <w:ind w:left="6000" w:hanging="360"/>
      </w:pPr>
    </w:lvl>
    <w:lvl w:ilvl="8" w:tplc="0422001B" w:tentative="1">
      <w:start w:val="1"/>
      <w:numFmt w:val="lowerRoman"/>
      <w:lvlText w:val="%9."/>
      <w:lvlJc w:val="right"/>
      <w:pPr>
        <w:ind w:left="6720" w:hanging="180"/>
      </w:pPr>
    </w:lvl>
  </w:abstractNum>
  <w:abstractNum w:abstractNumId="2" w15:restartNumberingAfterBreak="0">
    <w:nsid w:val="028C5BD3"/>
    <w:multiLevelType w:val="hybridMultilevel"/>
    <w:tmpl w:val="8C88DA14"/>
    <w:lvl w:ilvl="0" w:tplc="FD52C8E4">
      <w:start w:val="5"/>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34862A2"/>
    <w:multiLevelType w:val="multilevel"/>
    <w:tmpl w:val="7A30D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452DE4"/>
    <w:multiLevelType w:val="multilevel"/>
    <w:tmpl w:val="69FAF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5E6FB8"/>
    <w:multiLevelType w:val="hybridMultilevel"/>
    <w:tmpl w:val="DDCEB4E4"/>
    <w:lvl w:ilvl="0" w:tplc="ED0CAE28">
      <w:start w:val="1"/>
      <w:numFmt w:val="decimal"/>
      <w:lvlText w:val="%1)"/>
      <w:lvlJc w:val="left"/>
      <w:pPr>
        <w:ind w:left="600" w:hanging="360"/>
      </w:pPr>
      <w:rPr>
        <w:rFonts w:hint="default"/>
      </w:rPr>
    </w:lvl>
    <w:lvl w:ilvl="1" w:tplc="04220019" w:tentative="1">
      <w:start w:val="1"/>
      <w:numFmt w:val="lowerLetter"/>
      <w:lvlText w:val="%2."/>
      <w:lvlJc w:val="left"/>
      <w:pPr>
        <w:ind w:left="1320" w:hanging="360"/>
      </w:pPr>
    </w:lvl>
    <w:lvl w:ilvl="2" w:tplc="0422001B" w:tentative="1">
      <w:start w:val="1"/>
      <w:numFmt w:val="lowerRoman"/>
      <w:lvlText w:val="%3."/>
      <w:lvlJc w:val="right"/>
      <w:pPr>
        <w:ind w:left="2040" w:hanging="180"/>
      </w:pPr>
    </w:lvl>
    <w:lvl w:ilvl="3" w:tplc="0422000F" w:tentative="1">
      <w:start w:val="1"/>
      <w:numFmt w:val="decimal"/>
      <w:lvlText w:val="%4."/>
      <w:lvlJc w:val="left"/>
      <w:pPr>
        <w:ind w:left="2760" w:hanging="360"/>
      </w:pPr>
    </w:lvl>
    <w:lvl w:ilvl="4" w:tplc="04220019" w:tentative="1">
      <w:start w:val="1"/>
      <w:numFmt w:val="lowerLetter"/>
      <w:lvlText w:val="%5."/>
      <w:lvlJc w:val="left"/>
      <w:pPr>
        <w:ind w:left="3480" w:hanging="360"/>
      </w:pPr>
    </w:lvl>
    <w:lvl w:ilvl="5" w:tplc="0422001B" w:tentative="1">
      <w:start w:val="1"/>
      <w:numFmt w:val="lowerRoman"/>
      <w:lvlText w:val="%6."/>
      <w:lvlJc w:val="right"/>
      <w:pPr>
        <w:ind w:left="4200" w:hanging="180"/>
      </w:pPr>
    </w:lvl>
    <w:lvl w:ilvl="6" w:tplc="0422000F" w:tentative="1">
      <w:start w:val="1"/>
      <w:numFmt w:val="decimal"/>
      <w:lvlText w:val="%7."/>
      <w:lvlJc w:val="left"/>
      <w:pPr>
        <w:ind w:left="4920" w:hanging="360"/>
      </w:pPr>
    </w:lvl>
    <w:lvl w:ilvl="7" w:tplc="04220019" w:tentative="1">
      <w:start w:val="1"/>
      <w:numFmt w:val="lowerLetter"/>
      <w:lvlText w:val="%8."/>
      <w:lvlJc w:val="left"/>
      <w:pPr>
        <w:ind w:left="5640" w:hanging="360"/>
      </w:pPr>
    </w:lvl>
    <w:lvl w:ilvl="8" w:tplc="0422001B" w:tentative="1">
      <w:start w:val="1"/>
      <w:numFmt w:val="lowerRoman"/>
      <w:lvlText w:val="%9."/>
      <w:lvlJc w:val="right"/>
      <w:pPr>
        <w:ind w:left="6360" w:hanging="180"/>
      </w:pPr>
    </w:lvl>
  </w:abstractNum>
  <w:abstractNum w:abstractNumId="6" w15:restartNumberingAfterBreak="0">
    <w:nsid w:val="4BD90011"/>
    <w:multiLevelType w:val="hybridMultilevel"/>
    <w:tmpl w:val="73AE61D6"/>
    <w:lvl w:ilvl="0" w:tplc="F98C2B0A">
      <w:start w:val="1"/>
      <w:numFmt w:val="decimal"/>
      <w:lvlText w:val="%1)"/>
      <w:lvlJc w:val="left"/>
      <w:pPr>
        <w:ind w:left="600" w:hanging="360"/>
      </w:pPr>
      <w:rPr>
        <w:rFonts w:hint="default"/>
      </w:rPr>
    </w:lvl>
    <w:lvl w:ilvl="1" w:tplc="04220019" w:tentative="1">
      <w:start w:val="1"/>
      <w:numFmt w:val="lowerLetter"/>
      <w:lvlText w:val="%2."/>
      <w:lvlJc w:val="left"/>
      <w:pPr>
        <w:ind w:left="1320" w:hanging="360"/>
      </w:pPr>
    </w:lvl>
    <w:lvl w:ilvl="2" w:tplc="0422001B" w:tentative="1">
      <w:start w:val="1"/>
      <w:numFmt w:val="lowerRoman"/>
      <w:lvlText w:val="%3."/>
      <w:lvlJc w:val="right"/>
      <w:pPr>
        <w:ind w:left="2040" w:hanging="180"/>
      </w:pPr>
    </w:lvl>
    <w:lvl w:ilvl="3" w:tplc="0422000F" w:tentative="1">
      <w:start w:val="1"/>
      <w:numFmt w:val="decimal"/>
      <w:lvlText w:val="%4."/>
      <w:lvlJc w:val="left"/>
      <w:pPr>
        <w:ind w:left="2760" w:hanging="360"/>
      </w:pPr>
    </w:lvl>
    <w:lvl w:ilvl="4" w:tplc="04220019" w:tentative="1">
      <w:start w:val="1"/>
      <w:numFmt w:val="lowerLetter"/>
      <w:lvlText w:val="%5."/>
      <w:lvlJc w:val="left"/>
      <w:pPr>
        <w:ind w:left="3480" w:hanging="360"/>
      </w:pPr>
    </w:lvl>
    <w:lvl w:ilvl="5" w:tplc="0422001B" w:tentative="1">
      <w:start w:val="1"/>
      <w:numFmt w:val="lowerRoman"/>
      <w:lvlText w:val="%6."/>
      <w:lvlJc w:val="right"/>
      <w:pPr>
        <w:ind w:left="4200" w:hanging="180"/>
      </w:pPr>
    </w:lvl>
    <w:lvl w:ilvl="6" w:tplc="0422000F" w:tentative="1">
      <w:start w:val="1"/>
      <w:numFmt w:val="decimal"/>
      <w:lvlText w:val="%7."/>
      <w:lvlJc w:val="left"/>
      <w:pPr>
        <w:ind w:left="4920" w:hanging="360"/>
      </w:pPr>
    </w:lvl>
    <w:lvl w:ilvl="7" w:tplc="04220019" w:tentative="1">
      <w:start w:val="1"/>
      <w:numFmt w:val="lowerLetter"/>
      <w:lvlText w:val="%8."/>
      <w:lvlJc w:val="left"/>
      <w:pPr>
        <w:ind w:left="5640" w:hanging="360"/>
      </w:pPr>
    </w:lvl>
    <w:lvl w:ilvl="8" w:tplc="0422001B" w:tentative="1">
      <w:start w:val="1"/>
      <w:numFmt w:val="lowerRoman"/>
      <w:lvlText w:val="%9."/>
      <w:lvlJc w:val="right"/>
      <w:pPr>
        <w:ind w:left="6360" w:hanging="180"/>
      </w:pPr>
    </w:lvl>
  </w:abstractNum>
  <w:abstractNum w:abstractNumId="7" w15:restartNumberingAfterBreak="0">
    <w:nsid w:val="57E70C2E"/>
    <w:multiLevelType w:val="hybridMultilevel"/>
    <w:tmpl w:val="25EE6FD6"/>
    <w:lvl w:ilvl="0" w:tplc="301C306C">
      <w:start w:val="1"/>
      <w:numFmt w:val="decimal"/>
      <w:lvlText w:val="%1)"/>
      <w:lvlJc w:val="left"/>
      <w:pPr>
        <w:ind w:left="600" w:hanging="360"/>
      </w:pPr>
      <w:rPr>
        <w:rFonts w:hint="default"/>
      </w:rPr>
    </w:lvl>
    <w:lvl w:ilvl="1" w:tplc="04220019" w:tentative="1">
      <w:start w:val="1"/>
      <w:numFmt w:val="lowerLetter"/>
      <w:lvlText w:val="%2."/>
      <w:lvlJc w:val="left"/>
      <w:pPr>
        <w:ind w:left="1320" w:hanging="360"/>
      </w:pPr>
    </w:lvl>
    <w:lvl w:ilvl="2" w:tplc="0422001B" w:tentative="1">
      <w:start w:val="1"/>
      <w:numFmt w:val="lowerRoman"/>
      <w:lvlText w:val="%3."/>
      <w:lvlJc w:val="right"/>
      <w:pPr>
        <w:ind w:left="2040" w:hanging="180"/>
      </w:pPr>
    </w:lvl>
    <w:lvl w:ilvl="3" w:tplc="0422000F" w:tentative="1">
      <w:start w:val="1"/>
      <w:numFmt w:val="decimal"/>
      <w:lvlText w:val="%4."/>
      <w:lvlJc w:val="left"/>
      <w:pPr>
        <w:ind w:left="2760" w:hanging="360"/>
      </w:pPr>
    </w:lvl>
    <w:lvl w:ilvl="4" w:tplc="04220019" w:tentative="1">
      <w:start w:val="1"/>
      <w:numFmt w:val="lowerLetter"/>
      <w:lvlText w:val="%5."/>
      <w:lvlJc w:val="left"/>
      <w:pPr>
        <w:ind w:left="3480" w:hanging="360"/>
      </w:pPr>
    </w:lvl>
    <w:lvl w:ilvl="5" w:tplc="0422001B" w:tentative="1">
      <w:start w:val="1"/>
      <w:numFmt w:val="lowerRoman"/>
      <w:lvlText w:val="%6."/>
      <w:lvlJc w:val="right"/>
      <w:pPr>
        <w:ind w:left="4200" w:hanging="180"/>
      </w:pPr>
    </w:lvl>
    <w:lvl w:ilvl="6" w:tplc="0422000F" w:tentative="1">
      <w:start w:val="1"/>
      <w:numFmt w:val="decimal"/>
      <w:lvlText w:val="%7."/>
      <w:lvlJc w:val="left"/>
      <w:pPr>
        <w:ind w:left="4920" w:hanging="360"/>
      </w:pPr>
    </w:lvl>
    <w:lvl w:ilvl="7" w:tplc="04220019" w:tentative="1">
      <w:start w:val="1"/>
      <w:numFmt w:val="lowerLetter"/>
      <w:lvlText w:val="%8."/>
      <w:lvlJc w:val="left"/>
      <w:pPr>
        <w:ind w:left="5640" w:hanging="360"/>
      </w:pPr>
    </w:lvl>
    <w:lvl w:ilvl="8" w:tplc="0422001B" w:tentative="1">
      <w:start w:val="1"/>
      <w:numFmt w:val="lowerRoman"/>
      <w:lvlText w:val="%9."/>
      <w:lvlJc w:val="right"/>
      <w:pPr>
        <w:ind w:left="6360" w:hanging="180"/>
      </w:pPr>
    </w:lvl>
  </w:abstractNum>
  <w:num w:numId="1">
    <w:abstractNumId w:val="2"/>
  </w:num>
  <w:num w:numId="2">
    <w:abstractNumId w:val="4"/>
  </w:num>
  <w:num w:numId="3">
    <w:abstractNumId w:val="3"/>
  </w:num>
  <w:num w:numId="4">
    <w:abstractNumId w:val="5"/>
  </w:num>
  <w:num w:numId="5">
    <w:abstractNumId w:val="6"/>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2C"/>
    <w:rsid w:val="00000E94"/>
    <w:rsid w:val="000109A5"/>
    <w:rsid w:val="00011E05"/>
    <w:rsid w:val="00016CB0"/>
    <w:rsid w:val="00022139"/>
    <w:rsid w:val="000256C3"/>
    <w:rsid w:val="00027301"/>
    <w:rsid w:val="00027ACD"/>
    <w:rsid w:val="00031736"/>
    <w:rsid w:val="000319DE"/>
    <w:rsid w:val="0003333A"/>
    <w:rsid w:val="00035DEB"/>
    <w:rsid w:val="000362F9"/>
    <w:rsid w:val="00037338"/>
    <w:rsid w:val="00041376"/>
    <w:rsid w:val="00046322"/>
    <w:rsid w:val="00053265"/>
    <w:rsid w:val="00053693"/>
    <w:rsid w:val="00056E51"/>
    <w:rsid w:val="000612E2"/>
    <w:rsid w:val="00063E95"/>
    <w:rsid w:val="00073C1A"/>
    <w:rsid w:val="00073DE1"/>
    <w:rsid w:val="00076702"/>
    <w:rsid w:val="00084138"/>
    <w:rsid w:val="000A748B"/>
    <w:rsid w:val="000B2E8D"/>
    <w:rsid w:val="000C3A7F"/>
    <w:rsid w:val="000C509D"/>
    <w:rsid w:val="000D78F9"/>
    <w:rsid w:val="000E5CF4"/>
    <w:rsid w:val="000F0C4E"/>
    <w:rsid w:val="000F24D7"/>
    <w:rsid w:val="000F4B84"/>
    <w:rsid w:val="000F6C55"/>
    <w:rsid w:val="00103B50"/>
    <w:rsid w:val="00112B5C"/>
    <w:rsid w:val="0012590F"/>
    <w:rsid w:val="00127036"/>
    <w:rsid w:val="00144791"/>
    <w:rsid w:val="0015207C"/>
    <w:rsid w:val="00161FD2"/>
    <w:rsid w:val="001651C7"/>
    <w:rsid w:val="00167FC8"/>
    <w:rsid w:val="001877A8"/>
    <w:rsid w:val="00194527"/>
    <w:rsid w:val="001A077B"/>
    <w:rsid w:val="001A5D1B"/>
    <w:rsid w:val="001B791F"/>
    <w:rsid w:val="001E5675"/>
    <w:rsid w:val="001E6798"/>
    <w:rsid w:val="001F08A4"/>
    <w:rsid w:val="00200D25"/>
    <w:rsid w:val="0020798C"/>
    <w:rsid w:val="00211EA9"/>
    <w:rsid w:val="002151C6"/>
    <w:rsid w:val="00223E37"/>
    <w:rsid w:val="00224984"/>
    <w:rsid w:val="0022552F"/>
    <w:rsid w:val="00227137"/>
    <w:rsid w:val="00234D33"/>
    <w:rsid w:val="0025714C"/>
    <w:rsid w:val="002602E6"/>
    <w:rsid w:val="00264DF7"/>
    <w:rsid w:val="0026799D"/>
    <w:rsid w:val="002720AD"/>
    <w:rsid w:val="002745C5"/>
    <w:rsid w:val="00282A54"/>
    <w:rsid w:val="002A10AD"/>
    <w:rsid w:val="002A3995"/>
    <w:rsid w:val="002A4E0D"/>
    <w:rsid w:val="002A64DE"/>
    <w:rsid w:val="002B1C36"/>
    <w:rsid w:val="002B5B89"/>
    <w:rsid w:val="002C3A7E"/>
    <w:rsid w:val="002C51C3"/>
    <w:rsid w:val="002D0452"/>
    <w:rsid w:val="002D2DCE"/>
    <w:rsid w:val="002D6B62"/>
    <w:rsid w:val="002E3192"/>
    <w:rsid w:val="00306652"/>
    <w:rsid w:val="003228A0"/>
    <w:rsid w:val="00322D26"/>
    <w:rsid w:val="00327DCD"/>
    <w:rsid w:val="00333A94"/>
    <w:rsid w:val="00333DD0"/>
    <w:rsid w:val="00333F51"/>
    <w:rsid w:val="0033411B"/>
    <w:rsid w:val="00337BDB"/>
    <w:rsid w:val="00337C39"/>
    <w:rsid w:val="00340556"/>
    <w:rsid w:val="00347752"/>
    <w:rsid w:val="00365A7E"/>
    <w:rsid w:val="00376FB8"/>
    <w:rsid w:val="0038425B"/>
    <w:rsid w:val="003847B7"/>
    <w:rsid w:val="003868C4"/>
    <w:rsid w:val="00391FAD"/>
    <w:rsid w:val="00397588"/>
    <w:rsid w:val="00397FD0"/>
    <w:rsid w:val="003A063E"/>
    <w:rsid w:val="003A2E2E"/>
    <w:rsid w:val="003A4423"/>
    <w:rsid w:val="003A52A2"/>
    <w:rsid w:val="003B2BFE"/>
    <w:rsid w:val="003B73D7"/>
    <w:rsid w:val="003F1B3E"/>
    <w:rsid w:val="00402D67"/>
    <w:rsid w:val="00403DD5"/>
    <w:rsid w:val="004277DE"/>
    <w:rsid w:val="0044535B"/>
    <w:rsid w:val="00446E33"/>
    <w:rsid w:val="004473AF"/>
    <w:rsid w:val="00455DCD"/>
    <w:rsid w:val="00464DF3"/>
    <w:rsid w:val="00471AFA"/>
    <w:rsid w:val="00472E3D"/>
    <w:rsid w:val="00474D28"/>
    <w:rsid w:val="00475F5F"/>
    <w:rsid w:val="00486C14"/>
    <w:rsid w:val="004A0957"/>
    <w:rsid w:val="004B3B23"/>
    <w:rsid w:val="004B541F"/>
    <w:rsid w:val="004C11CD"/>
    <w:rsid w:val="004C7C21"/>
    <w:rsid w:val="004D4648"/>
    <w:rsid w:val="004D4B62"/>
    <w:rsid w:val="004D5022"/>
    <w:rsid w:val="004D57DB"/>
    <w:rsid w:val="004E3E5D"/>
    <w:rsid w:val="004E4065"/>
    <w:rsid w:val="004E73BF"/>
    <w:rsid w:val="004F7E44"/>
    <w:rsid w:val="005040B2"/>
    <w:rsid w:val="00505B15"/>
    <w:rsid w:val="00511B2F"/>
    <w:rsid w:val="00521A81"/>
    <w:rsid w:val="00531664"/>
    <w:rsid w:val="005319F7"/>
    <w:rsid w:val="00532D4E"/>
    <w:rsid w:val="005331E9"/>
    <w:rsid w:val="00543183"/>
    <w:rsid w:val="005511D9"/>
    <w:rsid w:val="00556E8E"/>
    <w:rsid w:val="00565FFF"/>
    <w:rsid w:val="00575590"/>
    <w:rsid w:val="00584432"/>
    <w:rsid w:val="00591F48"/>
    <w:rsid w:val="005A023B"/>
    <w:rsid w:val="005A79E9"/>
    <w:rsid w:val="005C448D"/>
    <w:rsid w:val="005D0060"/>
    <w:rsid w:val="005D06B2"/>
    <w:rsid w:val="005D2E13"/>
    <w:rsid w:val="005D7360"/>
    <w:rsid w:val="005F2E4D"/>
    <w:rsid w:val="00600432"/>
    <w:rsid w:val="006075AC"/>
    <w:rsid w:val="006103A0"/>
    <w:rsid w:val="00625105"/>
    <w:rsid w:val="006318DC"/>
    <w:rsid w:val="0064379B"/>
    <w:rsid w:val="0065557D"/>
    <w:rsid w:val="00667F43"/>
    <w:rsid w:val="0069626B"/>
    <w:rsid w:val="006D053D"/>
    <w:rsid w:val="006E3DFC"/>
    <w:rsid w:val="006E7DAE"/>
    <w:rsid w:val="006E7FA4"/>
    <w:rsid w:val="006F37E6"/>
    <w:rsid w:val="006F77C4"/>
    <w:rsid w:val="00701BA9"/>
    <w:rsid w:val="00704A67"/>
    <w:rsid w:val="0071117C"/>
    <w:rsid w:val="00721AF7"/>
    <w:rsid w:val="00723453"/>
    <w:rsid w:val="007243A1"/>
    <w:rsid w:val="00724CCC"/>
    <w:rsid w:val="00750356"/>
    <w:rsid w:val="0076605F"/>
    <w:rsid w:val="00772D9F"/>
    <w:rsid w:val="00777D2B"/>
    <w:rsid w:val="00785AB1"/>
    <w:rsid w:val="00785CA0"/>
    <w:rsid w:val="00786A46"/>
    <w:rsid w:val="007A0382"/>
    <w:rsid w:val="007A0EB8"/>
    <w:rsid w:val="007A35C9"/>
    <w:rsid w:val="007A6B1D"/>
    <w:rsid w:val="007D78F4"/>
    <w:rsid w:val="007F337D"/>
    <w:rsid w:val="008270D4"/>
    <w:rsid w:val="00830685"/>
    <w:rsid w:val="008444DC"/>
    <w:rsid w:val="008518EC"/>
    <w:rsid w:val="00863BF5"/>
    <w:rsid w:val="00863E30"/>
    <w:rsid w:val="00871FC9"/>
    <w:rsid w:val="008762D8"/>
    <w:rsid w:val="00891913"/>
    <w:rsid w:val="00892A99"/>
    <w:rsid w:val="008C3D5B"/>
    <w:rsid w:val="008D02B5"/>
    <w:rsid w:val="008F79B1"/>
    <w:rsid w:val="00900242"/>
    <w:rsid w:val="00902C48"/>
    <w:rsid w:val="00936E2C"/>
    <w:rsid w:val="00936FDF"/>
    <w:rsid w:val="00943637"/>
    <w:rsid w:val="00961548"/>
    <w:rsid w:val="009709FA"/>
    <w:rsid w:val="00981F49"/>
    <w:rsid w:val="00992961"/>
    <w:rsid w:val="00993334"/>
    <w:rsid w:val="0099531B"/>
    <w:rsid w:val="009A1C7D"/>
    <w:rsid w:val="009B3F7B"/>
    <w:rsid w:val="009B5032"/>
    <w:rsid w:val="009B70B4"/>
    <w:rsid w:val="009D6B8A"/>
    <w:rsid w:val="009E2B9E"/>
    <w:rsid w:val="009F6D88"/>
    <w:rsid w:val="00A02646"/>
    <w:rsid w:val="00A16853"/>
    <w:rsid w:val="00A20D5C"/>
    <w:rsid w:val="00A2477A"/>
    <w:rsid w:val="00A426F7"/>
    <w:rsid w:val="00A50591"/>
    <w:rsid w:val="00A535F6"/>
    <w:rsid w:val="00A66686"/>
    <w:rsid w:val="00A66BAD"/>
    <w:rsid w:val="00A67EDF"/>
    <w:rsid w:val="00A701FF"/>
    <w:rsid w:val="00A87394"/>
    <w:rsid w:val="00A91E1C"/>
    <w:rsid w:val="00A928B2"/>
    <w:rsid w:val="00AA1883"/>
    <w:rsid w:val="00AA4CC9"/>
    <w:rsid w:val="00AC290E"/>
    <w:rsid w:val="00AD3A7F"/>
    <w:rsid w:val="00AD5625"/>
    <w:rsid w:val="00AD7C6D"/>
    <w:rsid w:val="00AE639D"/>
    <w:rsid w:val="00AF085A"/>
    <w:rsid w:val="00AF106F"/>
    <w:rsid w:val="00B024DA"/>
    <w:rsid w:val="00B032C8"/>
    <w:rsid w:val="00B130E1"/>
    <w:rsid w:val="00B17146"/>
    <w:rsid w:val="00B222F8"/>
    <w:rsid w:val="00B364EA"/>
    <w:rsid w:val="00B5369E"/>
    <w:rsid w:val="00B70316"/>
    <w:rsid w:val="00B71482"/>
    <w:rsid w:val="00B71F72"/>
    <w:rsid w:val="00B72242"/>
    <w:rsid w:val="00B73D58"/>
    <w:rsid w:val="00B74F02"/>
    <w:rsid w:val="00B8376A"/>
    <w:rsid w:val="00BA302B"/>
    <w:rsid w:val="00BA3BDF"/>
    <w:rsid w:val="00BA4B46"/>
    <w:rsid w:val="00BB1D73"/>
    <w:rsid w:val="00BC0F06"/>
    <w:rsid w:val="00BC6A39"/>
    <w:rsid w:val="00BD0CE1"/>
    <w:rsid w:val="00BD2502"/>
    <w:rsid w:val="00BE339D"/>
    <w:rsid w:val="00BE776E"/>
    <w:rsid w:val="00BF0CF1"/>
    <w:rsid w:val="00BF1B3E"/>
    <w:rsid w:val="00BF60D9"/>
    <w:rsid w:val="00C047B3"/>
    <w:rsid w:val="00C12257"/>
    <w:rsid w:val="00C13CC9"/>
    <w:rsid w:val="00C226A5"/>
    <w:rsid w:val="00C31121"/>
    <w:rsid w:val="00C32E03"/>
    <w:rsid w:val="00C33537"/>
    <w:rsid w:val="00C4257E"/>
    <w:rsid w:val="00C442AB"/>
    <w:rsid w:val="00C53FB8"/>
    <w:rsid w:val="00C55714"/>
    <w:rsid w:val="00C740C5"/>
    <w:rsid w:val="00C751AE"/>
    <w:rsid w:val="00C7535E"/>
    <w:rsid w:val="00C80C44"/>
    <w:rsid w:val="00C8569B"/>
    <w:rsid w:val="00CA0E7B"/>
    <w:rsid w:val="00CB007B"/>
    <w:rsid w:val="00CB6D19"/>
    <w:rsid w:val="00CC241A"/>
    <w:rsid w:val="00CC3FF1"/>
    <w:rsid w:val="00CE0200"/>
    <w:rsid w:val="00CE1ADC"/>
    <w:rsid w:val="00CE2D4A"/>
    <w:rsid w:val="00CE445F"/>
    <w:rsid w:val="00CE64B5"/>
    <w:rsid w:val="00CF110B"/>
    <w:rsid w:val="00CF4DF5"/>
    <w:rsid w:val="00CF66C4"/>
    <w:rsid w:val="00D02DF9"/>
    <w:rsid w:val="00D02E21"/>
    <w:rsid w:val="00D20CD3"/>
    <w:rsid w:val="00D248AC"/>
    <w:rsid w:val="00D27584"/>
    <w:rsid w:val="00D3223A"/>
    <w:rsid w:val="00D322E1"/>
    <w:rsid w:val="00D34129"/>
    <w:rsid w:val="00D554EF"/>
    <w:rsid w:val="00D5755F"/>
    <w:rsid w:val="00D70DE4"/>
    <w:rsid w:val="00D73808"/>
    <w:rsid w:val="00D8685B"/>
    <w:rsid w:val="00D9266E"/>
    <w:rsid w:val="00D951FB"/>
    <w:rsid w:val="00DA2570"/>
    <w:rsid w:val="00DA5367"/>
    <w:rsid w:val="00DA6E4A"/>
    <w:rsid w:val="00DB3BDB"/>
    <w:rsid w:val="00DD2526"/>
    <w:rsid w:val="00DD4BAB"/>
    <w:rsid w:val="00DE036D"/>
    <w:rsid w:val="00DE0F20"/>
    <w:rsid w:val="00DF1931"/>
    <w:rsid w:val="00DF3536"/>
    <w:rsid w:val="00E02EE1"/>
    <w:rsid w:val="00E0302E"/>
    <w:rsid w:val="00E04650"/>
    <w:rsid w:val="00E17652"/>
    <w:rsid w:val="00E3405C"/>
    <w:rsid w:val="00E41B6A"/>
    <w:rsid w:val="00E44A06"/>
    <w:rsid w:val="00E504BC"/>
    <w:rsid w:val="00E504E4"/>
    <w:rsid w:val="00E50FD7"/>
    <w:rsid w:val="00E5254B"/>
    <w:rsid w:val="00E57FD0"/>
    <w:rsid w:val="00E60B82"/>
    <w:rsid w:val="00E72267"/>
    <w:rsid w:val="00E74755"/>
    <w:rsid w:val="00E753CE"/>
    <w:rsid w:val="00E806C5"/>
    <w:rsid w:val="00E80D8A"/>
    <w:rsid w:val="00E915EB"/>
    <w:rsid w:val="00EA1151"/>
    <w:rsid w:val="00EA2959"/>
    <w:rsid w:val="00EA3234"/>
    <w:rsid w:val="00EA6C53"/>
    <w:rsid w:val="00EB3745"/>
    <w:rsid w:val="00EC76EA"/>
    <w:rsid w:val="00ED319B"/>
    <w:rsid w:val="00ED4491"/>
    <w:rsid w:val="00ED72CD"/>
    <w:rsid w:val="00EE045C"/>
    <w:rsid w:val="00EE40A7"/>
    <w:rsid w:val="00EE74F7"/>
    <w:rsid w:val="00EF30E3"/>
    <w:rsid w:val="00F00CD4"/>
    <w:rsid w:val="00F169B0"/>
    <w:rsid w:val="00F262D0"/>
    <w:rsid w:val="00F40A52"/>
    <w:rsid w:val="00F452DE"/>
    <w:rsid w:val="00F45B21"/>
    <w:rsid w:val="00F5085E"/>
    <w:rsid w:val="00F50A6F"/>
    <w:rsid w:val="00F57688"/>
    <w:rsid w:val="00F6083E"/>
    <w:rsid w:val="00F60902"/>
    <w:rsid w:val="00F81B35"/>
    <w:rsid w:val="00F94330"/>
    <w:rsid w:val="00FA0821"/>
    <w:rsid w:val="00FB34CF"/>
    <w:rsid w:val="00FB7F4B"/>
    <w:rsid w:val="00FC1C0B"/>
    <w:rsid w:val="00FC3296"/>
    <w:rsid w:val="00FF4A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9CA72"/>
  <w15:chartTrackingRefBased/>
  <w15:docId w15:val="{A08EE1D9-9B8C-4A2F-B54A-CF7B128A0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257E"/>
    <w:pPr>
      <w:spacing w:after="200" w:line="276" w:lineRule="auto"/>
    </w:pPr>
    <w:rPr>
      <w:kern w:val="0"/>
    </w:rPr>
  </w:style>
  <w:style w:type="paragraph" w:styleId="1">
    <w:name w:val="heading 1"/>
    <w:basedOn w:val="a"/>
    <w:next w:val="a"/>
    <w:link w:val="10"/>
    <w:uiPriority w:val="9"/>
    <w:qFormat/>
    <w:rsid w:val="00936E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36E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936E2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36E2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36E2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36E2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36E2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36E2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36E2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6E2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36E2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936E2C"/>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36E2C"/>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36E2C"/>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36E2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36E2C"/>
    <w:rPr>
      <w:rFonts w:eastAsiaTheme="majorEastAsia" w:cstheme="majorBidi"/>
      <w:color w:val="595959" w:themeColor="text1" w:themeTint="A6"/>
    </w:rPr>
  </w:style>
  <w:style w:type="character" w:customStyle="1" w:styleId="80">
    <w:name w:val="Заголовок 8 Знак"/>
    <w:basedOn w:val="a0"/>
    <w:link w:val="8"/>
    <w:uiPriority w:val="9"/>
    <w:semiHidden/>
    <w:rsid w:val="00936E2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36E2C"/>
    <w:rPr>
      <w:rFonts w:eastAsiaTheme="majorEastAsia" w:cstheme="majorBidi"/>
      <w:color w:val="272727" w:themeColor="text1" w:themeTint="D8"/>
    </w:rPr>
  </w:style>
  <w:style w:type="paragraph" w:styleId="a3">
    <w:name w:val="Title"/>
    <w:basedOn w:val="a"/>
    <w:next w:val="a"/>
    <w:link w:val="a4"/>
    <w:uiPriority w:val="10"/>
    <w:qFormat/>
    <w:rsid w:val="00936E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936E2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6E2C"/>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936E2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936E2C"/>
    <w:pPr>
      <w:spacing w:before="160"/>
      <w:jc w:val="center"/>
    </w:pPr>
    <w:rPr>
      <w:i/>
      <w:iCs/>
      <w:color w:val="404040" w:themeColor="text1" w:themeTint="BF"/>
    </w:rPr>
  </w:style>
  <w:style w:type="character" w:customStyle="1" w:styleId="a8">
    <w:name w:val="Цитата Знак"/>
    <w:basedOn w:val="a0"/>
    <w:link w:val="a7"/>
    <w:uiPriority w:val="29"/>
    <w:rsid w:val="00936E2C"/>
    <w:rPr>
      <w:i/>
      <w:iCs/>
      <w:color w:val="404040" w:themeColor="text1" w:themeTint="BF"/>
    </w:rPr>
  </w:style>
  <w:style w:type="paragraph" w:styleId="a9">
    <w:name w:val="List Paragraph"/>
    <w:basedOn w:val="a"/>
    <w:uiPriority w:val="1"/>
    <w:qFormat/>
    <w:rsid w:val="00936E2C"/>
    <w:pPr>
      <w:ind w:left="720"/>
      <w:contextualSpacing/>
    </w:pPr>
  </w:style>
  <w:style w:type="character" w:styleId="aa">
    <w:name w:val="Intense Emphasis"/>
    <w:basedOn w:val="a0"/>
    <w:uiPriority w:val="21"/>
    <w:qFormat/>
    <w:rsid w:val="00936E2C"/>
    <w:rPr>
      <w:i/>
      <w:iCs/>
      <w:color w:val="0F4761" w:themeColor="accent1" w:themeShade="BF"/>
    </w:rPr>
  </w:style>
  <w:style w:type="paragraph" w:styleId="ab">
    <w:name w:val="Intense Quote"/>
    <w:basedOn w:val="a"/>
    <w:next w:val="a"/>
    <w:link w:val="ac"/>
    <w:uiPriority w:val="30"/>
    <w:qFormat/>
    <w:rsid w:val="00936E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936E2C"/>
    <w:rPr>
      <w:i/>
      <w:iCs/>
      <w:color w:val="0F4761" w:themeColor="accent1" w:themeShade="BF"/>
    </w:rPr>
  </w:style>
  <w:style w:type="character" w:styleId="ad">
    <w:name w:val="Intense Reference"/>
    <w:basedOn w:val="a0"/>
    <w:uiPriority w:val="32"/>
    <w:qFormat/>
    <w:rsid w:val="00936E2C"/>
    <w:rPr>
      <w:b/>
      <w:bCs/>
      <w:smallCaps/>
      <w:color w:val="0F4761" w:themeColor="accent1" w:themeShade="BF"/>
      <w:spacing w:val="5"/>
    </w:rPr>
  </w:style>
  <w:style w:type="table" w:styleId="ae">
    <w:name w:val="Table Grid"/>
    <w:basedOn w:val="a1"/>
    <w:uiPriority w:val="39"/>
    <w:rsid w:val="00936E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936E2C"/>
    <w:rPr>
      <w:color w:val="467886" w:themeColor="hyperlink"/>
      <w:u w:val="single"/>
    </w:rPr>
  </w:style>
  <w:style w:type="character" w:styleId="af0">
    <w:name w:val="Unresolved Mention"/>
    <w:basedOn w:val="a0"/>
    <w:uiPriority w:val="99"/>
    <w:semiHidden/>
    <w:unhideWhenUsed/>
    <w:rsid w:val="00936E2C"/>
    <w:rPr>
      <w:color w:val="605E5C"/>
      <w:shd w:val="clear" w:color="auto" w:fill="E1DFDD"/>
    </w:rPr>
  </w:style>
  <w:style w:type="character" w:styleId="af1">
    <w:name w:val="annotation reference"/>
    <w:basedOn w:val="a0"/>
    <w:uiPriority w:val="99"/>
    <w:semiHidden/>
    <w:unhideWhenUsed/>
    <w:rsid w:val="00936E2C"/>
    <w:rPr>
      <w:sz w:val="16"/>
      <w:szCs w:val="16"/>
    </w:rPr>
  </w:style>
  <w:style w:type="paragraph" w:styleId="af2">
    <w:name w:val="annotation text"/>
    <w:basedOn w:val="a"/>
    <w:link w:val="af3"/>
    <w:uiPriority w:val="99"/>
    <w:unhideWhenUsed/>
    <w:rsid w:val="00936E2C"/>
    <w:pPr>
      <w:spacing w:line="240" w:lineRule="auto"/>
    </w:pPr>
    <w:rPr>
      <w:sz w:val="20"/>
      <w:szCs w:val="20"/>
    </w:rPr>
  </w:style>
  <w:style w:type="character" w:customStyle="1" w:styleId="af3">
    <w:name w:val="Текст примітки Знак"/>
    <w:basedOn w:val="a0"/>
    <w:link w:val="af2"/>
    <w:uiPriority w:val="99"/>
    <w:rsid w:val="00936E2C"/>
    <w:rPr>
      <w:kern w:val="0"/>
      <w:sz w:val="20"/>
      <w:szCs w:val="20"/>
    </w:rPr>
  </w:style>
  <w:style w:type="paragraph" w:styleId="af4">
    <w:name w:val="annotation subject"/>
    <w:basedOn w:val="af2"/>
    <w:next w:val="af2"/>
    <w:link w:val="af5"/>
    <w:uiPriority w:val="99"/>
    <w:semiHidden/>
    <w:unhideWhenUsed/>
    <w:rsid w:val="00936E2C"/>
    <w:rPr>
      <w:b/>
      <w:bCs/>
    </w:rPr>
  </w:style>
  <w:style w:type="character" w:customStyle="1" w:styleId="af5">
    <w:name w:val="Тема примітки Знак"/>
    <w:basedOn w:val="af3"/>
    <w:link w:val="af4"/>
    <w:uiPriority w:val="99"/>
    <w:semiHidden/>
    <w:rsid w:val="00936E2C"/>
    <w:rPr>
      <w:b/>
      <w:bCs/>
      <w:kern w:val="0"/>
      <w:sz w:val="20"/>
      <w:szCs w:val="20"/>
    </w:rPr>
  </w:style>
  <w:style w:type="paragraph" w:customStyle="1" w:styleId="TableParagraph">
    <w:name w:val="Table Paragraph"/>
    <w:basedOn w:val="a"/>
    <w:uiPriority w:val="1"/>
    <w:qFormat/>
    <w:rsid w:val="00397588"/>
    <w:pPr>
      <w:widowControl w:val="0"/>
      <w:autoSpaceDE w:val="0"/>
      <w:autoSpaceDN w:val="0"/>
      <w:spacing w:after="0" w:line="240" w:lineRule="auto"/>
    </w:pPr>
    <w:rPr>
      <w:rFonts w:ascii="Calibri" w:eastAsia="Calibri" w:hAnsi="Calibri" w:cs="Calibri"/>
      <w14:ligatures w14:val="none"/>
    </w:rPr>
  </w:style>
  <w:style w:type="paragraph" w:styleId="af6">
    <w:name w:val="Revision"/>
    <w:hidden/>
    <w:uiPriority w:val="99"/>
    <w:semiHidden/>
    <w:rsid w:val="00777D2B"/>
    <w:pPr>
      <w:spacing w:after="0" w:line="240" w:lineRule="auto"/>
    </w:pPr>
    <w:rPr>
      <w:kern w:val="0"/>
    </w:rPr>
  </w:style>
  <w:style w:type="character" w:styleId="af7">
    <w:name w:val="Placeholder Text"/>
    <w:basedOn w:val="a0"/>
    <w:uiPriority w:val="99"/>
    <w:semiHidden/>
    <w:rsid w:val="009B70B4"/>
    <w:rPr>
      <w:color w:val="666666"/>
    </w:rPr>
  </w:style>
  <w:style w:type="paragraph" w:styleId="af8">
    <w:name w:val="Balloon Text"/>
    <w:basedOn w:val="a"/>
    <w:link w:val="af9"/>
    <w:uiPriority w:val="99"/>
    <w:semiHidden/>
    <w:unhideWhenUsed/>
    <w:rsid w:val="00892A99"/>
    <w:pPr>
      <w:spacing w:after="0" w:line="240" w:lineRule="auto"/>
    </w:pPr>
    <w:rPr>
      <w:rFonts w:ascii="Segoe UI" w:hAnsi="Segoe UI" w:cs="Segoe UI"/>
      <w:sz w:val="18"/>
      <w:szCs w:val="18"/>
    </w:rPr>
  </w:style>
  <w:style w:type="character" w:customStyle="1" w:styleId="af9">
    <w:name w:val="Текст у виносці Знак"/>
    <w:basedOn w:val="a0"/>
    <w:link w:val="af8"/>
    <w:uiPriority w:val="99"/>
    <w:semiHidden/>
    <w:rsid w:val="00892A99"/>
    <w:rPr>
      <w:rFonts w:ascii="Segoe UI" w:hAnsi="Segoe UI" w:cs="Segoe UI"/>
      <w:kern w:val="0"/>
      <w:sz w:val="18"/>
      <w:szCs w:val="18"/>
    </w:rPr>
  </w:style>
  <w:style w:type="paragraph" w:styleId="afa">
    <w:name w:val="header"/>
    <w:basedOn w:val="a"/>
    <w:link w:val="afb"/>
    <w:uiPriority w:val="99"/>
    <w:unhideWhenUsed/>
    <w:rsid w:val="000C509D"/>
    <w:pPr>
      <w:tabs>
        <w:tab w:val="center" w:pos="4677"/>
        <w:tab w:val="right" w:pos="9355"/>
      </w:tabs>
      <w:spacing w:after="0" w:line="240" w:lineRule="auto"/>
    </w:pPr>
  </w:style>
  <w:style w:type="character" w:customStyle="1" w:styleId="afb">
    <w:name w:val="Верхній колонтитул Знак"/>
    <w:basedOn w:val="a0"/>
    <w:link w:val="afa"/>
    <w:uiPriority w:val="99"/>
    <w:rsid w:val="000C509D"/>
    <w:rPr>
      <w:kern w:val="0"/>
    </w:rPr>
  </w:style>
  <w:style w:type="paragraph" w:styleId="afc">
    <w:name w:val="footer"/>
    <w:basedOn w:val="a"/>
    <w:link w:val="afd"/>
    <w:uiPriority w:val="99"/>
    <w:unhideWhenUsed/>
    <w:rsid w:val="000C509D"/>
    <w:pPr>
      <w:tabs>
        <w:tab w:val="center" w:pos="4677"/>
        <w:tab w:val="right" w:pos="9355"/>
      </w:tabs>
      <w:spacing w:after="0" w:line="240" w:lineRule="auto"/>
    </w:pPr>
  </w:style>
  <w:style w:type="character" w:customStyle="1" w:styleId="afd">
    <w:name w:val="Нижній колонтитул Знак"/>
    <w:basedOn w:val="a0"/>
    <w:link w:val="afc"/>
    <w:uiPriority w:val="99"/>
    <w:rsid w:val="000C509D"/>
    <w:rPr>
      <w:kern w:val="0"/>
    </w:rPr>
  </w:style>
  <w:style w:type="paragraph" w:customStyle="1" w:styleId="tj">
    <w:name w:val="tj"/>
    <w:basedOn w:val="a"/>
    <w:rsid w:val="00A50591"/>
    <w:pPr>
      <w:spacing w:before="100" w:beforeAutospacing="1" w:after="100" w:afterAutospacing="1" w:line="240" w:lineRule="auto"/>
    </w:pPr>
    <w:rPr>
      <w:rFonts w:ascii="Times New Roman" w:eastAsia="Times New Roman" w:hAnsi="Times New Roman" w:cs="Times New Roman"/>
      <w:sz w:val="24"/>
      <w:szCs w:val="24"/>
      <w:lang w:eastAsia="uk-UA"/>
      <w14:ligatures w14:val="none"/>
    </w:rPr>
  </w:style>
  <w:style w:type="paragraph" w:customStyle="1" w:styleId="tr">
    <w:name w:val="tr"/>
    <w:basedOn w:val="a"/>
    <w:rsid w:val="00A50591"/>
    <w:pPr>
      <w:spacing w:before="100" w:beforeAutospacing="1" w:after="100" w:afterAutospacing="1" w:line="240" w:lineRule="auto"/>
    </w:pPr>
    <w:rPr>
      <w:rFonts w:ascii="Times New Roman" w:eastAsia="Times New Roman" w:hAnsi="Times New Roman" w:cs="Times New Roman"/>
      <w:sz w:val="24"/>
      <w:szCs w:val="24"/>
      <w:lang w:eastAsia="uk-UA"/>
      <w14:ligatures w14:val="none"/>
    </w:rPr>
  </w:style>
  <w:style w:type="paragraph" w:customStyle="1" w:styleId="tl">
    <w:name w:val="tl"/>
    <w:basedOn w:val="a"/>
    <w:rsid w:val="00CE445F"/>
    <w:pPr>
      <w:spacing w:before="100" w:beforeAutospacing="1" w:after="100" w:afterAutospacing="1" w:line="240" w:lineRule="auto"/>
    </w:pPr>
    <w:rPr>
      <w:rFonts w:ascii="Times New Roman" w:eastAsia="Times New Roman" w:hAnsi="Times New Roman" w:cs="Times New Roman"/>
      <w:sz w:val="24"/>
      <w:szCs w:val="24"/>
      <w:lang w:eastAsia="uk-UA"/>
      <w14:ligatures w14:val="none"/>
    </w:rPr>
  </w:style>
  <w:style w:type="character" w:customStyle="1" w:styleId="hard-blue-color">
    <w:name w:val="hard-blue-color"/>
    <w:basedOn w:val="a0"/>
    <w:rsid w:val="00CE4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8270">
      <w:bodyDiv w:val="1"/>
      <w:marLeft w:val="0"/>
      <w:marRight w:val="0"/>
      <w:marTop w:val="0"/>
      <w:marBottom w:val="0"/>
      <w:divBdr>
        <w:top w:val="none" w:sz="0" w:space="0" w:color="auto"/>
        <w:left w:val="none" w:sz="0" w:space="0" w:color="auto"/>
        <w:bottom w:val="none" w:sz="0" w:space="0" w:color="auto"/>
        <w:right w:val="none" w:sz="0" w:space="0" w:color="auto"/>
      </w:divBdr>
      <w:divsChild>
        <w:div w:id="1444811252">
          <w:marLeft w:val="0"/>
          <w:marRight w:val="0"/>
          <w:marTop w:val="0"/>
          <w:marBottom w:val="0"/>
          <w:divBdr>
            <w:top w:val="none" w:sz="0" w:space="0" w:color="auto"/>
            <w:left w:val="none" w:sz="0" w:space="0" w:color="auto"/>
            <w:bottom w:val="none" w:sz="0" w:space="0" w:color="auto"/>
            <w:right w:val="none" w:sz="0" w:space="0" w:color="auto"/>
          </w:divBdr>
        </w:div>
        <w:div w:id="1410345948">
          <w:marLeft w:val="0"/>
          <w:marRight w:val="0"/>
          <w:marTop w:val="0"/>
          <w:marBottom w:val="0"/>
          <w:divBdr>
            <w:top w:val="none" w:sz="0" w:space="0" w:color="auto"/>
            <w:left w:val="none" w:sz="0" w:space="0" w:color="auto"/>
            <w:bottom w:val="none" w:sz="0" w:space="0" w:color="auto"/>
            <w:right w:val="none" w:sz="0" w:space="0" w:color="auto"/>
          </w:divBdr>
        </w:div>
        <w:div w:id="1023628313">
          <w:marLeft w:val="0"/>
          <w:marRight w:val="0"/>
          <w:marTop w:val="0"/>
          <w:marBottom w:val="0"/>
          <w:divBdr>
            <w:top w:val="none" w:sz="0" w:space="0" w:color="auto"/>
            <w:left w:val="none" w:sz="0" w:space="0" w:color="auto"/>
            <w:bottom w:val="none" w:sz="0" w:space="0" w:color="auto"/>
            <w:right w:val="none" w:sz="0" w:space="0" w:color="auto"/>
          </w:divBdr>
        </w:div>
        <w:div w:id="1915384614">
          <w:marLeft w:val="0"/>
          <w:marRight w:val="0"/>
          <w:marTop w:val="0"/>
          <w:marBottom w:val="0"/>
          <w:divBdr>
            <w:top w:val="none" w:sz="0" w:space="0" w:color="auto"/>
            <w:left w:val="none" w:sz="0" w:space="0" w:color="auto"/>
            <w:bottom w:val="none" w:sz="0" w:space="0" w:color="auto"/>
            <w:right w:val="none" w:sz="0" w:space="0" w:color="auto"/>
          </w:divBdr>
        </w:div>
        <w:div w:id="826286433">
          <w:marLeft w:val="0"/>
          <w:marRight w:val="0"/>
          <w:marTop w:val="0"/>
          <w:marBottom w:val="0"/>
          <w:divBdr>
            <w:top w:val="none" w:sz="0" w:space="0" w:color="auto"/>
            <w:left w:val="none" w:sz="0" w:space="0" w:color="auto"/>
            <w:bottom w:val="none" w:sz="0" w:space="0" w:color="auto"/>
            <w:right w:val="none" w:sz="0" w:space="0" w:color="auto"/>
          </w:divBdr>
        </w:div>
        <w:div w:id="697001014">
          <w:marLeft w:val="0"/>
          <w:marRight w:val="0"/>
          <w:marTop w:val="0"/>
          <w:marBottom w:val="0"/>
          <w:divBdr>
            <w:top w:val="none" w:sz="0" w:space="0" w:color="auto"/>
            <w:left w:val="none" w:sz="0" w:space="0" w:color="auto"/>
            <w:bottom w:val="none" w:sz="0" w:space="0" w:color="auto"/>
            <w:right w:val="none" w:sz="0" w:space="0" w:color="auto"/>
          </w:divBdr>
        </w:div>
        <w:div w:id="929122693">
          <w:marLeft w:val="0"/>
          <w:marRight w:val="0"/>
          <w:marTop w:val="0"/>
          <w:marBottom w:val="0"/>
          <w:divBdr>
            <w:top w:val="none" w:sz="0" w:space="0" w:color="auto"/>
            <w:left w:val="none" w:sz="0" w:space="0" w:color="auto"/>
            <w:bottom w:val="none" w:sz="0" w:space="0" w:color="auto"/>
            <w:right w:val="none" w:sz="0" w:space="0" w:color="auto"/>
          </w:divBdr>
        </w:div>
        <w:div w:id="190000210">
          <w:marLeft w:val="0"/>
          <w:marRight w:val="0"/>
          <w:marTop w:val="0"/>
          <w:marBottom w:val="0"/>
          <w:divBdr>
            <w:top w:val="none" w:sz="0" w:space="0" w:color="auto"/>
            <w:left w:val="none" w:sz="0" w:space="0" w:color="auto"/>
            <w:bottom w:val="none" w:sz="0" w:space="0" w:color="auto"/>
            <w:right w:val="none" w:sz="0" w:space="0" w:color="auto"/>
          </w:divBdr>
        </w:div>
        <w:div w:id="982586655">
          <w:marLeft w:val="0"/>
          <w:marRight w:val="0"/>
          <w:marTop w:val="0"/>
          <w:marBottom w:val="0"/>
          <w:divBdr>
            <w:top w:val="none" w:sz="0" w:space="0" w:color="auto"/>
            <w:left w:val="none" w:sz="0" w:space="0" w:color="auto"/>
            <w:bottom w:val="none" w:sz="0" w:space="0" w:color="auto"/>
            <w:right w:val="none" w:sz="0" w:space="0" w:color="auto"/>
          </w:divBdr>
        </w:div>
        <w:div w:id="1128889435">
          <w:marLeft w:val="0"/>
          <w:marRight w:val="0"/>
          <w:marTop w:val="0"/>
          <w:marBottom w:val="0"/>
          <w:divBdr>
            <w:top w:val="none" w:sz="0" w:space="0" w:color="auto"/>
            <w:left w:val="none" w:sz="0" w:space="0" w:color="auto"/>
            <w:bottom w:val="none" w:sz="0" w:space="0" w:color="auto"/>
            <w:right w:val="none" w:sz="0" w:space="0" w:color="auto"/>
          </w:divBdr>
        </w:div>
        <w:div w:id="1438791312">
          <w:marLeft w:val="0"/>
          <w:marRight w:val="0"/>
          <w:marTop w:val="0"/>
          <w:marBottom w:val="0"/>
          <w:divBdr>
            <w:top w:val="none" w:sz="0" w:space="0" w:color="auto"/>
            <w:left w:val="none" w:sz="0" w:space="0" w:color="auto"/>
            <w:bottom w:val="none" w:sz="0" w:space="0" w:color="auto"/>
            <w:right w:val="none" w:sz="0" w:space="0" w:color="auto"/>
          </w:divBdr>
        </w:div>
        <w:div w:id="1148982641">
          <w:marLeft w:val="0"/>
          <w:marRight w:val="0"/>
          <w:marTop w:val="0"/>
          <w:marBottom w:val="0"/>
          <w:divBdr>
            <w:top w:val="none" w:sz="0" w:space="0" w:color="auto"/>
            <w:left w:val="none" w:sz="0" w:space="0" w:color="auto"/>
            <w:bottom w:val="none" w:sz="0" w:space="0" w:color="auto"/>
            <w:right w:val="none" w:sz="0" w:space="0" w:color="auto"/>
          </w:divBdr>
        </w:div>
        <w:div w:id="211624698">
          <w:marLeft w:val="0"/>
          <w:marRight w:val="0"/>
          <w:marTop w:val="0"/>
          <w:marBottom w:val="0"/>
          <w:divBdr>
            <w:top w:val="none" w:sz="0" w:space="0" w:color="auto"/>
            <w:left w:val="none" w:sz="0" w:space="0" w:color="auto"/>
            <w:bottom w:val="none" w:sz="0" w:space="0" w:color="auto"/>
            <w:right w:val="none" w:sz="0" w:space="0" w:color="auto"/>
          </w:divBdr>
        </w:div>
        <w:div w:id="991716995">
          <w:marLeft w:val="0"/>
          <w:marRight w:val="0"/>
          <w:marTop w:val="0"/>
          <w:marBottom w:val="0"/>
          <w:divBdr>
            <w:top w:val="none" w:sz="0" w:space="0" w:color="auto"/>
            <w:left w:val="none" w:sz="0" w:space="0" w:color="auto"/>
            <w:bottom w:val="none" w:sz="0" w:space="0" w:color="auto"/>
            <w:right w:val="none" w:sz="0" w:space="0" w:color="auto"/>
          </w:divBdr>
        </w:div>
        <w:div w:id="1665166497">
          <w:marLeft w:val="0"/>
          <w:marRight w:val="0"/>
          <w:marTop w:val="0"/>
          <w:marBottom w:val="0"/>
          <w:divBdr>
            <w:top w:val="none" w:sz="0" w:space="0" w:color="auto"/>
            <w:left w:val="none" w:sz="0" w:space="0" w:color="auto"/>
            <w:bottom w:val="none" w:sz="0" w:space="0" w:color="auto"/>
            <w:right w:val="none" w:sz="0" w:space="0" w:color="auto"/>
          </w:divBdr>
        </w:div>
        <w:div w:id="381367604">
          <w:marLeft w:val="0"/>
          <w:marRight w:val="0"/>
          <w:marTop w:val="0"/>
          <w:marBottom w:val="0"/>
          <w:divBdr>
            <w:top w:val="none" w:sz="0" w:space="0" w:color="auto"/>
            <w:left w:val="none" w:sz="0" w:space="0" w:color="auto"/>
            <w:bottom w:val="none" w:sz="0" w:space="0" w:color="auto"/>
            <w:right w:val="none" w:sz="0" w:space="0" w:color="auto"/>
          </w:divBdr>
        </w:div>
        <w:div w:id="840509092">
          <w:marLeft w:val="0"/>
          <w:marRight w:val="0"/>
          <w:marTop w:val="0"/>
          <w:marBottom w:val="0"/>
          <w:divBdr>
            <w:top w:val="none" w:sz="0" w:space="0" w:color="auto"/>
            <w:left w:val="none" w:sz="0" w:space="0" w:color="auto"/>
            <w:bottom w:val="none" w:sz="0" w:space="0" w:color="auto"/>
            <w:right w:val="none" w:sz="0" w:space="0" w:color="auto"/>
          </w:divBdr>
        </w:div>
        <w:div w:id="1506286639">
          <w:marLeft w:val="0"/>
          <w:marRight w:val="0"/>
          <w:marTop w:val="0"/>
          <w:marBottom w:val="0"/>
          <w:divBdr>
            <w:top w:val="none" w:sz="0" w:space="0" w:color="auto"/>
            <w:left w:val="none" w:sz="0" w:space="0" w:color="auto"/>
            <w:bottom w:val="none" w:sz="0" w:space="0" w:color="auto"/>
            <w:right w:val="none" w:sz="0" w:space="0" w:color="auto"/>
          </w:divBdr>
        </w:div>
        <w:div w:id="1073427380">
          <w:marLeft w:val="0"/>
          <w:marRight w:val="0"/>
          <w:marTop w:val="0"/>
          <w:marBottom w:val="0"/>
          <w:divBdr>
            <w:top w:val="none" w:sz="0" w:space="0" w:color="auto"/>
            <w:left w:val="none" w:sz="0" w:space="0" w:color="auto"/>
            <w:bottom w:val="none" w:sz="0" w:space="0" w:color="auto"/>
            <w:right w:val="none" w:sz="0" w:space="0" w:color="auto"/>
          </w:divBdr>
        </w:div>
        <w:div w:id="1415586106">
          <w:marLeft w:val="0"/>
          <w:marRight w:val="0"/>
          <w:marTop w:val="0"/>
          <w:marBottom w:val="0"/>
          <w:divBdr>
            <w:top w:val="none" w:sz="0" w:space="0" w:color="auto"/>
            <w:left w:val="none" w:sz="0" w:space="0" w:color="auto"/>
            <w:bottom w:val="none" w:sz="0" w:space="0" w:color="auto"/>
            <w:right w:val="none" w:sz="0" w:space="0" w:color="auto"/>
          </w:divBdr>
        </w:div>
        <w:div w:id="1234241655">
          <w:marLeft w:val="0"/>
          <w:marRight w:val="0"/>
          <w:marTop w:val="0"/>
          <w:marBottom w:val="0"/>
          <w:divBdr>
            <w:top w:val="none" w:sz="0" w:space="0" w:color="auto"/>
            <w:left w:val="none" w:sz="0" w:space="0" w:color="auto"/>
            <w:bottom w:val="none" w:sz="0" w:space="0" w:color="auto"/>
            <w:right w:val="none" w:sz="0" w:space="0" w:color="auto"/>
          </w:divBdr>
        </w:div>
        <w:div w:id="1105686645">
          <w:marLeft w:val="0"/>
          <w:marRight w:val="0"/>
          <w:marTop w:val="0"/>
          <w:marBottom w:val="0"/>
          <w:divBdr>
            <w:top w:val="none" w:sz="0" w:space="0" w:color="auto"/>
            <w:left w:val="none" w:sz="0" w:space="0" w:color="auto"/>
            <w:bottom w:val="none" w:sz="0" w:space="0" w:color="auto"/>
            <w:right w:val="none" w:sz="0" w:space="0" w:color="auto"/>
          </w:divBdr>
        </w:div>
        <w:div w:id="1416781466">
          <w:marLeft w:val="0"/>
          <w:marRight w:val="0"/>
          <w:marTop w:val="0"/>
          <w:marBottom w:val="0"/>
          <w:divBdr>
            <w:top w:val="none" w:sz="0" w:space="0" w:color="auto"/>
            <w:left w:val="none" w:sz="0" w:space="0" w:color="auto"/>
            <w:bottom w:val="none" w:sz="0" w:space="0" w:color="auto"/>
            <w:right w:val="none" w:sz="0" w:space="0" w:color="auto"/>
          </w:divBdr>
        </w:div>
        <w:div w:id="1629094114">
          <w:marLeft w:val="0"/>
          <w:marRight w:val="0"/>
          <w:marTop w:val="0"/>
          <w:marBottom w:val="0"/>
          <w:divBdr>
            <w:top w:val="none" w:sz="0" w:space="0" w:color="auto"/>
            <w:left w:val="none" w:sz="0" w:space="0" w:color="auto"/>
            <w:bottom w:val="none" w:sz="0" w:space="0" w:color="auto"/>
            <w:right w:val="none" w:sz="0" w:space="0" w:color="auto"/>
          </w:divBdr>
        </w:div>
        <w:div w:id="1612085926">
          <w:marLeft w:val="0"/>
          <w:marRight w:val="0"/>
          <w:marTop w:val="0"/>
          <w:marBottom w:val="0"/>
          <w:divBdr>
            <w:top w:val="none" w:sz="0" w:space="0" w:color="auto"/>
            <w:left w:val="none" w:sz="0" w:space="0" w:color="auto"/>
            <w:bottom w:val="none" w:sz="0" w:space="0" w:color="auto"/>
            <w:right w:val="none" w:sz="0" w:space="0" w:color="auto"/>
          </w:divBdr>
        </w:div>
        <w:div w:id="1541016123">
          <w:marLeft w:val="0"/>
          <w:marRight w:val="0"/>
          <w:marTop w:val="0"/>
          <w:marBottom w:val="0"/>
          <w:divBdr>
            <w:top w:val="none" w:sz="0" w:space="0" w:color="auto"/>
            <w:left w:val="none" w:sz="0" w:space="0" w:color="auto"/>
            <w:bottom w:val="none" w:sz="0" w:space="0" w:color="auto"/>
            <w:right w:val="none" w:sz="0" w:space="0" w:color="auto"/>
          </w:divBdr>
        </w:div>
        <w:div w:id="382753772">
          <w:marLeft w:val="0"/>
          <w:marRight w:val="0"/>
          <w:marTop w:val="0"/>
          <w:marBottom w:val="0"/>
          <w:divBdr>
            <w:top w:val="none" w:sz="0" w:space="0" w:color="auto"/>
            <w:left w:val="none" w:sz="0" w:space="0" w:color="auto"/>
            <w:bottom w:val="none" w:sz="0" w:space="0" w:color="auto"/>
            <w:right w:val="none" w:sz="0" w:space="0" w:color="auto"/>
          </w:divBdr>
        </w:div>
      </w:divsChild>
    </w:div>
    <w:div w:id="296566289">
      <w:bodyDiv w:val="1"/>
      <w:marLeft w:val="0"/>
      <w:marRight w:val="0"/>
      <w:marTop w:val="0"/>
      <w:marBottom w:val="0"/>
      <w:divBdr>
        <w:top w:val="none" w:sz="0" w:space="0" w:color="auto"/>
        <w:left w:val="none" w:sz="0" w:space="0" w:color="auto"/>
        <w:bottom w:val="none" w:sz="0" w:space="0" w:color="auto"/>
        <w:right w:val="none" w:sz="0" w:space="0" w:color="auto"/>
      </w:divBdr>
      <w:divsChild>
        <w:div w:id="1107576821">
          <w:marLeft w:val="0"/>
          <w:marRight w:val="0"/>
          <w:marTop w:val="0"/>
          <w:marBottom w:val="0"/>
          <w:divBdr>
            <w:top w:val="none" w:sz="0" w:space="0" w:color="auto"/>
            <w:left w:val="none" w:sz="0" w:space="0" w:color="auto"/>
            <w:bottom w:val="none" w:sz="0" w:space="0" w:color="auto"/>
            <w:right w:val="none" w:sz="0" w:space="0" w:color="auto"/>
          </w:divBdr>
        </w:div>
        <w:div w:id="826635158">
          <w:marLeft w:val="0"/>
          <w:marRight w:val="0"/>
          <w:marTop w:val="0"/>
          <w:marBottom w:val="0"/>
          <w:divBdr>
            <w:top w:val="none" w:sz="0" w:space="0" w:color="auto"/>
            <w:left w:val="none" w:sz="0" w:space="0" w:color="auto"/>
            <w:bottom w:val="none" w:sz="0" w:space="0" w:color="auto"/>
            <w:right w:val="none" w:sz="0" w:space="0" w:color="auto"/>
          </w:divBdr>
        </w:div>
        <w:div w:id="1051879058">
          <w:marLeft w:val="0"/>
          <w:marRight w:val="0"/>
          <w:marTop w:val="0"/>
          <w:marBottom w:val="0"/>
          <w:divBdr>
            <w:top w:val="none" w:sz="0" w:space="0" w:color="auto"/>
            <w:left w:val="none" w:sz="0" w:space="0" w:color="auto"/>
            <w:bottom w:val="none" w:sz="0" w:space="0" w:color="auto"/>
            <w:right w:val="none" w:sz="0" w:space="0" w:color="auto"/>
          </w:divBdr>
        </w:div>
        <w:div w:id="333073297">
          <w:marLeft w:val="0"/>
          <w:marRight w:val="0"/>
          <w:marTop w:val="0"/>
          <w:marBottom w:val="0"/>
          <w:divBdr>
            <w:top w:val="none" w:sz="0" w:space="0" w:color="auto"/>
            <w:left w:val="none" w:sz="0" w:space="0" w:color="auto"/>
            <w:bottom w:val="none" w:sz="0" w:space="0" w:color="auto"/>
            <w:right w:val="none" w:sz="0" w:space="0" w:color="auto"/>
          </w:divBdr>
        </w:div>
        <w:div w:id="846944961">
          <w:marLeft w:val="0"/>
          <w:marRight w:val="0"/>
          <w:marTop w:val="0"/>
          <w:marBottom w:val="0"/>
          <w:divBdr>
            <w:top w:val="none" w:sz="0" w:space="0" w:color="auto"/>
            <w:left w:val="none" w:sz="0" w:space="0" w:color="auto"/>
            <w:bottom w:val="none" w:sz="0" w:space="0" w:color="auto"/>
            <w:right w:val="none" w:sz="0" w:space="0" w:color="auto"/>
          </w:divBdr>
        </w:div>
        <w:div w:id="1197113291">
          <w:marLeft w:val="0"/>
          <w:marRight w:val="0"/>
          <w:marTop w:val="0"/>
          <w:marBottom w:val="0"/>
          <w:divBdr>
            <w:top w:val="none" w:sz="0" w:space="0" w:color="auto"/>
            <w:left w:val="none" w:sz="0" w:space="0" w:color="auto"/>
            <w:bottom w:val="none" w:sz="0" w:space="0" w:color="auto"/>
            <w:right w:val="none" w:sz="0" w:space="0" w:color="auto"/>
          </w:divBdr>
        </w:div>
        <w:div w:id="1258518527">
          <w:marLeft w:val="0"/>
          <w:marRight w:val="0"/>
          <w:marTop w:val="0"/>
          <w:marBottom w:val="0"/>
          <w:divBdr>
            <w:top w:val="none" w:sz="0" w:space="0" w:color="auto"/>
            <w:left w:val="none" w:sz="0" w:space="0" w:color="auto"/>
            <w:bottom w:val="none" w:sz="0" w:space="0" w:color="auto"/>
            <w:right w:val="none" w:sz="0" w:space="0" w:color="auto"/>
          </w:divBdr>
        </w:div>
        <w:div w:id="645429775">
          <w:marLeft w:val="0"/>
          <w:marRight w:val="0"/>
          <w:marTop w:val="0"/>
          <w:marBottom w:val="0"/>
          <w:divBdr>
            <w:top w:val="none" w:sz="0" w:space="0" w:color="auto"/>
            <w:left w:val="none" w:sz="0" w:space="0" w:color="auto"/>
            <w:bottom w:val="none" w:sz="0" w:space="0" w:color="auto"/>
            <w:right w:val="none" w:sz="0" w:space="0" w:color="auto"/>
          </w:divBdr>
        </w:div>
        <w:div w:id="1200821087">
          <w:marLeft w:val="0"/>
          <w:marRight w:val="0"/>
          <w:marTop w:val="0"/>
          <w:marBottom w:val="0"/>
          <w:divBdr>
            <w:top w:val="none" w:sz="0" w:space="0" w:color="auto"/>
            <w:left w:val="none" w:sz="0" w:space="0" w:color="auto"/>
            <w:bottom w:val="none" w:sz="0" w:space="0" w:color="auto"/>
            <w:right w:val="none" w:sz="0" w:space="0" w:color="auto"/>
          </w:divBdr>
        </w:div>
        <w:div w:id="508373703">
          <w:marLeft w:val="0"/>
          <w:marRight w:val="0"/>
          <w:marTop w:val="0"/>
          <w:marBottom w:val="0"/>
          <w:divBdr>
            <w:top w:val="none" w:sz="0" w:space="0" w:color="auto"/>
            <w:left w:val="none" w:sz="0" w:space="0" w:color="auto"/>
            <w:bottom w:val="none" w:sz="0" w:space="0" w:color="auto"/>
            <w:right w:val="none" w:sz="0" w:space="0" w:color="auto"/>
          </w:divBdr>
        </w:div>
        <w:div w:id="1310476965">
          <w:marLeft w:val="0"/>
          <w:marRight w:val="0"/>
          <w:marTop w:val="0"/>
          <w:marBottom w:val="0"/>
          <w:divBdr>
            <w:top w:val="none" w:sz="0" w:space="0" w:color="auto"/>
            <w:left w:val="none" w:sz="0" w:space="0" w:color="auto"/>
            <w:bottom w:val="none" w:sz="0" w:space="0" w:color="auto"/>
            <w:right w:val="none" w:sz="0" w:space="0" w:color="auto"/>
          </w:divBdr>
        </w:div>
        <w:div w:id="708410760">
          <w:marLeft w:val="0"/>
          <w:marRight w:val="0"/>
          <w:marTop w:val="0"/>
          <w:marBottom w:val="0"/>
          <w:divBdr>
            <w:top w:val="none" w:sz="0" w:space="0" w:color="auto"/>
            <w:left w:val="none" w:sz="0" w:space="0" w:color="auto"/>
            <w:bottom w:val="none" w:sz="0" w:space="0" w:color="auto"/>
            <w:right w:val="none" w:sz="0" w:space="0" w:color="auto"/>
          </w:divBdr>
        </w:div>
        <w:div w:id="767651710">
          <w:marLeft w:val="0"/>
          <w:marRight w:val="0"/>
          <w:marTop w:val="0"/>
          <w:marBottom w:val="0"/>
          <w:divBdr>
            <w:top w:val="none" w:sz="0" w:space="0" w:color="auto"/>
            <w:left w:val="none" w:sz="0" w:space="0" w:color="auto"/>
            <w:bottom w:val="none" w:sz="0" w:space="0" w:color="auto"/>
            <w:right w:val="none" w:sz="0" w:space="0" w:color="auto"/>
          </w:divBdr>
        </w:div>
        <w:div w:id="1345010443">
          <w:marLeft w:val="0"/>
          <w:marRight w:val="0"/>
          <w:marTop w:val="0"/>
          <w:marBottom w:val="0"/>
          <w:divBdr>
            <w:top w:val="none" w:sz="0" w:space="0" w:color="auto"/>
            <w:left w:val="none" w:sz="0" w:space="0" w:color="auto"/>
            <w:bottom w:val="none" w:sz="0" w:space="0" w:color="auto"/>
            <w:right w:val="none" w:sz="0" w:space="0" w:color="auto"/>
          </w:divBdr>
        </w:div>
        <w:div w:id="796098050">
          <w:marLeft w:val="0"/>
          <w:marRight w:val="0"/>
          <w:marTop w:val="0"/>
          <w:marBottom w:val="0"/>
          <w:divBdr>
            <w:top w:val="none" w:sz="0" w:space="0" w:color="auto"/>
            <w:left w:val="none" w:sz="0" w:space="0" w:color="auto"/>
            <w:bottom w:val="none" w:sz="0" w:space="0" w:color="auto"/>
            <w:right w:val="none" w:sz="0" w:space="0" w:color="auto"/>
          </w:divBdr>
        </w:div>
        <w:div w:id="1351831898">
          <w:marLeft w:val="0"/>
          <w:marRight w:val="0"/>
          <w:marTop w:val="0"/>
          <w:marBottom w:val="0"/>
          <w:divBdr>
            <w:top w:val="none" w:sz="0" w:space="0" w:color="auto"/>
            <w:left w:val="none" w:sz="0" w:space="0" w:color="auto"/>
            <w:bottom w:val="none" w:sz="0" w:space="0" w:color="auto"/>
            <w:right w:val="none" w:sz="0" w:space="0" w:color="auto"/>
          </w:divBdr>
        </w:div>
        <w:div w:id="35543065">
          <w:marLeft w:val="0"/>
          <w:marRight w:val="0"/>
          <w:marTop w:val="0"/>
          <w:marBottom w:val="0"/>
          <w:divBdr>
            <w:top w:val="none" w:sz="0" w:space="0" w:color="auto"/>
            <w:left w:val="none" w:sz="0" w:space="0" w:color="auto"/>
            <w:bottom w:val="none" w:sz="0" w:space="0" w:color="auto"/>
            <w:right w:val="none" w:sz="0" w:space="0" w:color="auto"/>
          </w:divBdr>
        </w:div>
        <w:div w:id="1793668941">
          <w:marLeft w:val="0"/>
          <w:marRight w:val="0"/>
          <w:marTop w:val="0"/>
          <w:marBottom w:val="0"/>
          <w:divBdr>
            <w:top w:val="none" w:sz="0" w:space="0" w:color="auto"/>
            <w:left w:val="none" w:sz="0" w:space="0" w:color="auto"/>
            <w:bottom w:val="none" w:sz="0" w:space="0" w:color="auto"/>
            <w:right w:val="none" w:sz="0" w:space="0" w:color="auto"/>
          </w:divBdr>
        </w:div>
        <w:div w:id="524366125">
          <w:marLeft w:val="0"/>
          <w:marRight w:val="0"/>
          <w:marTop w:val="0"/>
          <w:marBottom w:val="0"/>
          <w:divBdr>
            <w:top w:val="none" w:sz="0" w:space="0" w:color="auto"/>
            <w:left w:val="none" w:sz="0" w:space="0" w:color="auto"/>
            <w:bottom w:val="none" w:sz="0" w:space="0" w:color="auto"/>
            <w:right w:val="none" w:sz="0" w:space="0" w:color="auto"/>
          </w:divBdr>
        </w:div>
      </w:divsChild>
    </w:div>
    <w:div w:id="636180937">
      <w:bodyDiv w:val="1"/>
      <w:marLeft w:val="0"/>
      <w:marRight w:val="0"/>
      <w:marTop w:val="0"/>
      <w:marBottom w:val="0"/>
      <w:divBdr>
        <w:top w:val="none" w:sz="0" w:space="0" w:color="auto"/>
        <w:left w:val="none" w:sz="0" w:space="0" w:color="auto"/>
        <w:bottom w:val="none" w:sz="0" w:space="0" w:color="auto"/>
        <w:right w:val="none" w:sz="0" w:space="0" w:color="auto"/>
      </w:divBdr>
    </w:div>
    <w:div w:id="857355796">
      <w:bodyDiv w:val="1"/>
      <w:marLeft w:val="0"/>
      <w:marRight w:val="0"/>
      <w:marTop w:val="0"/>
      <w:marBottom w:val="0"/>
      <w:divBdr>
        <w:top w:val="none" w:sz="0" w:space="0" w:color="auto"/>
        <w:left w:val="none" w:sz="0" w:space="0" w:color="auto"/>
        <w:bottom w:val="none" w:sz="0" w:space="0" w:color="auto"/>
        <w:right w:val="none" w:sz="0" w:space="0" w:color="auto"/>
      </w:divBdr>
      <w:divsChild>
        <w:div w:id="1206019998">
          <w:marLeft w:val="0"/>
          <w:marRight w:val="0"/>
          <w:marTop w:val="0"/>
          <w:marBottom w:val="0"/>
          <w:divBdr>
            <w:top w:val="none" w:sz="0" w:space="0" w:color="auto"/>
            <w:left w:val="none" w:sz="0" w:space="0" w:color="auto"/>
            <w:bottom w:val="none" w:sz="0" w:space="0" w:color="auto"/>
            <w:right w:val="none" w:sz="0" w:space="0" w:color="auto"/>
          </w:divBdr>
        </w:div>
        <w:div w:id="878206821">
          <w:marLeft w:val="0"/>
          <w:marRight w:val="0"/>
          <w:marTop w:val="0"/>
          <w:marBottom w:val="0"/>
          <w:divBdr>
            <w:top w:val="none" w:sz="0" w:space="0" w:color="auto"/>
            <w:left w:val="none" w:sz="0" w:space="0" w:color="auto"/>
            <w:bottom w:val="none" w:sz="0" w:space="0" w:color="auto"/>
            <w:right w:val="none" w:sz="0" w:space="0" w:color="auto"/>
          </w:divBdr>
        </w:div>
        <w:div w:id="962926554">
          <w:marLeft w:val="0"/>
          <w:marRight w:val="0"/>
          <w:marTop w:val="0"/>
          <w:marBottom w:val="0"/>
          <w:divBdr>
            <w:top w:val="none" w:sz="0" w:space="0" w:color="auto"/>
            <w:left w:val="none" w:sz="0" w:space="0" w:color="auto"/>
            <w:bottom w:val="none" w:sz="0" w:space="0" w:color="auto"/>
            <w:right w:val="none" w:sz="0" w:space="0" w:color="auto"/>
          </w:divBdr>
        </w:div>
        <w:div w:id="503395084">
          <w:marLeft w:val="0"/>
          <w:marRight w:val="0"/>
          <w:marTop w:val="0"/>
          <w:marBottom w:val="0"/>
          <w:divBdr>
            <w:top w:val="none" w:sz="0" w:space="0" w:color="auto"/>
            <w:left w:val="none" w:sz="0" w:space="0" w:color="auto"/>
            <w:bottom w:val="none" w:sz="0" w:space="0" w:color="auto"/>
            <w:right w:val="none" w:sz="0" w:space="0" w:color="auto"/>
          </w:divBdr>
        </w:div>
        <w:div w:id="1717582426">
          <w:marLeft w:val="0"/>
          <w:marRight w:val="0"/>
          <w:marTop w:val="0"/>
          <w:marBottom w:val="0"/>
          <w:divBdr>
            <w:top w:val="none" w:sz="0" w:space="0" w:color="auto"/>
            <w:left w:val="none" w:sz="0" w:space="0" w:color="auto"/>
            <w:bottom w:val="none" w:sz="0" w:space="0" w:color="auto"/>
            <w:right w:val="none" w:sz="0" w:space="0" w:color="auto"/>
          </w:divBdr>
        </w:div>
        <w:div w:id="553348465">
          <w:marLeft w:val="0"/>
          <w:marRight w:val="0"/>
          <w:marTop w:val="0"/>
          <w:marBottom w:val="0"/>
          <w:divBdr>
            <w:top w:val="none" w:sz="0" w:space="0" w:color="auto"/>
            <w:left w:val="none" w:sz="0" w:space="0" w:color="auto"/>
            <w:bottom w:val="none" w:sz="0" w:space="0" w:color="auto"/>
            <w:right w:val="none" w:sz="0" w:space="0" w:color="auto"/>
          </w:divBdr>
        </w:div>
      </w:divsChild>
    </w:div>
    <w:div w:id="887692756">
      <w:bodyDiv w:val="1"/>
      <w:marLeft w:val="0"/>
      <w:marRight w:val="0"/>
      <w:marTop w:val="0"/>
      <w:marBottom w:val="0"/>
      <w:divBdr>
        <w:top w:val="none" w:sz="0" w:space="0" w:color="auto"/>
        <w:left w:val="none" w:sz="0" w:space="0" w:color="auto"/>
        <w:bottom w:val="none" w:sz="0" w:space="0" w:color="auto"/>
        <w:right w:val="none" w:sz="0" w:space="0" w:color="auto"/>
      </w:divBdr>
      <w:divsChild>
        <w:div w:id="1277717855">
          <w:marLeft w:val="0"/>
          <w:marRight w:val="0"/>
          <w:marTop w:val="0"/>
          <w:marBottom w:val="0"/>
          <w:divBdr>
            <w:top w:val="none" w:sz="0" w:space="0" w:color="auto"/>
            <w:left w:val="none" w:sz="0" w:space="0" w:color="auto"/>
            <w:bottom w:val="none" w:sz="0" w:space="0" w:color="auto"/>
            <w:right w:val="none" w:sz="0" w:space="0" w:color="auto"/>
          </w:divBdr>
        </w:div>
        <w:div w:id="288362306">
          <w:marLeft w:val="0"/>
          <w:marRight w:val="0"/>
          <w:marTop w:val="0"/>
          <w:marBottom w:val="0"/>
          <w:divBdr>
            <w:top w:val="none" w:sz="0" w:space="0" w:color="auto"/>
            <w:left w:val="none" w:sz="0" w:space="0" w:color="auto"/>
            <w:bottom w:val="none" w:sz="0" w:space="0" w:color="auto"/>
            <w:right w:val="none" w:sz="0" w:space="0" w:color="auto"/>
          </w:divBdr>
        </w:div>
        <w:div w:id="1664506834">
          <w:marLeft w:val="0"/>
          <w:marRight w:val="0"/>
          <w:marTop w:val="0"/>
          <w:marBottom w:val="0"/>
          <w:divBdr>
            <w:top w:val="none" w:sz="0" w:space="0" w:color="auto"/>
            <w:left w:val="none" w:sz="0" w:space="0" w:color="auto"/>
            <w:bottom w:val="none" w:sz="0" w:space="0" w:color="auto"/>
            <w:right w:val="none" w:sz="0" w:space="0" w:color="auto"/>
          </w:divBdr>
        </w:div>
        <w:div w:id="1014769548">
          <w:marLeft w:val="0"/>
          <w:marRight w:val="0"/>
          <w:marTop w:val="0"/>
          <w:marBottom w:val="0"/>
          <w:divBdr>
            <w:top w:val="none" w:sz="0" w:space="0" w:color="auto"/>
            <w:left w:val="none" w:sz="0" w:space="0" w:color="auto"/>
            <w:bottom w:val="none" w:sz="0" w:space="0" w:color="auto"/>
            <w:right w:val="none" w:sz="0" w:space="0" w:color="auto"/>
          </w:divBdr>
        </w:div>
        <w:div w:id="1054503181">
          <w:marLeft w:val="0"/>
          <w:marRight w:val="0"/>
          <w:marTop w:val="0"/>
          <w:marBottom w:val="0"/>
          <w:divBdr>
            <w:top w:val="none" w:sz="0" w:space="0" w:color="auto"/>
            <w:left w:val="none" w:sz="0" w:space="0" w:color="auto"/>
            <w:bottom w:val="none" w:sz="0" w:space="0" w:color="auto"/>
            <w:right w:val="none" w:sz="0" w:space="0" w:color="auto"/>
          </w:divBdr>
        </w:div>
      </w:divsChild>
    </w:div>
    <w:div w:id="1016151678">
      <w:bodyDiv w:val="1"/>
      <w:marLeft w:val="0"/>
      <w:marRight w:val="0"/>
      <w:marTop w:val="0"/>
      <w:marBottom w:val="0"/>
      <w:divBdr>
        <w:top w:val="none" w:sz="0" w:space="0" w:color="auto"/>
        <w:left w:val="none" w:sz="0" w:space="0" w:color="auto"/>
        <w:bottom w:val="none" w:sz="0" w:space="0" w:color="auto"/>
        <w:right w:val="none" w:sz="0" w:space="0" w:color="auto"/>
      </w:divBdr>
      <w:divsChild>
        <w:div w:id="1696348612">
          <w:marLeft w:val="0"/>
          <w:marRight w:val="0"/>
          <w:marTop w:val="0"/>
          <w:marBottom w:val="0"/>
          <w:divBdr>
            <w:top w:val="none" w:sz="0" w:space="0" w:color="auto"/>
            <w:left w:val="none" w:sz="0" w:space="0" w:color="auto"/>
            <w:bottom w:val="none" w:sz="0" w:space="0" w:color="auto"/>
            <w:right w:val="none" w:sz="0" w:space="0" w:color="auto"/>
          </w:divBdr>
        </w:div>
        <w:div w:id="898903929">
          <w:marLeft w:val="0"/>
          <w:marRight w:val="0"/>
          <w:marTop w:val="0"/>
          <w:marBottom w:val="0"/>
          <w:divBdr>
            <w:top w:val="none" w:sz="0" w:space="0" w:color="auto"/>
            <w:left w:val="none" w:sz="0" w:space="0" w:color="auto"/>
            <w:bottom w:val="none" w:sz="0" w:space="0" w:color="auto"/>
            <w:right w:val="none" w:sz="0" w:space="0" w:color="auto"/>
          </w:divBdr>
        </w:div>
        <w:div w:id="1807429066">
          <w:marLeft w:val="0"/>
          <w:marRight w:val="0"/>
          <w:marTop w:val="0"/>
          <w:marBottom w:val="0"/>
          <w:divBdr>
            <w:top w:val="none" w:sz="0" w:space="0" w:color="auto"/>
            <w:left w:val="none" w:sz="0" w:space="0" w:color="auto"/>
            <w:bottom w:val="none" w:sz="0" w:space="0" w:color="auto"/>
            <w:right w:val="none" w:sz="0" w:space="0" w:color="auto"/>
          </w:divBdr>
        </w:div>
        <w:div w:id="1027213848">
          <w:marLeft w:val="0"/>
          <w:marRight w:val="0"/>
          <w:marTop w:val="0"/>
          <w:marBottom w:val="0"/>
          <w:divBdr>
            <w:top w:val="none" w:sz="0" w:space="0" w:color="auto"/>
            <w:left w:val="none" w:sz="0" w:space="0" w:color="auto"/>
            <w:bottom w:val="none" w:sz="0" w:space="0" w:color="auto"/>
            <w:right w:val="none" w:sz="0" w:space="0" w:color="auto"/>
          </w:divBdr>
        </w:div>
        <w:div w:id="280842477">
          <w:marLeft w:val="0"/>
          <w:marRight w:val="0"/>
          <w:marTop w:val="0"/>
          <w:marBottom w:val="0"/>
          <w:divBdr>
            <w:top w:val="none" w:sz="0" w:space="0" w:color="auto"/>
            <w:left w:val="none" w:sz="0" w:space="0" w:color="auto"/>
            <w:bottom w:val="none" w:sz="0" w:space="0" w:color="auto"/>
            <w:right w:val="none" w:sz="0" w:space="0" w:color="auto"/>
          </w:divBdr>
        </w:div>
        <w:div w:id="678973005">
          <w:marLeft w:val="0"/>
          <w:marRight w:val="0"/>
          <w:marTop w:val="0"/>
          <w:marBottom w:val="0"/>
          <w:divBdr>
            <w:top w:val="none" w:sz="0" w:space="0" w:color="auto"/>
            <w:left w:val="none" w:sz="0" w:space="0" w:color="auto"/>
            <w:bottom w:val="none" w:sz="0" w:space="0" w:color="auto"/>
            <w:right w:val="none" w:sz="0" w:space="0" w:color="auto"/>
          </w:divBdr>
        </w:div>
        <w:div w:id="2093355504">
          <w:marLeft w:val="0"/>
          <w:marRight w:val="0"/>
          <w:marTop w:val="0"/>
          <w:marBottom w:val="0"/>
          <w:divBdr>
            <w:top w:val="none" w:sz="0" w:space="0" w:color="auto"/>
            <w:left w:val="none" w:sz="0" w:space="0" w:color="auto"/>
            <w:bottom w:val="none" w:sz="0" w:space="0" w:color="auto"/>
            <w:right w:val="none" w:sz="0" w:space="0" w:color="auto"/>
          </w:divBdr>
        </w:div>
        <w:div w:id="680934123">
          <w:marLeft w:val="0"/>
          <w:marRight w:val="0"/>
          <w:marTop w:val="0"/>
          <w:marBottom w:val="0"/>
          <w:divBdr>
            <w:top w:val="none" w:sz="0" w:space="0" w:color="auto"/>
            <w:left w:val="none" w:sz="0" w:space="0" w:color="auto"/>
            <w:bottom w:val="none" w:sz="0" w:space="0" w:color="auto"/>
            <w:right w:val="none" w:sz="0" w:space="0" w:color="auto"/>
          </w:divBdr>
        </w:div>
        <w:div w:id="1580559640">
          <w:marLeft w:val="0"/>
          <w:marRight w:val="0"/>
          <w:marTop w:val="0"/>
          <w:marBottom w:val="0"/>
          <w:divBdr>
            <w:top w:val="none" w:sz="0" w:space="0" w:color="auto"/>
            <w:left w:val="none" w:sz="0" w:space="0" w:color="auto"/>
            <w:bottom w:val="none" w:sz="0" w:space="0" w:color="auto"/>
            <w:right w:val="none" w:sz="0" w:space="0" w:color="auto"/>
          </w:divBdr>
        </w:div>
        <w:div w:id="1465847945">
          <w:marLeft w:val="0"/>
          <w:marRight w:val="0"/>
          <w:marTop w:val="0"/>
          <w:marBottom w:val="0"/>
          <w:divBdr>
            <w:top w:val="none" w:sz="0" w:space="0" w:color="auto"/>
            <w:left w:val="none" w:sz="0" w:space="0" w:color="auto"/>
            <w:bottom w:val="none" w:sz="0" w:space="0" w:color="auto"/>
            <w:right w:val="none" w:sz="0" w:space="0" w:color="auto"/>
          </w:divBdr>
        </w:div>
        <w:div w:id="286083136">
          <w:marLeft w:val="0"/>
          <w:marRight w:val="0"/>
          <w:marTop w:val="0"/>
          <w:marBottom w:val="0"/>
          <w:divBdr>
            <w:top w:val="none" w:sz="0" w:space="0" w:color="auto"/>
            <w:left w:val="none" w:sz="0" w:space="0" w:color="auto"/>
            <w:bottom w:val="none" w:sz="0" w:space="0" w:color="auto"/>
            <w:right w:val="none" w:sz="0" w:space="0" w:color="auto"/>
          </w:divBdr>
        </w:div>
        <w:div w:id="1249196785">
          <w:marLeft w:val="0"/>
          <w:marRight w:val="0"/>
          <w:marTop w:val="0"/>
          <w:marBottom w:val="0"/>
          <w:divBdr>
            <w:top w:val="none" w:sz="0" w:space="0" w:color="auto"/>
            <w:left w:val="none" w:sz="0" w:space="0" w:color="auto"/>
            <w:bottom w:val="none" w:sz="0" w:space="0" w:color="auto"/>
            <w:right w:val="none" w:sz="0" w:space="0" w:color="auto"/>
          </w:divBdr>
        </w:div>
        <w:div w:id="793906757">
          <w:marLeft w:val="0"/>
          <w:marRight w:val="0"/>
          <w:marTop w:val="0"/>
          <w:marBottom w:val="0"/>
          <w:divBdr>
            <w:top w:val="none" w:sz="0" w:space="0" w:color="auto"/>
            <w:left w:val="none" w:sz="0" w:space="0" w:color="auto"/>
            <w:bottom w:val="none" w:sz="0" w:space="0" w:color="auto"/>
            <w:right w:val="none" w:sz="0" w:space="0" w:color="auto"/>
          </w:divBdr>
        </w:div>
        <w:div w:id="153572862">
          <w:marLeft w:val="0"/>
          <w:marRight w:val="0"/>
          <w:marTop w:val="0"/>
          <w:marBottom w:val="0"/>
          <w:divBdr>
            <w:top w:val="none" w:sz="0" w:space="0" w:color="auto"/>
            <w:left w:val="none" w:sz="0" w:space="0" w:color="auto"/>
            <w:bottom w:val="none" w:sz="0" w:space="0" w:color="auto"/>
            <w:right w:val="none" w:sz="0" w:space="0" w:color="auto"/>
          </w:divBdr>
        </w:div>
        <w:div w:id="132454860">
          <w:marLeft w:val="0"/>
          <w:marRight w:val="0"/>
          <w:marTop w:val="0"/>
          <w:marBottom w:val="0"/>
          <w:divBdr>
            <w:top w:val="none" w:sz="0" w:space="0" w:color="auto"/>
            <w:left w:val="none" w:sz="0" w:space="0" w:color="auto"/>
            <w:bottom w:val="none" w:sz="0" w:space="0" w:color="auto"/>
            <w:right w:val="none" w:sz="0" w:space="0" w:color="auto"/>
          </w:divBdr>
        </w:div>
        <w:div w:id="1165895690">
          <w:marLeft w:val="0"/>
          <w:marRight w:val="0"/>
          <w:marTop w:val="0"/>
          <w:marBottom w:val="0"/>
          <w:divBdr>
            <w:top w:val="none" w:sz="0" w:space="0" w:color="auto"/>
            <w:left w:val="none" w:sz="0" w:space="0" w:color="auto"/>
            <w:bottom w:val="none" w:sz="0" w:space="0" w:color="auto"/>
            <w:right w:val="none" w:sz="0" w:space="0" w:color="auto"/>
          </w:divBdr>
        </w:div>
        <w:div w:id="362747488">
          <w:marLeft w:val="0"/>
          <w:marRight w:val="0"/>
          <w:marTop w:val="0"/>
          <w:marBottom w:val="0"/>
          <w:divBdr>
            <w:top w:val="none" w:sz="0" w:space="0" w:color="auto"/>
            <w:left w:val="none" w:sz="0" w:space="0" w:color="auto"/>
            <w:bottom w:val="none" w:sz="0" w:space="0" w:color="auto"/>
            <w:right w:val="none" w:sz="0" w:space="0" w:color="auto"/>
          </w:divBdr>
        </w:div>
        <w:div w:id="1626036726">
          <w:marLeft w:val="0"/>
          <w:marRight w:val="0"/>
          <w:marTop w:val="0"/>
          <w:marBottom w:val="0"/>
          <w:divBdr>
            <w:top w:val="none" w:sz="0" w:space="0" w:color="auto"/>
            <w:left w:val="none" w:sz="0" w:space="0" w:color="auto"/>
            <w:bottom w:val="none" w:sz="0" w:space="0" w:color="auto"/>
            <w:right w:val="none" w:sz="0" w:space="0" w:color="auto"/>
          </w:divBdr>
        </w:div>
        <w:div w:id="474107254">
          <w:marLeft w:val="0"/>
          <w:marRight w:val="0"/>
          <w:marTop w:val="0"/>
          <w:marBottom w:val="0"/>
          <w:divBdr>
            <w:top w:val="none" w:sz="0" w:space="0" w:color="auto"/>
            <w:left w:val="none" w:sz="0" w:space="0" w:color="auto"/>
            <w:bottom w:val="none" w:sz="0" w:space="0" w:color="auto"/>
            <w:right w:val="none" w:sz="0" w:space="0" w:color="auto"/>
          </w:divBdr>
        </w:div>
      </w:divsChild>
    </w:div>
    <w:div w:id="1109087773">
      <w:bodyDiv w:val="1"/>
      <w:marLeft w:val="0"/>
      <w:marRight w:val="0"/>
      <w:marTop w:val="0"/>
      <w:marBottom w:val="0"/>
      <w:divBdr>
        <w:top w:val="none" w:sz="0" w:space="0" w:color="auto"/>
        <w:left w:val="none" w:sz="0" w:space="0" w:color="auto"/>
        <w:bottom w:val="none" w:sz="0" w:space="0" w:color="auto"/>
        <w:right w:val="none" w:sz="0" w:space="0" w:color="auto"/>
      </w:divBdr>
      <w:divsChild>
        <w:div w:id="1404179466">
          <w:marLeft w:val="0"/>
          <w:marRight w:val="0"/>
          <w:marTop w:val="0"/>
          <w:marBottom w:val="0"/>
          <w:divBdr>
            <w:top w:val="none" w:sz="0" w:space="0" w:color="auto"/>
            <w:left w:val="none" w:sz="0" w:space="0" w:color="auto"/>
            <w:bottom w:val="none" w:sz="0" w:space="0" w:color="auto"/>
            <w:right w:val="none" w:sz="0" w:space="0" w:color="auto"/>
          </w:divBdr>
        </w:div>
      </w:divsChild>
    </w:div>
    <w:div w:id="1212620844">
      <w:bodyDiv w:val="1"/>
      <w:marLeft w:val="0"/>
      <w:marRight w:val="0"/>
      <w:marTop w:val="0"/>
      <w:marBottom w:val="0"/>
      <w:divBdr>
        <w:top w:val="none" w:sz="0" w:space="0" w:color="auto"/>
        <w:left w:val="none" w:sz="0" w:space="0" w:color="auto"/>
        <w:bottom w:val="none" w:sz="0" w:space="0" w:color="auto"/>
        <w:right w:val="none" w:sz="0" w:space="0" w:color="auto"/>
      </w:divBdr>
      <w:divsChild>
        <w:div w:id="226502497">
          <w:marLeft w:val="0"/>
          <w:marRight w:val="0"/>
          <w:marTop w:val="0"/>
          <w:marBottom w:val="0"/>
          <w:divBdr>
            <w:top w:val="none" w:sz="0" w:space="0" w:color="auto"/>
            <w:left w:val="none" w:sz="0" w:space="0" w:color="auto"/>
            <w:bottom w:val="none" w:sz="0" w:space="0" w:color="auto"/>
            <w:right w:val="none" w:sz="0" w:space="0" w:color="auto"/>
          </w:divBdr>
        </w:div>
        <w:div w:id="1103303654">
          <w:marLeft w:val="0"/>
          <w:marRight w:val="0"/>
          <w:marTop w:val="0"/>
          <w:marBottom w:val="0"/>
          <w:divBdr>
            <w:top w:val="none" w:sz="0" w:space="0" w:color="auto"/>
            <w:left w:val="none" w:sz="0" w:space="0" w:color="auto"/>
            <w:bottom w:val="none" w:sz="0" w:space="0" w:color="auto"/>
            <w:right w:val="none" w:sz="0" w:space="0" w:color="auto"/>
          </w:divBdr>
        </w:div>
        <w:div w:id="1821144718">
          <w:marLeft w:val="0"/>
          <w:marRight w:val="0"/>
          <w:marTop w:val="0"/>
          <w:marBottom w:val="0"/>
          <w:divBdr>
            <w:top w:val="none" w:sz="0" w:space="0" w:color="auto"/>
            <w:left w:val="none" w:sz="0" w:space="0" w:color="auto"/>
            <w:bottom w:val="none" w:sz="0" w:space="0" w:color="auto"/>
            <w:right w:val="none" w:sz="0" w:space="0" w:color="auto"/>
          </w:divBdr>
        </w:div>
        <w:div w:id="1223718344">
          <w:marLeft w:val="0"/>
          <w:marRight w:val="0"/>
          <w:marTop w:val="0"/>
          <w:marBottom w:val="0"/>
          <w:divBdr>
            <w:top w:val="none" w:sz="0" w:space="0" w:color="auto"/>
            <w:left w:val="none" w:sz="0" w:space="0" w:color="auto"/>
            <w:bottom w:val="none" w:sz="0" w:space="0" w:color="auto"/>
            <w:right w:val="none" w:sz="0" w:space="0" w:color="auto"/>
          </w:divBdr>
        </w:div>
        <w:div w:id="472405534">
          <w:marLeft w:val="0"/>
          <w:marRight w:val="0"/>
          <w:marTop w:val="0"/>
          <w:marBottom w:val="0"/>
          <w:divBdr>
            <w:top w:val="none" w:sz="0" w:space="0" w:color="auto"/>
            <w:left w:val="none" w:sz="0" w:space="0" w:color="auto"/>
            <w:bottom w:val="none" w:sz="0" w:space="0" w:color="auto"/>
            <w:right w:val="none" w:sz="0" w:space="0" w:color="auto"/>
          </w:divBdr>
        </w:div>
        <w:div w:id="1811053153">
          <w:marLeft w:val="0"/>
          <w:marRight w:val="0"/>
          <w:marTop w:val="0"/>
          <w:marBottom w:val="0"/>
          <w:divBdr>
            <w:top w:val="none" w:sz="0" w:space="0" w:color="auto"/>
            <w:left w:val="none" w:sz="0" w:space="0" w:color="auto"/>
            <w:bottom w:val="none" w:sz="0" w:space="0" w:color="auto"/>
            <w:right w:val="none" w:sz="0" w:space="0" w:color="auto"/>
          </w:divBdr>
        </w:div>
        <w:div w:id="2063401884">
          <w:marLeft w:val="0"/>
          <w:marRight w:val="0"/>
          <w:marTop w:val="0"/>
          <w:marBottom w:val="0"/>
          <w:divBdr>
            <w:top w:val="none" w:sz="0" w:space="0" w:color="auto"/>
            <w:left w:val="none" w:sz="0" w:space="0" w:color="auto"/>
            <w:bottom w:val="none" w:sz="0" w:space="0" w:color="auto"/>
            <w:right w:val="none" w:sz="0" w:space="0" w:color="auto"/>
          </w:divBdr>
        </w:div>
        <w:div w:id="2035501130">
          <w:marLeft w:val="0"/>
          <w:marRight w:val="0"/>
          <w:marTop w:val="0"/>
          <w:marBottom w:val="0"/>
          <w:divBdr>
            <w:top w:val="none" w:sz="0" w:space="0" w:color="auto"/>
            <w:left w:val="none" w:sz="0" w:space="0" w:color="auto"/>
            <w:bottom w:val="none" w:sz="0" w:space="0" w:color="auto"/>
            <w:right w:val="none" w:sz="0" w:space="0" w:color="auto"/>
          </w:divBdr>
        </w:div>
        <w:div w:id="736905130">
          <w:marLeft w:val="0"/>
          <w:marRight w:val="0"/>
          <w:marTop w:val="0"/>
          <w:marBottom w:val="0"/>
          <w:divBdr>
            <w:top w:val="none" w:sz="0" w:space="0" w:color="auto"/>
            <w:left w:val="none" w:sz="0" w:space="0" w:color="auto"/>
            <w:bottom w:val="none" w:sz="0" w:space="0" w:color="auto"/>
            <w:right w:val="none" w:sz="0" w:space="0" w:color="auto"/>
          </w:divBdr>
        </w:div>
        <w:div w:id="1924604162">
          <w:marLeft w:val="0"/>
          <w:marRight w:val="0"/>
          <w:marTop w:val="0"/>
          <w:marBottom w:val="0"/>
          <w:divBdr>
            <w:top w:val="none" w:sz="0" w:space="0" w:color="auto"/>
            <w:left w:val="none" w:sz="0" w:space="0" w:color="auto"/>
            <w:bottom w:val="none" w:sz="0" w:space="0" w:color="auto"/>
            <w:right w:val="none" w:sz="0" w:space="0" w:color="auto"/>
          </w:divBdr>
        </w:div>
        <w:div w:id="1230339473">
          <w:marLeft w:val="0"/>
          <w:marRight w:val="0"/>
          <w:marTop w:val="0"/>
          <w:marBottom w:val="0"/>
          <w:divBdr>
            <w:top w:val="none" w:sz="0" w:space="0" w:color="auto"/>
            <w:left w:val="none" w:sz="0" w:space="0" w:color="auto"/>
            <w:bottom w:val="none" w:sz="0" w:space="0" w:color="auto"/>
            <w:right w:val="none" w:sz="0" w:space="0" w:color="auto"/>
          </w:divBdr>
        </w:div>
        <w:div w:id="1205218560">
          <w:marLeft w:val="0"/>
          <w:marRight w:val="0"/>
          <w:marTop w:val="0"/>
          <w:marBottom w:val="0"/>
          <w:divBdr>
            <w:top w:val="none" w:sz="0" w:space="0" w:color="auto"/>
            <w:left w:val="none" w:sz="0" w:space="0" w:color="auto"/>
            <w:bottom w:val="none" w:sz="0" w:space="0" w:color="auto"/>
            <w:right w:val="none" w:sz="0" w:space="0" w:color="auto"/>
          </w:divBdr>
        </w:div>
        <w:div w:id="2074572452">
          <w:marLeft w:val="0"/>
          <w:marRight w:val="0"/>
          <w:marTop w:val="0"/>
          <w:marBottom w:val="0"/>
          <w:divBdr>
            <w:top w:val="none" w:sz="0" w:space="0" w:color="auto"/>
            <w:left w:val="none" w:sz="0" w:space="0" w:color="auto"/>
            <w:bottom w:val="none" w:sz="0" w:space="0" w:color="auto"/>
            <w:right w:val="none" w:sz="0" w:space="0" w:color="auto"/>
          </w:divBdr>
        </w:div>
        <w:div w:id="1798599862">
          <w:marLeft w:val="0"/>
          <w:marRight w:val="0"/>
          <w:marTop w:val="0"/>
          <w:marBottom w:val="0"/>
          <w:divBdr>
            <w:top w:val="none" w:sz="0" w:space="0" w:color="auto"/>
            <w:left w:val="none" w:sz="0" w:space="0" w:color="auto"/>
            <w:bottom w:val="none" w:sz="0" w:space="0" w:color="auto"/>
            <w:right w:val="none" w:sz="0" w:space="0" w:color="auto"/>
          </w:divBdr>
        </w:div>
        <w:div w:id="660502800">
          <w:marLeft w:val="0"/>
          <w:marRight w:val="0"/>
          <w:marTop w:val="0"/>
          <w:marBottom w:val="0"/>
          <w:divBdr>
            <w:top w:val="none" w:sz="0" w:space="0" w:color="auto"/>
            <w:left w:val="none" w:sz="0" w:space="0" w:color="auto"/>
            <w:bottom w:val="none" w:sz="0" w:space="0" w:color="auto"/>
            <w:right w:val="none" w:sz="0" w:space="0" w:color="auto"/>
          </w:divBdr>
        </w:div>
        <w:div w:id="2122528309">
          <w:marLeft w:val="0"/>
          <w:marRight w:val="0"/>
          <w:marTop w:val="0"/>
          <w:marBottom w:val="0"/>
          <w:divBdr>
            <w:top w:val="none" w:sz="0" w:space="0" w:color="auto"/>
            <w:left w:val="none" w:sz="0" w:space="0" w:color="auto"/>
            <w:bottom w:val="none" w:sz="0" w:space="0" w:color="auto"/>
            <w:right w:val="none" w:sz="0" w:space="0" w:color="auto"/>
          </w:divBdr>
        </w:div>
        <w:div w:id="751465696">
          <w:marLeft w:val="0"/>
          <w:marRight w:val="0"/>
          <w:marTop w:val="0"/>
          <w:marBottom w:val="0"/>
          <w:divBdr>
            <w:top w:val="none" w:sz="0" w:space="0" w:color="auto"/>
            <w:left w:val="none" w:sz="0" w:space="0" w:color="auto"/>
            <w:bottom w:val="none" w:sz="0" w:space="0" w:color="auto"/>
            <w:right w:val="none" w:sz="0" w:space="0" w:color="auto"/>
          </w:divBdr>
        </w:div>
        <w:div w:id="1559364141">
          <w:marLeft w:val="0"/>
          <w:marRight w:val="0"/>
          <w:marTop w:val="0"/>
          <w:marBottom w:val="0"/>
          <w:divBdr>
            <w:top w:val="none" w:sz="0" w:space="0" w:color="auto"/>
            <w:left w:val="none" w:sz="0" w:space="0" w:color="auto"/>
            <w:bottom w:val="none" w:sz="0" w:space="0" w:color="auto"/>
            <w:right w:val="none" w:sz="0" w:space="0" w:color="auto"/>
          </w:divBdr>
        </w:div>
        <w:div w:id="1861041">
          <w:marLeft w:val="0"/>
          <w:marRight w:val="0"/>
          <w:marTop w:val="0"/>
          <w:marBottom w:val="0"/>
          <w:divBdr>
            <w:top w:val="none" w:sz="0" w:space="0" w:color="auto"/>
            <w:left w:val="none" w:sz="0" w:space="0" w:color="auto"/>
            <w:bottom w:val="none" w:sz="0" w:space="0" w:color="auto"/>
            <w:right w:val="none" w:sz="0" w:space="0" w:color="auto"/>
          </w:divBdr>
        </w:div>
        <w:div w:id="1714815198">
          <w:marLeft w:val="0"/>
          <w:marRight w:val="0"/>
          <w:marTop w:val="0"/>
          <w:marBottom w:val="0"/>
          <w:divBdr>
            <w:top w:val="none" w:sz="0" w:space="0" w:color="auto"/>
            <w:left w:val="none" w:sz="0" w:space="0" w:color="auto"/>
            <w:bottom w:val="none" w:sz="0" w:space="0" w:color="auto"/>
            <w:right w:val="none" w:sz="0" w:space="0" w:color="auto"/>
          </w:divBdr>
        </w:div>
        <w:div w:id="1106274196">
          <w:marLeft w:val="0"/>
          <w:marRight w:val="0"/>
          <w:marTop w:val="0"/>
          <w:marBottom w:val="0"/>
          <w:divBdr>
            <w:top w:val="none" w:sz="0" w:space="0" w:color="auto"/>
            <w:left w:val="none" w:sz="0" w:space="0" w:color="auto"/>
            <w:bottom w:val="none" w:sz="0" w:space="0" w:color="auto"/>
            <w:right w:val="none" w:sz="0" w:space="0" w:color="auto"/>
          </w:divBdr>
        </w:div>
        <w:div w:id="1069693526">
          <w:marLeft w:val="0"/>
          <w:marRight w:val="0"/>
          <w:marTop w:val="0"/>
          <w:marBottom w:val="0"/>
          <w:divBdr>
            <w:top w:val="none" w:sz="0" w:space="0" w:color="auto"/>
            <w:left w:val="none" w:sz="0" w:space="0" w:color="auto"/>
            <w:bottom w:val="none" w:sz="0" w:space="0" w:color="auto"/>
            <w:right w:val="none" w:sz="0" w:space="0" w:color="auto"/>
          </w:divBdr>
        </w:div>
        <w:div w:id="185948262">
          <w:marLeft w:val="0"/>
          <w:marRight w:val="0"/>
          <w:marTop w:val="0"/>
          <w:marBottom w:val="0"/>
          <w:divBdr>
            <w:top w:val="none" w:sz="0" w:space="0" w:color="auto"/>
            <w:left w:val="none" w:sz="0" w:space="0" w:color="auto"/>
            <w:bottom w:val="none" w:sz="0" w:space="0" w:color="auto"/>
            <w:right w:val="none" w:sz="0" w:space="0" w:color="auto"/>
          </w:divBdr>
        </w:div>
        <w:div w:id="1692293600">
          <w:marLeft w:val="0"/>
          <w:marRight w:val="0"/>
          <w:marTop w:val="0"/>
          <w:marBottom w:val="0"/>
          <w:divBdr>
            <w:top w:val="none" w:sz="0" w:space="0" w:color="auto"/>
            <w:left w:val="none" w:sz="0" w:space="0" w:color="auto"/>
            <w:bottom w:val="none" w:sz="0" w:space="0" w:color="auto"/>
            <w:right w:val="none" w:sz="0" w:space="0" w:color="auto"/>
          </w:divBdr>
        </w:div>
        <w:div w:id="337848095">
          <w:marLeft w:val="0"/>
          <w:marRight w:val="0"/>
          <w:marTop w:val="0"/>
          <w:marBottom w:val="0"/>
          <w:divBdr>
            <w:top w:val="none" w:sz="0" w:space="0" w:color="auto"/>
            <w:left w:val="none" w:sz="0" w:space="0" w:color="auto"/>
            <w:bottom w:val="none" w:sz="0" w:space="0" w:color="auto"/>
            <w:right w:val="none" w:sz="0" w:space="0" w:color="auto"/>
          </w:divBdr>
        </w:div>
        <w:div w:id="1429930594">
          <w:marLeft w:val="0"/>
          <w:marRight w:val="0"/>
          <w:marTop w:val="0"/>
          <w:marBottom w:val="0"/>
          <w:divBdr>
            <w:top w:val="none" w:sz="0" w:space="0" w:color="auto"/>
            <w:left w:val="none" w:sz="0" w:space="0" w:color="auto"/>
            <w:bottom w:val="none" w:sz="0" w:space="0" w:color="auto"/>
            <w:right w:val="none" w:sz="0" w:space="0" w:color="auto"/>
          </w:divBdr>
        </w:div>
        <w:div w:id="1616981334">
          <w:marLeft w:val="0"/>
          <w:marRight w:val="0"/>
          <w:marTop w:val="0"/>
          <w:marBottom w:val="0"/>
          <w:divBdr>
            <w:top w:val="none" w:sz="0" w:space="0" w:color="auto"/>
            <w:left w:val="none" w:sz="0" w:space="0" w:color="auto"/>
            <w:bottom w:val="none" w:sz="0" w:space="0" w:color="auto"/>
            <w:right w:val="none" w:sz="0" w:space="0" w:color="auto"/>
          </w:divBdr>
        </w:div>
      </w:divsChild>
    </w:div>
    <w:div w:id="1284144301">
      <w:bodyDiv w:val="1"/>
      <w:marLeft w:val="0"/>
      <w:marRight w:val="0"/>
      <w:marTop w:val="0"/>
      <w:marBottom w:val="0"/>
      <w:divBdr>
        <w:top w:val="none" w:sz="0" w:space="0" w:color="auto"/>
        <w:left w:val="none" w:sz="0" w:space="0" w:color="auto"/>
        <w:bottom w:val="none" w:sz="0" w:space="0" w:color="auto"/>
        <w:right w:val="none" w:sz="0" w:space="0" w:color="auto"/>
      </w:divBdr>
      <w:divsChild>
        <w:div w:id="943266302">
          <w:marLeft w:val="0"/>
          <w:marRight w:val="0"/>
          <w:marTop w:val="0"/>
          <w:marBottom w:val="0"/>
          <w:divBdr>
            <w:top w:val="none" w:sz="0" w:space="0" w:color="auto"/>
            <w:left w:val="none" w:sz="0" w:space="0" w:color="auto"/>
            <w:bottom w:val="none" w:sz="0" w:space="0" w:color="auto"/>
            <w:right w:val="none" w:sz="0" w:space="0" w:color="auto"/>
          </w:divBdr>
        </w:div>
        <w:div w:id="897977528">
          <w:marLeft w:val="0"/>
          <w:marRight w:val="0"/>
          <w:marTop w:val="0"/>
          <w:marBottom w:val="0"/>
          <w:divBdr>
            <w:top w:val="none" w:sz="0" w:space="0" w:color="auto"/>
            <w:left w:val="none" w:sz="0" w:space="0" w:color="auto"/>
            <w:bottom w:val="none" w:sz="0" w:space="0" w:color="auto"/>
            <w:right w:val="none" w:sz="0" w:space="0" w:color="auto"/>
          </w:divBdr>
        </w:div>
        <w:div w:id="153572750">
          <w:marLeft w:val="0"/>
          <w:marRight w:val="0"/>
          <w:marTop w:val="0"/>
          <w:marBottom w:val="0"/>
          <w:divBdr>
            <w:top w:val="none" w:sz="0" w:space="0" w:color="auto"/>
            <w:left w:val="none" w:sz="0" w:space="0" w:color="auto"/>
            <w:bottom w:val="none" w:sz="0" w:space="0" w:color="auto"/>
            <w:right w:val="none" w:sz="0" w:space="0" w:color="auto"/>
          </w:divBdr>
        </w:div>
      </w:divsChild>
    </w:div>
    <w:div w:id="1393970486">
      <w:bodyDiv w:val="1"/>
      <w:marLeft w:val="0"/>
      <w:marRight w:val="0"/>
      <w:marTop w:val="0"/>
      <w:marBottom w:val="0"/>
      <w:divBdr>
        <w:top w:val="none" w:sz="0" w:space="0" w:color="auto"/>
        <w:left w:val="none" w:sz="0" w:space="0" w:color="auto"/>
        <w:bottom w:val="none" w:sz="0" w:space="0" w:color="auto"/>
        <w:right w:val="none" w:sz="0" w:space="0" w:color="auto"/>
      </w:divBdr>
    </w:div>
    <w:div w:id="1433668095">
      <w:bodyDiv w:val="1"/>
      <w:marLeft w:val="0"/>
      <w:marRight w:val="0"/>
      <w:marTop w:val="0"/>
      <w:marBottom w:val="0"/>
      <w:divBdr>
        <w:top w:val="none" w:sz="0" w:space="0" w:color="auto"/>
        <w:left w:val="none" w:sz="0" w:space="0" w:color="auto"/>
        <w:bottom w:val="none" w:sz="0" w:space="0" w:color="auto"/>
        <w:right w:val="none" w:sz="0" w:space="0" w:color="auto"/>
      </w:divBdr>
    </w:div>
    <w:div w:id="1516573595">
      <w:bodyDiv w:val="1"/>
      <w:marLeft w:val="0"/>
      <w:marRight w:val="0"/>
      <w:marTop w:val="0"/>
      <w:marBottom w:val="0"/>
      <w:divBdr>
        <w:top w:val="none" w:sz="0" w:space="0" w:color="auto"/>
        <w:left w:val="none" w:sz="0" w:space="0" w:color="auto"/>
        <w:bottom w:val="none" w:sz="0" w:space="0" w:color="auto"/>
        <w:right w:val="none" w:sz="0" w:space="0" w:color="auto"/>
      </w:divBdr>
      <w:divsChild>
        <w:div w:id="569386786">
          <w:marLeft w:val="0"/>
          <w:marRight w:val="0"/>
          <w:marTop w:val="0"/>
          <w:marBottom w:val="0"/>
          <w:divBdr>
            <w:top w:val="none" w:sz="0" w:space="0" w:color="auto"/>
            <w:left w:val="none" w:sz="0" w:space="0" w:color="auto"/>
            <w:bottom w:val="none" w:sz="0" w:space="0" w:color="auto"/>
            <w:right w:val="none" w:sz="0" w:space="0" w:color="auto"/>
          </w:divBdr>
        </w:div>
        <w:div w:id="1599093035">
          <w:marLeft w:val="0"/>
          <w:marRight w:val="0"/>
          <w:marTop w:val="0"/>
          <w:marBottom w:val="0"/>
          <w:divBdr>
            <w:top w:val="none" w:sz="0" w:space="0" w:color="auto"/>
            <w:left w:val="none" w:sz="0" w:space="0" w:color="auto"/>
            <w:bottom w:val="none" w:sz="0" w:space="0" w:color="auto"/>
            <w:right w:val="none" w:sz="0" w:space="0" w:color="auto"/>
          </w:divBdr>
        </w:div>
        <w:div w:id="456947362">
          <w:marLeft w:val="0"/>
          <w:marRight w:val="0"/>
          <w:marTop w:val="0"/>
          <w:marBottom w:val="0"/>
          <w:divBdr>
            <w:top w:val="none" w:sz="0" w:space="0" w:color="auto"/>
            <w:left w:val="none" w:sz="0" w:space="0" w:color="auto"/>
            <w:bottom w:val="none" w:sz="0" w:space="0" w:color="auto"/>
            <w:right w:val="none" w:sz="0" w:space="0" w:color="auto"/>
          </w:divBdr>
        </w:div>
        <w:div w:id="1181358267">
          <w:marLeft w:val="0"/>
          <w:marRight w:val="0"/>
          <w:marTop w:val="0"/>
          <w:marBottom w:val="0"/>
          <w:divBdr>
            <w:top w:val="none" w:sz="0" w:space="0" w:color="auto"/>
            <w:left w:val="none" w:sz="0" w:space="0" w:color="auto"/>
            <w:bottom w:val="none" w:sz="0" w:space="0" w:color="auto"/>
            <w:right w:val="none" w:sz="0" w:space="0" w:color="auto"/>
          </w:divBdr>
        </w:div>
        <w:div w:id="1313561527">
          <w:marLeft w:val="0"/>
          <w:marRight w:val="0"/>
          <w:marTop w:val="0"/>
          <w:marBottom w:val="0"/>
          <w:divBdr>
            <w:top w:val="none" w:sz="0" w:space="0" w:color="auto"/>
            <w:left w:val="none" w:sz="0" w:space="0" w:color="auto"/>
            <w:bottom w:val="none" w:sz="0" w:space="0" w:color="auto"/>
            <w:right w:val="none" w:sz="0" w:space="0" w:color="auto"/>
          </w:divBdr>
        </w:div>
        <w:div w:id="213078048">
          <w:marLeft w:val="0"/>
          <w:marRight w:val="0"/>
          <w:marTop w:val="0"/>
          <w:marBottom w:val="0"/>
          <w:divBdr>
            <w:top w:val="none" w:sz="0" w:space="0" w:color="auto"/>
            <w:left w:val="none" w:sz="0" w:space="0" w:color="auto"/>
            <w:bottom w:val="none" w:sz="0" w:space="0" w:color="auto"/>
            <w:right w:val="none" w:sz="0" w:space="0" w:color="auto"/>
          </w:divBdr>
        </w:div>
        <w:div w:id="194930504">
          <w:marLeft w:val="0"/>
          <w:marRight w:val="0"/>
          <w:marTop w:val="0"/>
          <w:marBottom w:val="0"/>
          <w:divBdr>
            <w:top w:val="none" w:sz="0" w:space="0" w:color="auto"/>
            <w:left w:val="none" w:sz="0" w:space="0" w:color="auto"/>
            <w:bottom w:val="none" w:sz="0" w:space="0" w:color="auto"/>
            <w:right w:val="none" w:sz="0" w:space="0" w:color="auto"/>
          </w:divBdr>
        </w:div>
        <w:div w:id="1824925467">
          <w:marLeft w:val="0"/>
          <w:marRight w:val="0"/>
          <w:marTop w:val="0"/>
          <w:marBottom w:val="0"/>
          <w:divBdr>
            <w:top w:val="none" w:sz="0" w:space="0" w:color="auto"/>
            <w:left w:val="none" w:sz="0" w:space="0" w:color="auto"/>
            <w:bottom w:val="none" w:sz="0" w:space="0" w:color="auto"/>
            <w:right w:val="none" w:sz="0" w:space="0" w:color="auto"/>
          </w:divBdr>
        </w:div>
        <w:div w:id="1475559510">
          <w:marLeft w:val="0"/>
          <w:marRight w:val="0"/>
          <w:marTop w:val="0"/>
          <w:marBottom w:val="0"/>
          <w:divBdr>
            <w:top w:val="none" w:sz="0" w:space="0" w:color="auto"/>
            <w:left w:val="none" w:sz="0" w:space="0" w:color="auto"/>
            <w:bottom w:val="none" w:sz="0" w:space="0" w:color="auto"/>
            <w:right w:val="none" w:sz="0" w:space="0" w:color="auto"/>
          </w:divBdr>
        </w:div>
        <w:div w:id="885068066">
          <w:marLeft w:val="0"/>
          <w:marRight w:val="0"/>
          <w:marTop w:val="0"/>
          <w:marBottom w:val="0"/>
          <w:divBdr>
            <w:top w:val="none" w:sz="0" w:space="0" w:color="auto"/>
            <w:left w:val="none" w:sz="0" w:space="0" w:color="auto"/>
            <w:bottom w:val="none" w:sz="0" w:space="0" w:color="auto"/>
            <w:right w:val="none" w:sz="0" w:space="0" w:color="auto"/>
          </w:divBdr>
        </w:div>
        <w:div w:id="1516990736">
          <w:marLeft w:val="0"/>
          <w:marRight w:val="0"/>
          <w:marTop w:val="0"/>
          <w:marBottom w:val="0"/>
          <w:divBdr>
            <w:top w:val="none" w:sz="0" w:space="0" w:color="auto"/>
            <w:left w:val="none" w:sz="0" w:space="0" w:color="auto"/>
            <w:bottom w:val="none" w:sz="0" w:space="0" w:color="auto"/>
            <w:right w:val="none" w:sz="0" w:space="0" w:color="auto"/>
          </w:divBdr>
        </w:div>
        <w:div w:id="709837274">
          <w:marLeft w:val="0"/>
          <w:marRight w:val="0"/>
          <w:marTop w:val="0"/>
          <w:marBottom w:val="0"/>
          <w:divBdr>
            <w:top w:val="none" w:sz="0" w:space="0" w:color="auto"/>
            <w:left w:val="none" w:sz="0" w:space="0" w:color="auto"/>
            <w:bottom w:val="none" w:sz="0" w:space="0" w:color="auto"/>
            <w:right w:val="none" w:sz="0" w:space="0" w:color="auto"/>
          </w:divBdr>
        </w:div>
        <w:div w:id="1765108454">
          <w:marLeft w:val="0"/>
          <w:marRight w:val="0"/>
          <w:marTop w:val="0"/>
          <w:marBottom w:val="0"/>
          <w:divBdr>
            <w:top w:val="none" w:sz="0" w:space="0" w:color="auto"/>
            <w:left w:val="none" w:sz="0" w:space="0" w:color="auto"/>
            <w:bottom w:val="none" w:sz="0" w:space="0" w:color="auto"/>
            <w:right w:val="none" w:sz="0" w:space="0" w:color="auto"/>
          </w:divBdr>
        </w:div>
        <w:div w:id="846213636">
          <w:marLeft w:val="0"/>
          <w:marRight w:val="0"/>
          <w:marTop w:val="0"/>
          <w:marBottom w:val="0"/>
          <w:divBdr>
            <w:top w:val="none" w:sz="0" w:space="0" w:color="auto"/>
            <w:left w:val="none" w:sz="0" w:space="0" w:color="auto"/>
            <w:bottom w:val="none" w:sz="0" w:space="0" w:color="auto"/>
            <w:right w:val="none" w:sz="0" w:space="0" w:color="auto"/>
          </w:divBdr>
        </w:div>
        <w:div w:id="1540120397">
          <w:marLeft w:val="0"/>
          <w:marRight w:val="0"/>
          <w:marTop w:val="0"/>
          <w:marBottom w:val="0"/>
          <w:divBdr>
            <w:top w:val="none" w:sz="0" w:space="0" w:color="auto"/>
            <w:left w:val="none" w:sz="0" w:space="0" w:color="auto"/>
            <w:bottom w:val="none" w:sz="0" w:space="0" w:color="auto"/>
            <w:right w:val="none" w:sz="0" w:space="0" w:color="auto"/>
          </w:divBdr>
        </w:div>
        <w:div w:id="846217512">
          <w:marLeft w:val="0"/>
          <w:marRight w:val="0"/>
          <w:marTop w:val="0"/>
          <w:marBottom w:val="0"/>
          <w:divBdr>
            <w:top w:val="none" w:sz="0" w:space="0" w:color="auto"/>
            <w:left w:val="none" w:sz="0" w:space="0" w:color="auto"/>
            <w:bottom w:val="none" w:sz="0" w:space="0" w:color="auto"/>
            <w:right w:val="none" w:sz="0" w:space="0" w:color="auto"/>
          </w:divBdr>
        </w:div>
        <w:div w:id="703987740">
          <w:marLeft w:val="0"/>
          <w:marRight w:val="0"/>
          <w:marTop w:val="0"/>
          <w:marBottom w:val="0"/>
          <w:divBdr>
            <w:top w:val="none" w:sz="0" w:space="0" w:color="auto"/>
            <w:left w:val="none" w:sz="0" w:space="0" w:color="auto"/>
            <w:bottom w:val="none" w:sz="0" w:space="0" w:color="auto"/>
            <w:right w:val="none" w:sz="0" w:space="0" w:color="auto"/>
          </w:divBdr>
        </w:div>
        <w:div w:id="402337363">
          <w:marLeft w:val="0"/>
          <w:marRight w:val="0"/>
          <w:marTop w:val="0"/>
          <w:marBottom w:val="0"/>
          <w:divBdr>
            <w:top w:val="none" w:sz="0" w:space="0" w:color="auto"/>
            <w:left w:val="none" w:sz="0" w:space="0" w:color="auto"/>
            <w:bottom w:val="none" w:sz="0" w:space="0" w:color="auto"/>
            <w:right w:val="none" w:sz="0" w:space="0" w:color="auto"/>
          </w:divBdr>
        </w:div>
        <w:div w:id="810247157">
          <w:marLeft w:val="0"/>
          <w:marRight w:val="0"/>
          <w:marTop w:val="0"/>
          <w:marBottom w:val="0"/>
          <w:divBdr>
            <w:top w:val="none" w:sz="0" w:space="0" w:color="auto"/>
            <w:left w:val="none" w:sz="0" w:space="0" w:color="auto"/>
            <w:bottom w:val="none" w:sz="0" w:space="0" w:color="auto"/>
            <w:right w:val="none" w:sz="0" w:space="0" w:color="auto"/>
          </w:divBdr>
        </w:div>
      </w:divsChild>
    </w:div>
    <w:div w:id="1650866551">
      <w:bodyDiv w:val="1"/>
      <w:marLeft w:val="0"/>
      <w:marRight w:val="0"/>
      <w:marTop w:val="0"/>
      <w:marBottom w:val="0"/>
      <w:divBdr>
        <w:top w:val="none" w:sz="0" w:space="0" w:color="auto"/>
        <w:left w:val="none" w:sz="0" w:space="0" w:color="auto"/>
        <w:bottom w:val="none" w:sz="0" w:space="0" w:color="auto"/>
        <w:right w:val="none" w:sz="0" w:space="0" w:color="auto"/>
      </w:divBdr>
      <w:divsChild>
        <w:div w:id="1783767999">
          <w:marLeft w:val="0"/>
          <w:marRight w:val="0"/>
          <w:marTop w:val="0"/>
          <w:marBottom w:val="0"/>
          <w:divBdr>
            <w:top w:val="none" w:sz="0" w:space="0" w:color="auto"/>
            <w:left w:val="none" w:sz="0" w:space="0" w:color="auto"/>
            <w:bottom w:val="none" w:sz="0" w:space="0" w:color="auto"/>
            <w:right w:val="none" w:sz="0" w:space="0" w:color="auto"/>
          </w:divBdr>
        </w:div>
        <w:div w:id="2036077683">
          <w:marLeft w:val="0"/>
          <w:marRight w:val="0"/>
          <w:marTop w:val="0"/>
          <w:marBottom w:val="0"/>
          <w:divBdr>
            <w:top w:val="none" w:sz="0" w:space="0" w:color="auto"/>
            <w:left w:val="none" w:sz="0" w:space="0" w:color="auto"/>
            <w:bottom w:val="none" w:sz="0" w:space="0" w:color="auto"/>
            <w:right w:val="none" w:sz="0" w:space="0" w:color="auto"/>
          </w:divBdr>
        </w:div>
        <w:div w:id="2125151420">
          <w:marLeft w:val="0"/>
          <w:marRight w:val="0"/>
          <w:marTop w:val="0"/>
          <w:marBottom w:val="0"/>
          <w:divBdr>
            <w:top w:val="none" w:sz="0" w:space="0" w:color="auto"/>
            <w:left w:val="none" w:sz="0" w:space="0" w:color="auto"/>
            <w:bottom w:val="none" w:sz="0" w:space="0" w:color="auto"/>
            <w:right w:val="none" w:sz="0" w:space="0" w:color="auto"/>
          </w:divBdr>
        </w:div>
        <w:div w:id="249509734">
          <w:marLeft w:val="0"/>
          <w:marRight w:val="0"/>
          <w:marTop w:val="0"/>
          <w:marBottom w:val="0"/>
          <w:divBdr>
            <w:top w:val="none" w:sz="0" w:space="0" w:color="auto"/>
            <w:left w:val="none" w:sz="0" w:space="0" w:color="auto"/>
            <w:bottom w:val="none" w:sz="0" w:space="0" w:color="auto"/>
            <w:right w:val="none" w:sz="0" w:space="0" w:color="auto"/>
          </w:divBdr>
        </w:div>
        <w:div w:id="1836023737">
          <w:marLeft w:val="0"/>
          <w:marRight w:val="0"/>
          <w:marTop w:val="0"/>
          <w:marBottom w:val="0"/>
          <w:divBdr>
            <w:top w:val="none" w:sz="0" w:space="0" w:color="auto"/>
            <w:left w:val="none" w:sz="0" w:space="0" w:color="auto"/>
            <w:bottom w:val="none" w:sz="0" w:space="0" w:color="auto"/>
            <w:right w:val="none" w:sz="0" w:space="0" w:color="auto"/>
          </w:divBdr>
        </w:div>
        <w:div w:id="208417966">
          <w:marLeft w:val="0"/>
          <w:marRight w:val="0"/>
          <w:marTop w:val="0"/>
          <w:marBottom w:val="0"/>
          <w:divBdr>
            <w:top w:val="none" w:sz="0" w:space="0" w:color="auto"/>
            <w:left w:val="none" w:sz="0" w:space="0" w:color="auto"/>
            <w:bottom w:val="none" w:sz="0" w:space="0" w:color="auto"/>
            <w:right w:val="none" w:sz="0" w:space="0" w:color="auto"/>
          </w:divBdr>
        </w:div>
        <w:div w:id="321155556">
          <w:marLeft w:val="0"/>
          <w:marRight w:val="0"/>
          <w:marTop w:val="0"/>
          <w:marBottom w:val="0"/>
          <w:divBdr>
            <w:top w:val="none" w:sz="0" w:space="0" w:color="auto"/>
            <w:left w:val="none" w:sz="0" w:space="0" w:color="auto"/>
            <w:bottom w:val="none" w:sz="0" w:space="0" w:color="auto"/>
            <w:right w:val="none" w:sz="0" w:space="0" w:color="auto"/>
          </w:divBdr>
        </w:div>
      </w:divsChild>
    </w:div>
    <w:div w:id="1761488529">
      <w:bodyDiv w:val="1"/>
      <w:marLeft w:val="0"/>
      <w:marRight w:val="0"/>
      <w:marTop w:val="0"/>
      <w:marBottom w:val="0"/>
      <w:divBdr>
        <w:top w:val="none" w:sz="0" w:space="0" w:color="auto"/>
        <w:left w:val="none" w:sz="0" w:space="0" w:color="auto"/>
        <w:bottom w:val="none" w:sz="0" w:space="0" w:color="auto"/>
        <w:right w:val="none" w:sz="0" w:space="0" w:color="auto"/>
      </w:divBdr>
      <w:divsChild>
        <w:div w:id="143473514">
          <w:marLeft w:val="0"/>
          <w:marRight w:val="0"/>
          <w:marTop w:val="0"/>
          <w:marBottom w:val="0"/>
          <w:divBdr>
            <w:top w:val="none" w:sz="0" w:space="0" w:color="auto"/>
            <w:left w:val="none" w:sz="0" w:space="0" w:color="auto"/>
            <w:bottom w:val="none" w:sz="0" w:space="0" w:color="auto"/>
            <w:right w:val="none" w:sz="0" w:space="0" w:color="auto"/>
          </w:divBdr>
        </w:div>
        <w:div w:id="1919436809">
          <w:marLeft w:val="0"/>
          <w:marRight w:val="0"/>
          <w:marTop w:val="0"/>
          <w:marBottom w:val="0"/>
          <w:divBdr>
            <w:top w:val="none" w:sz="0" w:space="0" w:color="auto"/>
            <w:left w:val="none" w:sz="0" w:space="0" w:color="auto"/>
            <w:bottom w:val="none" w:sz="0" w:space="0" w:color="auto"/>
            <w:right w:val="none" w:sz="0" w:space="0" w:color="auto"/>
          </w:divBdr>
        </w:div>
        <w:div w:id="805973133">
          <w:marLeft w:val="0"/>
          <w:marRight w:val="0"/>
          <w:marTop w:val="0"/>
          <w:marBottom w:val="0"/>
          <w:divBdr>
            <w:top w:val="none" w:sz="0" w:space="0" w:color="auto"/>
            <w:left w:val="none" w:sz="0" w:space="0" w:color="auto"/>
            <w:bottom w:val="none" w:sz="0" w:space="0" w:color="auto"/>
            <w:right w:val="none" w:sz="0" w:space="0" w:color="auto"/>
          </w:divBdr>
        </w:div>
        <w:div w:id="792748703">
          <w:marLeft w:val="0"/>
          <w:marRight w:val="0"/>
          <w:marTop w:val="0"/>
          <w:marBottom w:val="0"/>
          <w:divBdr>
            <w:top w:val="none" w:sz="0" w:space="0" w:color="auto"/>
            <w:left w:val="none" w:sz="0" w:space="0" w:color="auto"/>
            <w:bottom w:val="none" w:sz="0" w:space="0" w:color="auto"/>
            <w:right w:val="none" w:sz="0" w:space="0" w:color="auto"/>
          </w:divBdr>
        </w:div>
        <w:div w:id="529345320">
          <w:marLeft w:val="0"/>
          <w:marRight w:val="0"/>
          <w:marTop w:val="0"/>
          <w:marBottom w:val="0"/>
          <w:divBdr>
            <w:top w:val="none" w:sz="0" w:space="0" w:color="auto"/>
            <w:left w:val="none" w:sz="0" w:space="0" w:color="auto"/>
            <w:bottom w:val="none" w:sz="0" w:space="0" w:color="auto"/>
            <w:right w:val="none" w:sz="0" w:space="0" w:color="auto"/>
          </w:divBdr>
        </w:div>
        <w:div w:id="7046019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pro.ligazakon.net/document/GK42823?ed=2019_06_24&amp;an=817" TargetMode="External"/><Relationship Id="rId13" Type="http://schemas.openxmlformats.org/officeDocument/2006/relationships/hyperlink" Target="https://zakon-pro.ligazakon.net/document/GK57693?ed=2024_11_26&amp;an=28" TargetMode="External"/><Relationship Id="rId18" Type="http://schemas.openxmlformats.org/officeDocument/2006/relationships/hyperlink" Target="https://zakon-pro.ligazakon.net/document/GK51491?ed=2022_05_06&amp;an=148"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zakon-pro.ligazakon.net/document/GK42823?ed=2019_06_24&amp;an=816" TargetMode="External"/><Relationship Id="rId12" Type="http://schemas.openxmlformats.org/officeDocument/2006/relationships/hyperlink" Target="https://zakon-pro.ligazakon.net/document/GK57693?ed=2024_11_26&amp;an=27" TargetMode="External"/><Relationship Id="rId17" Type="http://schemas.openxmlformats.org/officeDocument/2006/relationships/hyperlink" Target="https://zakon-pro.ligazakon.net/document/GK57693?ed=2024_11_26&amp;an=45" TargetMode="External"/><Relationship Id="rId2" Type="http://schemas.openxmlformats.org/officeDocument/2006/relationships/styles" Target="styles.xml"/><Relationship Id="rId16" Type="http://schemas.openxmlformats.org/officeDocument/2006/relationships/hyperlink" Target="https://zakon-pro.ligazakon.net/document/GK57693?ed=2024_11_26&amp;an=45"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pro.ligazakon.net/document/GK57693?ed=2024_11_26&amp;an=26" TargetMode="External"/><Relationship Id="rId5" Type="http://schemas.openxmlformats.org/officeDocument/2006/relationships/footnotes" Target="footnotes.xml"/><Relationship Id="rId15" Type="http://schemas.openxmlformats.org/officeDocument/2006/relationships/hyperlink" Target="https://zakon-pro.ligazakon.net/document/GK57693?ed=2024_11_26&amp;an=45" TargetMode="External"/><Relationship Id="rId10" Type="http://schemas.openxmlformats.org/officeDocument/2006/relationships/hyperlink" Target="https://zakon-pro.ligazakon.net/document/GK57693?ed=2024_11_26&amp;an=25" TargetMode="External"/><Relationship Id="rId19"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hyperlink" Target="https://zakon-pro.ligazakon.net/document/GK48214?ed=2021_02_15&amp;an=129" TargetMode="External"/><Relationship Id="rId14" Type="http://schemas.openxmlformats.org/officeDocument/2006/relationships/hyperlink" Target="https://zakon-pro.ligazakon.net/document/GK57693?ed=2024_11_26&amp;an=4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14</Pages>
  <Words>24840</Words>
  <Characters>14160</Characters>
  <Application>Microsoft Office Word</Application>
  <DocSecurity>0</DocSecurity>
  <Lines>118</Lines>
  <Paragraphs>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Бажан Антоніна Миколаївна</dc:creator>
  <cp:keywords/>
  <dc:description/>
  <cp:lastModifiedBy>Любов Плахута</cp:lastModifiedBy>
  <cp:revision>13</cp:revision>
  <dcterms:created xsi:type="dcterms:W3CDTF">2026-07-27T11:18:00Z</dcterms:created>
  <dcterms:modified xsi:type="dcterms:W3CDTF">2026-08-03T07:01:00Z</dcterms:modified>
</cp:coreProperties>
</file>