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9D9C2" w14:textId="77777777" w:rsidR="00924516" w:rsidRDefault="00C36F64">
      <w:pPr>
        <w:jc w:val="center"/>
      </w:pPr>
      <w:r>
        <w:rPr>
          <w:b/>
          <w:bCs/>
          <w:sz w:val="28"/>
          <w:szCs w:val="28"/>
        </w:rPr>
        <w:t xml:space="preserve"> </w:t>
      </w:r>
    </w:p>
    <w:p w14:paraId="64B3993A" w14:textId="77777777" w:rsidR="00924516" w:rsidRDefault="00C36F64">
      <w:pPr>
        <w:jc w:val="center"/>
      </w:pPr>
      <w:r>
        <w:rPr>
          <w:b/>
          <w:bCs/>
          <w:sz w:val="28"/>
          <w:szCs w:val="28"/>
        </w:rPr>
        <w:t>Обґрунтування</w:t>
      </w:r>
    </w:p>
    <w:p w14:paraId="590A3749" w14:textId="77777777" w:rsidR="00924516" w:rsidRDefault="00C36F64">
      <w:pPr>
        <w:jc w:val="center"/>
      </w:pPr>
      <w:r>
        <w:rPr>
          <w:b/>
          <w:bCs/>
          <w:sz w:val="28"/>
          <w:szCs w:val="28"/>
        </w:rPr>
        <w:t>до питання про схвалення проєкту рішення,</w:t>
      </w:r>
    </w:p>
    <w:p w14:paraId="77F7D6F7" w14:textId="46402A17" w:rsidR="00924516" w:rsidRDefault="00C36F64">
      <w:pPr>
        <w:jc w:val="center"/>
      </w:pPr>
      <w:r>
        <w:rPr>
          <w:b/>
          <w:bCs/>
          <w:sz w:val="28"/>
          <w:szCs w:val="28"/>
        </w:rPr>
        <w:t xml:space="preserve">що має ознаки регуляторного акта, </w:t>
      </w:r>
      <w:r w:rsidR="00C517B0">
        <w:rPr>
          <w:b/>
          <w:bCs/>
          <w:sz w:val="28"/>
          <w:szCs w:val="28"/>
        </w:rPr>
        <w:t>–</w:t>
      </w:r>
      <w:bookmarkStart w:id="0" w:name="_GoBack"/>
      <w:bookmarkEnd w:id="0"/>
      <w:r>
        <w:rPr>
          <w:b/>
          <w:bCs/>
          <w:sz w:val="28"/>
          <w:szCs w:val="28"/>
        </w:rPr>
        <w:t xml:space="preserve"> постанови НКРЕКП</w:t>
      </w:r>
    </w:p>
    <w:p w14:paraId="79FEADB3" w14:textId="0498FFF9" w:rsidR="00924516" w:rsidRDefault="00C36F64" w:rsidP="00526B31">
      <w:pPr>
        <w:jc w:val="center"/>
      </w:pPr>
      <w:r>
        <w:rPr>
          <w:b/>
          <w:bCs/>
          <w:sz w:val="28"/>
          <w:szCs w:val="28"/>
        </w:rPr>
        <w:t>«</w:t>
      </w:r>
      <w:bookmarkStart w:id="1" w:name="_Hlk235009444"/>
      <w:r w:rsidR="00526B31" w:rsidRPr="00526B31">
        <w:rPr>
          <w:b/>
          <w:bCs/>
          <w:sz w:val="28"/>
          <w:szCs w:val="28"/>
        </w:rPr>
        <w:t>Про затвердження Змін до Кодексу газотранспортної системи та Кодексу газосховищ</w:t>
      </w:r>
      <w:bookmarkEnd w:id="1"/>
      <w:r>
        <w:rPr>
          <w:b/>
          <w:bCs/>
          <w:sz w:val="28"/>
          <w:szCs w:val="28"/>
        </w:rPr>
        <w:t>»</w:t>
      </w:r>
    </w:p>
    <w:p w14:paraId="3A5AA27D" w14:textId="3396D4E6" w:rsidR="00924516" w:rsidRDefault="00C36F64">
      <w:pPr>
        <w:jc w:val="center"/>
      </w:pPr>
      <w:r>
        <w:rPr>
          <w:i/>
          <w:iCs/>
          <w:sz w:val="28"/>
          <w:szCs w:val="28"/>
        </w:rPr>
        <w:t>(щодо запровадження звіт</w:t>
      </w:r>
      <w:r w:rsidR="005439EA">
        <w:rPr>
          <w:i/>
          <w:iCs/>
          <w:sz w:val="28"/>
          <w:szCs w:val="28"/>
        </w:rPr>
        <w:t>ів</w:t>
      </w:r>
      <w:r>
        <w:rPr>
          <w:i/>
          <w:iCs/>
          <w:sz w:val="28"/>
          <w:szCs w:val="28"/>
        </w:rPr>
        <w:t xml:space="preserve"> про технічний стан об’єктів газотранспортної системи та газосховищ)</w:t>
      </w:r>
    </w:p>
    <w:p w14:paraId="05A018DC" w14:textId="77777777" w:rsidR="00A96809" w:rsidRDefault="00A96809">
      <w:pPr>
        <w:ind w:firstLine="567"/>
        <w:jc w:val="both"/>
        <w:rPr>
          <w:sz w:val="28"/>
          <w:szCs w:val="28"/>
        </w:rPr>
      </w:pPr>
    </w:p>
    <w:p w14:paraId="4AA76048" w14:textId="2AA584BB" w:rsidR="00924516" w:rsidRDefault="00C36F64">
      <w:pPr>
        <w:ind w:firstLine="567"/>
        <w:jc w:val="both"/>
      </w:pPr>
      <w:r>
        <w:rPr>
          <w:sz w:val="28"/>
          <w:szCs w:val="28"/>
        </w:rPr>
        <w:t>На виконання вимог статті 4 Закону України «Про ринок природного газу» та частини першої статті 19 Закону про НКРЕКП постановою НКРЕКП від 30.09.2015 № 2493 затверджено Кодекс газотранспортної системи (далі – Кодекс ГТС),  а постановою НКРЕКП від 30.09.2015 № 2495 – Кодекс газосховищ (далі – Кодекс газосховищ)</w:t>
      </w:r>
      <w:r w:rsidR="00A96809">
        <w:rPr>
          <w:sz w:val="28"/>
          <w:szCs w:val="28"/>
        </w:rPr>
        <w:t>.</w:t>
      </w:r>
    </w:p>
    <w:p w14:paraId="31BD44AD" w14:textId="77777777" w:rsidR="00A96809" w:rsidRDefault="00C36F6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Розділом V Кодексу ГТС та розділом V Кодексу газосховищ визначено порядок розроблення операторами газотранспортної системи та газосховищ планів розвитку відповідних систем на наступні 10 років. </w:t>
      </w:r>
    </w:p>
    <w:p w14:paraId="7E5359AF" w14:textId="2BC2232C" w:rsidR="006C45C3" w:rsidRDefault="006C45C3" w:rsidP="006C45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Проєктом постанови</w:t>
      </w:r>
      <w:r w:rsidR="00B018AD" w:rsidRPr="00B018AD">
        <w:rPr>
          <w:sz w:val="28"/>
          <w:szCs w:val="28"/>
        </w:rPr>
        <w:t xml:space="preserve"> </w:t>
      </w:r>
      <w:r w:rsidR="00B018AD">
        <w:rPr>
          <w:sz w:val="28"/>
          <w:szCs w:val="28"/>
        </w:rPr>
        <w:t>НКРЕКП «</w:t>
      </w:r>
      <w:r w:rsidR="00B018AD" w:rsidRPr="00526B31">
        <w:rPr>
          <w:sz w:val="28"/>
          <w:szCs w:val="28"/>
        </w:rPr>
        <w:t>Про затвердження Змін до Кодексу газотранспортної системи та Кодексу газосховищ</w:t>
      </w:r>
      <w:r w:rsidR="00B018AD">
        <w:rPr>
          <w:sz w:val="28"/>
          <w:szCs w:val="28"/>
        </w:rPr>
        <w:t>» (далі – проєкт постанови)</w:t>
      </w:r>
      <w:r>
        <w:rPr>
          <w:sz w:val="28"/>
          <w:szCs w:val="28"/>
        </w:rPr>
        <w:t xml:space="preserve"> пропонується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до розділу V Кодексу ГТС та розділу V Кодексу газосховищ, якими передбачається впровадження формування </w:t>
      </w:r>
      <w:r w:rsidR="006F55F1">
        <w:rPr>
          <w:sz w:val="28"/>
          <w:szCs w:val="28"/>
        </w:rPr>
        <w:t>о</w:t>
      </w:r>
      <w:r>
        <w:rPr>
          <w:sz w:val="28"/>
          <w:szCs w:val="28"/>
        </w:rPr>
        <w:t xml:space="preserve">ператором ГТС та </w:t>
      </w:r>
      <w:r w:rsidR="006F55F1">
        <w:rPr>
          <w:sz w:val="28"/>
          <w:szCs w:val="28"/>
        </w:rPr>
        <w:t>о</w:t>
      </w:r>
      <w:r>
        <w:rPr>
          <w:sz w:val="28"/>
          <w:szCs w:val="28"/>
        </w:rPr>
        <w:t xml:space="preserve">ператором </w:t>
      </w:r>
      <w:r w:rsidR="00B018AD">
        <w:rPr>
          <w:sz w:val="28"/>
          <w:szCs w:val="28"/>
        </w:rPr>
        <w:t>газосховищ</w:t>
      </w:r>
      <w:r>
        <w:rPr>
          <w:sz w:val="28"/>
          <w:szCs w:val="28"/>
        </w:rPr>
        <w:t xml:space="preserve"> звітів  </w:t>
      </w:r>
      <w:r w:rsidRPr="006C45C3">
        <w:rPr>
          <w:sz w:val="28"/>
          <w:szCs w:val="28"/>
        </w:rPr>
        <w:t>про технічний стан об’єктів газотранспортної системи та об’єктів газосховищ</w:t>
      </w:r>
      <w:r>
        <w:rPr>
          <w:sz w:val="28"/>
          <w:szCs w:val="28"/>
        </w:rPr>
        <w:t xml:space="preserve"> за результатами роботи таких об’єктів.</w:t>
      </w:r>
    </w:p>
    <w:p w14:paraId="78DC5315" w14:textId="476C4090" w:rsidR="006C45C3" w:rsidRDefault="006C45C3" w:rsidP="006C45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Такі звіти про технічний стан визначатимуть, зокрема:</w:t>
      </w:r>
    </w:p>
    <w:p w14:paraId="376C4963" w14:textId="77777777" w:rsidR="006C45C3" w:rsidRPr="00093511" w:rsidRDefault="006C45C3" w:rsidP="006C45C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93511">
        <w:rPr>
          <w:sz w:val="28"/>
          <w:szCs w:val="28"/>
        </w:rPr>
        <w:t>цінку фактичного технічного стану об’єктів;</w:t>
      </w:r>
    </w:p>
    <w:p w14:paraId="50481F13" w14:textId="77777777" w:rsidR="006C45C3" w:rsidRDefault="006C45C3" w:rsidP="006C45C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93511">
        <w:rPr>
          <w:sz w:val="28"/>
          <w:szCs w:val="28"/>
        </w:rPr>
        <w:t>наліз аварійності, пошкоджень та ризиків діяльності ліцензіатів;</w:t>
      </w:r>
    </w:p>
    <w:p w14:paraId="79DCFA02" w14:textId="77777777" w:rsidR="006C45C3" w:rsidRDefault="006C45C3" w:rsidP="006C45C3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потреби в капітальному ремонті, реконструкції або заміні складових газотранспортної системи та/або газосховищ;</w:t>
      </w:r>
    </w:p>
    <w:p w14:paraId="2D702453" w14:textId="77777777" w:rsidR="006C45C3" w:rsidRPr="00BA6973" w:rsidRDefault="006C45C3" w:rsidP="006C45C3">
      <w:pPr>
        <w:pStyle w:val="a4"/>
        <w:numPr>
          <w:ilvl w:val="0"/>
          <w:numId w:val="2"/>
        </w:numPr>
        <w:jc w:val="both"/>
      </w:pPr>
      <w:r w:rsidRPr="00093511">
        <w:rPr>
          <w:sz w:val="28"/>
          <w:szCs w:val="28"/>
        </w:rPr>
        <w:t>обґрунтування необхідності передбачення відповідних заходів у Планах розвитку (інвестиційних програмах) ліцензіатів.</w:t>
      </w:r>
    </w:p>
    <w:p w14:paraId="08D1FD39" w14:textId="49F7F5D5" w:rsidR="00BA6973" w:rsidRPr="00BA6973" w:rsidRDefault="00BA6973" w:rsidP="00BA69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цього, </w:t>
      </w:r>
      <w:r w:rsidR="00B018AD">
        <w:rPr>
          <w:sz w:val="28"/>
          <w:szCs w:val="28"/>
        </w:rPr>
        <w:t xml:space="preserve">пропонується </w:t>
      </w:r>
      <w:r w:rsidRPr="00BA6973">
        <w:rPr>
          <w:sz w:val="28"/>
          <w:szCs w:val="28"/>
        </w:rPr>
        <w:t>встанов</w:t>
      </w:r>
      <w:r w:rsidR="00B018AD">
        <w:rPr>
          <w:sz w:val="28"/>
          <w:szCs w:val="28"/>
        </w:rPr>
        <w:t>ити</w:t>
      </w:r>
      <w:r w:rsidRPr="00BA6973">
        <w:rPr>
          <w:sz w:val="28"/>
          <w:szCs w:val="28"/>
        </w:rPr>
        <w:t xml:space="preserve"> порядок, строки (щороку до 15 жовтня року, наступного за звітним) та формат подання операторами звітів про технічний стан об’єктів газотранспортної системи та газосховищ Регулятору.</w:t>
      </w:r>
    </w:p>
    <w:p w14:paraId="7B759A82" w14:textId="7D7DE90E" w:rsidR="00A96809" w:rsidRDefault="006C45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Запровадження звіт</w:t>
      </w:r>
      <w:r w:rsidR="00BA6973">
        <w:rPr>
          <w:sz w:val="28"/>
          <w:szCs w:val="28"/>
        </w:rPr>
        <w:t>ів</w:t>
      </w:r>
      <w:r>
        <w:rPr>
          <w:sz w:val="28"/>
          <w:szCs w:val="28"/>
        </w:rPr>
        <w:t xml:space="preserve"> про технічний стан </w:t>
      </w:r>
      <w:r w:rsidR="00BA6973" w:rsidRPr="00BA6973">
        <w:rPr>
          <w:sz w:val="28"/>
          <w:szCs w:val="28"/>
        </w:rPr>
        <w:t xml:space="preserve">об’єктів газотранспортної системи та газосховищ </w:t>
      </w:r>
      <w:r>
        <w:rPr>
          <w:sz w:val="28"/>
          <w:szCs w:val="28"/>
        </w:rPr>
        <w:t>дозволить підвищити</w:t>
      </w:r>
      <w:r w:rsidRPr="006C4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обґрунтованість та прозорість процесу планування підтримання в належному стані,  розвитку газотранспортної системи та газосховищ, посилення взаємодії операторів ГТС та </w:t>
      </w:r>
      <w:r w:rsidR="00B018AD">
        <w:rPr>
          <w:sz w:val="28"/>
          <w:szCs w:val="28"/>
        </w:rPr>
        <w:t>газосховищ</w:t>
      </w:r>
      <w:r>
        <w:rPr>
          <w:sz w:val="28"/>
          <w:szCs w:val="28"/>
        </w:rPr>
        <w:t xml:space="preserve"> з учасниками ринку природного газу, що сприятиме надійності та безпеці постачання природного газу споживачам.</w:t>
      </w:r>
    </w:p>
    <w:p w14:paraId="67274251" w14:textId="77777777" w:rsidR="00BA6973" w:rsidRDefault="00BA6973" w:rsidP="00BA6973">
      <w:pPr>
        <w:tabs>
          <w:tab w:val="left" w:pos="720"/>
        </w:tabs>
        <w:spacing w:line="31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Цей Проєкт постанови має ознаки регуляторного акта.</w:t>
      </w:r>
    </w:p>
    <w:p w14:paraId="154CD070" w14:textId="008708BE" w:rsidR="00924516" w:rsidRDefault="00C36F64">
      <w:pPr>
        <w:ind w:firstLine="567"/>
        <w:jc w:val="both"/>
      </w:pPr>
      <w:r>
        <w:rPr>
          <w:sz w:val="28"/>
          <w:szCs w:val="28"/>
        </w:rPr>
        <w:t>Ураховуючи викладене, Департамент із регулювання відносин у нафтогазовій сфері пропонує:</w:t>
      </w:r>
    </w:p>
    <w:p w14:paraId="3EE50C3D" w14:textId="18D228EB" w:rsidR="00924516" w:rsidRDefault="00C36F64">
      <w:pPr>
        <w:ind w:firstLine="567"/>
        <w:jc w:val="both"/>
      </w:pPr>
      <w:r>
        <w:rPr>
          <w:sz w:val="28"/>
          <w:szCs w:val="28"/>
        </w:rPr>
        <w:t>1. Схвалити проєкт постанови НКРЕКП «</w:t>
      </w:r>
      <w:r w:rsidR="00526B31" w:rsidRPr="00526B31">
        <w:rPr>
          <w:sz w:val="28"/>
          <w:szCs w:val="28"/>
        </w:rPr>
        <w:t>Про затвердження Змін до Кодексу газотранспортної системи та Кодексу газосховищ</w:t>
      </w:r>
      <w:r>
        <w:rPr>
          <w:sz w:val="28"/>
          <w:szCs w:val="28"/>
        </w:rPr>
        <w:t>».</w:t>
      </w:r>
    </w:p>
    <w:p w14:paraId="741358CC" w14:textId="6F175F75" w:rsidR="00924516" w:rsidRDefault="00C36F64">
      <w:pPr>
        <w:ind w:firstLine="567"/>
        <w:jc w:val="both"/>
      </w:pPr>
      <w:r>
        <w:rPr>
          <w:sz w:val="28"/>
          <w:szCs w:val="28"/>
        </w:rPr>
        <w:lastRenderedPageBreak/>
        <w:t>2. Оприлюднити проєкт постанови НКРЕКП «</w:t>
      </w:r>
      <w:r w:rsidR="00526B31" w:rsidRPr="00526B31">
        <w:rPr>
          <w:sz w:val="28"/>
          <w:szCs w:val="28"/>
        </w:rPr>
        <w:t>Про затвердження Змін до Кодексу газотранспортної системи та Кодексу газосховищ</w:t>
      </w:r>
      <w:r>
        <w:rPr>
          <w:sz w:val="28"/>
          <w:szCs w:val="28"/>
        </w:rPr>
        <w:t>» разом з матеріалами, що обґрунтовують необхідність його прийняття, на офіційному вебсайті НКРЕКП www.nerc.gov.ua з метою одержання зауважень і пропозицій.</w:t>
      </w:r>
    </w:p>
    <w:p w14:paraId="321EBA19" w14:textId="497C65D7" w:rsidR="00924516" w:rsidRDefault="00924516">
      <w:pPr>
        <w:rPr>
          <w:sz w:val="28"/>
        </w:rPr>
      </w:pPr>
    </w:p>
    <w:p w14:paraId="445BD35B" w14:textId="77777777" w:rsidR="00526B31" w:rsidRPr="00526B31" w:rsidRDefault="00526B31">
      <w:pPr>
        <w:rPr>
          <w:sz w:val="28"/>
        </w:rPr>
      </w:pPr>
    </w:p>
    <w:p w14:paraId="5FD62693" w14:textId="77777777" w:rsidR="00924516" w:rsidRDefault="00C36F64">
      <w:r>
        <w:rPr>
          <w:b/>
          <w:bCs/>
          <w:sz w:val="28"/>
          <w:szCs w:val="28"/>
        </w:rPr>
        <w:t>Директор Департаменту</w:t>
      </w:r>
    </w:p>
    <w:p w14:paraId="3592B8E8" w14:textId="77777777" w:rsidR="00924516" w:rsidRDefault="00C36F64">
      <w:r>
        <w:rPr>
          <w:b/>
          <w:bCs/>
          <w:sz w:val="28"/>
          <w:szCs w:val="28"/>
        </w:rPr>
        <w:t>із регулювання відносин</w:t>
      </w:r>
    </w:p>
    <w:p w14:paraId="58CC7E83" w14:textId="77777777" w:rsidR="00924516" w:rsidRDefault="00C36F64">
      <w:pPr>
        <w:tabs>
          <w:tab w:val="right" w:pos="9639"/>
        </w:tabs>
      </w:pPr>
      <w:r>
        <w:rPr>
          <w:b/>
          <w:bCs/>
          <w:sz w:val="28"/>
          <w:szCs w:val="28"/>
        </w:rPr>
        <w:t>у нафтогазовій сфері</w:t>
      </w:r>
      <w:r>
        <w:rPr>
          <w:b/>
          <w:bCs/>
          <w:sz w:val="28"/>
          <w:szCs w:val="28"/>
        </w:rPr>
        <w:tab/>
        <w:t>Олександр КОСЯНЧУК</w:t>
      </w:r>
    </w:p>
    <w:sectPr w:rsidR="00924516">
      <w:pgSz w:w="11906" w:h="16838"/>
      <w:pgMar w:top="851" w:right="566" w:bottom="1701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041B49"/>
    <w:multiLevelType w:val="hybridMultilevel"/>
    <w:tmpl w:val="CB6EB644"/>
    <w:lvl w:ilvl="0" w:tplc="C1846832">
      <w:start w:val="1"/>
      <w:numFmt w:val="bullet"/>
      <w:lvlText w:val="●"/>
      <w:lvlJc w:val="left"/>
      <w:pPr>
        <w:ind w:left="720" w:hanging="360"/>
      </w:pPr>
    </w:lvl>
    <w:lvl w:ilvl="1" w:tplc="C2AE0A5C">
      <w:start w:val="1"/>
      <w:numFmt w:val="bullet"/>
      <w:lvlText w:val="○"/>
      <w:lvlJc w:val="left"/>
      <w:pPr>
        <w:ind w:left="1440" w:hanging="360"/>
      </w:pPr>
    </w:lvl>
    <w:lvl w:ilvl="2" w:tplc="AAA2A518">
      <w:start w:val="1"/>
      <w:numFmt w:val="bullet"/>
      <w:lvlText w:val="■"/>
      <w:lvlJc w:val="left"/>
      <w:pPr>
        <w:ind w:left="2160" w:hanging="360"/>
      </w:pPr>
    </w:lvl>
    <w:lvl w:ilvl="3" w:tplc="10B8E60E">
      <w:start w:val="1"/>
      <w:numFmt w:val="bullet"/>
      <w:lvlText w:val="●"/>
      <w:lvlJc w:val="left"/>
      <w:pPr>
        <w:ind w:left="2880" w:hanging="360"/>
      </w:pPr>
    </w:lvl>
    <w:lvl w:ilvl="4" w:tplc="38FECC50">
      <w:start w:val="1"/>
      <w:numFmt w:val="bullet"/>
      <w:lvlText w:val="○"/>
      <w:lvlJc w:val="left"/>
      <w:pPr>
        <w:ind w:left="3600" w:hanging="360"/>
      </w:pPr>
    </w:lvl>
    <w:lvl w:ilvl="5" w:tplc="A80EA4B8">
      <w:start w:val="1"/>
      <w:numFmt w:val="bullet"/>
      <w:lvlText w:val="■"/>
      <w:lvlJc w:val="left"/>
      <w:pPr>
        <w:ind w:left="4320" w:hanging="360"/>
      </w:pPr>
    </w:lvl>
    <w:lvl w:ilvl="6" w:tplc="C5F61576">
      <w:start w:val="1"/>
      <w:numFmt w:val="bullet"/>
      <w:lvlText w:val="●"/>
      <w:lvlJc w:val="left"/>
      <w:pPr>
        <w:ind w:left="5040" w:hanging="360"/>
      </w:pPr>
    </w:lvl>
    <w:lvl w:ilvl="7" w:tplc="C87A6384">
      <w:start w:val="1"/>
      <w:numFmt w:val="bullet"/>
      <w:lvlText w:val="●"/>
      <w:lvlJc w:val="left"/>
      <w:pPr>
        <w:ind w:left="5760" w:hanging="360"/>
      </w:pPr>
    </w:lvl>
    <w:lvl w:ilvl="8" w:tplc="524A4F2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87C0C7B"/>
    <w:multiLevelType w:val="hybridMultilevel"/>
    <w:tmpl w:val="CD269E78"/>
    <w:lvl w:ilvl="0" w:tplc="E848AE6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516"/>
    <w:rsid w:val="00093511"/>
    <w:rsid w:val="000D2C8D"/>
    <w:rsid w:val="00210EB2"/>
    <w:rsid w:val="00526B31"/>
    <w:rsid w:val="005439EA"/>
    <w:rsid w:val="006A4797"/>
    <w:rsid w:val="006C45C3"/>
    <w:rsid w:val="006F55F1"/>
    <w:rsid w:val="00924516"/>
    <w:rsid w:val="00A20DB5"/>
    <w:rsid w:val="00A96809"/>
    <w:rsid w:val="00AA2710"/>
    <w:rsid w:val="00B018AD"/>
    <w:rsid w:val="00BA6973"/>
    <w:rsid w:val="00C36F64"/>
    <w:rsid w:val="00C5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57056"/>
  <w15:docId w15:val="{E5C52B75-CA16-4286-BF70-F07CC2CD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Текст ви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Текст кінцевої ви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1818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Борис Пиж</cp:lastModifiedBy>
  <cp:revision>4</cp:revision>
  <cp:lastPrinted>2026-07-15T12:55:00Z</cp:lastPrinted>
  <dcterms:created xsi:type="dcterms:W3CDTF">2026-07-15T12:53:00Z</dcterms:created>
  <dcterms:modified xsi:type="dcterms:W3CDTF">2026-07-15T13:12:00Z</dcterms:modified>
</cp:coreProperties>
</file>