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W w:w="0" w:type="auto"/>
        <w:tblLook w:val="04A0" w:firstRow="1" w:lastRow="0" w:firstColumn="1" w:lastColumn="0" w:noHBand="0" w:noVBand="1"/>
      </w:tblPr>
      <w:tblGrid>
        <w:gridCol w:w="7563"/>
        <w:gridCol w:w="7563"/>
      </w:tblGrid>
      <w:tr w:rsidR="007476BF" w:rsidRPr="007476BF" w:rsidTr="00DC064E">
        <w:tc>
          <w:tcPr>
            <w:tcW w:w="15126" w:type="dxa"/>
            <w:gridSpan w:val="2"/>
          </w:tcPr>
          <w:p w:rsidR="00302D5C" w:rsidRPr="00302D5C" w:rsidRDefault="00302D5C" w:rsidP="00302D5C">
            <w:pPr>
              <w:jc w:val="center"/>
              <w:rPr>
                <w:rFonts w:ascii="Times New Roman" w:hAnsi="Times New Roman" w:cs="Times New Roman"/>
                <w:b/>
                <w:sz w:val="28"/>
                <w:szCs w:val="28"/>
              </w:rPr>
            </w:pPr>
            <w:r w:rsidRPr="00302D5C">
              <w:rPr>
                <w:rFonts w:ascii="Times New Roman" w:hAnsi="Times New Roman" w:cs="Times New Roman"/>
                <w:b/>
                <w:sz w:val="28"/>
                <w:szCs w:val="28"/>
              </w:rPr>
              <w:t>ПОРЯДОК</w:t>
            </w:r>
          </w:p>
          <w:p w:rsidR="00302D5C" w:rsidRPr="00302D5C" w:rsidRDefault="00302D5C" w:rsidP="00302D5C">
            <w:pPr>
              <w:jc w:val="center"/>
              <w:rPr>
                <w:rFonts w:ascii="Times New Roman" w:hAnsi="Times New Roman" w:cs="Times New Roman"/>
                <w:b/>
                <w:sz w:val="28"/>
                <w:szCs w:val="28"/>
              </w:rPr>
            </w:pPr>
            <w:r w:rsidRPr="00302D5C">
              <w:rPr>
                <w:rFonts w:ascii="Times New Roman" w:hAnsi="Times New Roman" w:cs="Times New Roman"/>
                <w:b/>
                <w:sz w:val="28"/>
                <w:szCs w:val="28"/>
              </w:rPr>
              <w:t>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w:t>
            </w:r>
            <w:r>
              <w:rPr>
                <w:rFonts w:ascii="Times New Roman" w:hAnsi="Times New Roman" w:cs="Times New Roman"/>
                <w:b/>
                <w:sz w:val="28"/>
                <w:szCs w:val="28"/>
              </w:rPr>
              <w:t xml:space="preserve">, затверджений </w:t>
            </w:r>
            <w:r w:rsidRPr="00302D5C">
              <w:rPr>
                <w:rFonts w:ascii="Times New Roman" w:hAnsi="Times New Roman" w:cs="Times New Roman"/>
                <w:b/>
                <w:sz w:val="28"/>
                <w:szCs w:val="28"/>
              </w:rPr>
              <w:t>постанов</w:t>
            </w:r>
            <w:r>
              <w:rPr>
                <w:rFonts w:ascii="Times New Roman" w:hAnsi="Times New Roman" w:cs="Times New Roman"/>
                <w:b/>
                <w:sz w:val="28"/>
                <w:szCs w:val="28"/>
              </w:rPr>
              <w:t>ою</w:t>
            </w:r>
            <w:r w:rsidRPr="00302D5C">
              <w:rPr>
                <w:rFonts w:ascii="Times New Roman" w:hAnsi="Times New Roman" w:cs="Times New Roman"/>
                <w:b/>
                <w:sz w:val="28"/>
                <w:szCs w:val="28"/>
              </w:rPr>
              <w:t xml:space="preserve"> Національної комісії, що здійснює державне регулювання у сферах енергетики та комунальних послуг</w:t>
            </w:r>
          </w:p>
          <w:p w:rsidR="007476BF" w:rsidRPr="007476BF" w:rsidRDefault="00302D5C" w:rsidP="00302D5C">
            <w:pPr>
              <w:jc w:val="center"/>
              <w:rPr>
                <w:rFonts w:ascii="Times New Roman" w:hAnsi="Times New Roman" w:cs="Times New Roman"/>
                <w:b/>
                <w:sz w:val="28"/>
                <w:szCs w:val="28"/>
              </w:rPr>
            </w:pPr>
            <w:r>
              <w:rPr>
                <w:rFonts w:ascii="Times New Roman" w:hAnsi="Times New Roman" w:cs="Times New Roman"/>
                <w:b/>
                <w:sz w:val="28"/>
                <w:szCs w:val="28"/>
              </w:rPr>
              <w:t xml:space="preserve">від </w:t>
            </w:r>
            <w:r w:rsidRPr="00302D5C">
              <w:rPr>
                <w:rFonts w:ascii="Times New Roman" w:hAnsi="Times New Roman" w:cs="Times New Roman"/>
                <w:b/>
                <w:sz w:val="28"/>
                <w:szCs w:val="28"/>
              </w:rPr>
              <w:t xml:space="preserve">14 червня 2018 року </w:t>
            </w:r>
            <w:r>
              <w:rPr>
                <w:rFonts w:ascii="Times New Roman" w:hAnsi="Times New Roman" w:cs="Times New Roman"/>
                <w:b/>
                <w:sz w:val="28"/>
                <w:szCs w:val="28"/>
              </w:rPr>
              <w:t>№ </w:t>
            </w:r>
            <w:r w:rsidRPr="00302D5C">
              <w:rPr>
                <w:rFonts w:ascii="Times New Roman" w:hAnsi="Times New Roman" w:cs="Times New Roman"/>
                <w:b/>
                <w:sz w:val="28"/>
                <w:szCs w:val="28"/>
              </w:rPr>
              <w:t>428</w:t>
            </w:r>
            <w:r w:rsidR="004D00AD">
              <w:rPr>
                <w:rFonts w:ascii="Times New Roman" w:hAnsi="Times New Roman" w:cs="Times New Roman"/>
                <w:b/>
                <w:sz w:val="28"/>
                <w:szCs w:val="28"/>
              </w:rPr>
              <w:t xml:space="preserve"> (далі – Порядок контролю)</w:t>
            </w:r>
          </w:p>
        </w:tc>
      </w:tr>
      <w:tr w:rsidR="007149A7" w:rsidRPr="007476BF" w:rsidTr="00DC064E">
        <w:tc>
          <w:tcPr>
            <w:tcW w:w="7563" w:type="dxa"/>
          </w:tcPr>
          <w:p w:rsidR="007149A7" w:rsidRPr="007476BF" w:rsidRDefault="007149A7" w:rsidP="007149A7">
            <w:pPr>
              <w:jc w:val="center"/>
              <w:rPr>
                <w:rFonts w:ascii="Times New Roman" w:hAnsi="Times New Roman" w:cs="Times New Roman"/>
                <w:b/>
                <w:sz w:val="28"/>
                <w:szCs w:val="28"/>
              </w:rPr>
            </w:pPr>
            <w:r w:rsidRPr="007476BF">
              <w:rPr>
                <w:rFonts w:ascii="Times New Roman" w:hAnsi="Times New Roman" w:cs="Times New Roman"/>
                <w:b/>
                <w:sz w:val="28"/>
                <w:szCs w:val="28"/>
              </w:rPr>
              <w:t>Діюча редакція</w:t>
            </w:r>
          </w:p>
        </w:tc>
        <w:tc>
          <w:tcPr>
            <w:tcW w:w="7563" w:type="dxa"/>
          </w:tcPr>
          <w:p w:rsidR="007149A7" w:rsidRPr="007476BF" w:rsidRDefault="007149A7" w:rsidP="007149A7">
            <w:pPr>
              <w:jc w:val="center"/>
              <w:rPr>
                <w:rFonts w:ascii="Times New Roman" w:hAnsi="Times New Roman" w:cs="Times New Roman"/>
                <w:b/>
                <w:sz w:val="28"/>
                <w:szCs w:val="28"/>
              </w:rPr>
            </w:pPr>
            <w:proofErr w:type="spellStart"/>
            <w:r w:rsidRPr="007476BF">
              <w:rPr>
                <w:rFonts w:ascii="Times New Roman" w:hAnsi="Times New Roman" w:cs="Times New Roman"/>
                <w:b/>
                <w:sz w:val="28"/>
                <w:szCs w:val="28"/>
              </w:rPr>
              <w:t>Проєкт</w:t>
            </w:r>
            <w:proofErr w:type="spellEnd"/>
          </w:p>
        </w:tc>
      </w:tr>
      <w:tr w:rsidR="004D00AD" w:rsidRPr="007476BF" w:rsidTr="00C8518B">
        <w:tc>
          <w:tcPr>
            <w:tcW w:w="15126" w:type="dxa"/>
            <w:gridSpan w:val="2"/>
            <w:shd w:val="clear" w:color="auto" w:fill="C5E0B3" w:themeFill="accent6" w:themeFillTint="66"/>
          </w:tcPr>
          <w:p w:rsidR="004D00AD" w:rsidRPr="004D00AD" w:rsidRDefault="004D00AD" w:rsidP="004D00AD">
            <w:pPr>
              <w:jc w:val="center"/>
              <w:rPr>
                <w:rFonts w:ascii="Times New Roman" w:hAnsi="Times New Roman" w:cs="Times New Roman"/>
                <w:b/>
                <w:sz w:val="28"/>
                <w:szCs w:val="28"/>
              </w:rPr>
            </w:pPr>
            <w:r w:rsidRPr="004D00AD">
              <w:rPr>
                <w:rFonts w:ascii="Times New Roman" w:hAnsi="Times New Roman" w:cs="Times New Roman"/>
                <w:b/>
                <w:sz w:val="28"/>
                <w:szCs w:val="28"/>
              </w:rPr>
              <w:t>МЕТОДИКА</w:t>
            </w:r>
          </w:p>
          <w:p w:rsidR="004D00AD" w:rsidRPr="007476BF" w:rsidRDefault="00C8518B" w:rsidP="004D00AD">
            <w:pPr>
              <w:jc w:val="center"/>
              <w:rPr>
                <w:rFonts w:ascii="Times New Roman" w:hAnsi="Times New Roman" w:cs="Times New Roman"/>
                <w:b/>
                <w:sz w:val="28"/>
                <w:szCs w:val="28"/>
              </w:rPr>
            </w:pPr>
            <w:r w:rsidRPr="00C8518B">
              <w:rPr>
                <w:rFonts w:ascii="Times New Roman" w:hAnsi="Times New Roman" w:cs="Times New Roman"/>
                <w:b/>
                <w:sz w:val="28"/>
                <w:szCs w:val="28"/>
              </w:rPr>
              <w:t>визначення сум надлишково отриманого або недоотриманого доходу від здійснення ліцензованої діяльності з розподілу електричної енергії</w:t>
            </w:r>
            <w:r>
              <w:rPr>
                <w:rFonts w:ascii="Times New Roman" w:hAnsi="Times New Roman" w:cs="Times New Roman"/>
                <w:b/>
                <w:sz w:val="28"/>
                <w:szCs w:val="28"/>
              </w:rPr>
              <w:t xml:space="preserve"> (додаток 24 до Порядку контролю)</w:t>
            </w:r>
          </w:p>
        </w:tc>
      </w:tr>
      <w:tr w:rsidR="00C8518B" w:rsidRPr="007476BF" w:rsidTr="00DC064E">
        <w:tc>
          <w:tcPr>
            <w:tcW w:w="7563" w:type="dxa"/>
          </w:tcPr>
          <w:p w:rsidR="00C8518B" w:rsidRDefault="00C8518B" w:rsidP="00C8518B">
            <w:pPr>
              <w:ind w:firstLine="306"/>
              <w:jc w:val="both"/>
              <w:rPr>
                <w:rFonts w:ascii="Times New Roman" w:hAnsi="Times New Roman" w:cs="Times New Roman"/>
                <w:sz w:val="24"/>
                <w:szCs w:val="24"/>
              </w:rPr>
            </w:pPr>
            <w:r>
              <w:rPr>
                <w:rFonts w:ascii="Times New Roman" w:hAnsi="Times New Roman" w:cs="Times New Roman"/>
                <w:sz w:val="24"/>
                <w:szCs w:val="24"/>
                <w:lang w:val="en-US"/>
              </w:rPr>
              <w:t>&lt;…&gt;</w:t>
            </w:r>
          </w:p>
          <w:p w:rsidR="00C8518B" w:rsidRDefault="00C8518B" w:rsidP="00C8518B">
            <w:pPr>
              <w:ind w:firstLine="306"/>
              <w:jc w:val="both"/>
              <w:rPr>
                <w:rFonts w:ascii="Times New Roman" w:hAnsi="Times New Roman" w:cs="Times New Roman"/>
                <w:sz w:val="24"/>
                <w:szCs w:val="24"/>
              </w:rPr>
            </w:pPr>
          </w:p>
          <w:p w:rsidR="00C8518B" w:rsidRPr="00C8518B"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13. Обсяг фінансування інвестиційної програми на рік, що є наступним за звітним роком, збільшується в такому порядку:</w:t>
            </w:r>
          </w:p>
          <w:p w:rsidR="00C8518B" w:rsidRPr="00C8518B"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на 50 % суми додатково отриманого доходу, отриманого у звітному році від надання в оренду/суборенду основних засобів (активів), які належать до основної діяльної ліцензіата, зменшеного на суму фактичних витрат, понесених ліцензіатом у звітному році за рахунок цього доходу, які відповідно до постанови N 386 визнано обґрунтованими;</w:t>
            </w:r>
          </w:p>
          <w:p w:rsidR="00C8518B" w:rsidRPr="00C8518B"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на 50 % суми додатково отриманого доходу, отриманого у звітному році від плати за доступ до елементів інфраструктури об'єктів електроенергетики, зменшеного на суму фактичних витрат, понесених ліцензіатом у звітному році за рахунок цього доходу, які відповідно до постанови N 386 визнано обґрунтованими;</w:t>
            </w:r>
          </w:p>
          <w:p w:rsidR="00C8518B" w:rsidRPr="00C8518B"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на 100 % доходу, отриманого від реалізації товарно-матеріальних цінностей, що були у використанні, у тому числі металобрухту, від діяльності з розподілу електричної енергії, зменшеного на суму фактичних витрат, понесених ліцензіатом у звітному році за рахунок цього доходу, які відповідно до постанови N 386 визнано обґрунтованими;</w:t>
            </w:r>
          </w:p>
          <w:p w:rsidR="00C8518B" w:rsidRPr="004D00AD"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 xml:space="preserve">на 100 % прибутку від надання послуг комерційного обліку електричної енергії, зменшеного на суму виконання заходів інвестиційної програми на звітній період за рахунок відповідного джерела фінансування та на суму фактичних витрат, понесених </w:t>
            </w:r>
            <w:r w:rsidRPr="00C8518B">
              <w:rPr>
                <w:rFonts w:ascii="Times New Roman" w:hAnsi="Times New Roman" w:cs="Times New Roman"/>
                <w:sz w:val="24"/>
                <w:szCs w:val="24"/>
              </w:rPr>
              <w:lastRenderedPageBreak/>
              <w:t>ліцензіатом у звітному році за рахунок цього прибутку, які відповідно до постанови N 386 визнано обґрунтованими.</w:t>
            </w:r>
          </w:p>
        </w:tc>
        <w:tc>
          <w:tcPr>
            <w:tcW w:w="7563" w:type="dxa"/>
          </w:tcPr>
          <w:p w:rsidR="00C8518B" w:rsidRDefault="00C8518B" w:rsidP="00C8518B">
            <w:pPr>
              <w:ind w:firstLine="306"/>
              <w:jc w:val="both"/>
              <w:rPr>
                <w:rFonts w:ascii="Times New Roman" w:hAnsi="Times New Roman" w:cs="Times New Roman"/>
                <w:sz w:val="24"/>
                <w:szCs w:val="24"/>
              </w:rPr>
            </w:pPr>
            <w:r>
              <w:rPr>
                <w:rFonts w:ascii="Times New Roman" w:hAnsi="Times New Roman" w:cs="Times New Roman"/>
                <w:sz w:val="24"/>
                <w:szCs w:val="24"/>
                <w:lang w:val="en-US"/>
              </w:rPr>
              <w:lastRenderedPageBreak/>
              <w:t>&lt;…&gt;</w:t>
            </w:r>
          </w:p>
          <w:p w:rsidR="00C8518B" w:rsidRDefault="00C8518B" w:rsidP="00C8518B">
            <w:pPr>
              <w:ind w:firstLine="306"/>
              <w:jc w:val="both"/>
              <w:rPr>
                <w:rFonts w:ascii="Times New Roman" w:hAnsi="Times New Roman" w:cs="Times New Roman"/>
                <w:sz w:val="24"/>
                <w:szCs w:val="24"/>
              </w:rPr>
            </w:pPr>
          </w:p>
          <w:p w:rsidR="00C8518B" w:rsidRPr="00C8518B"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13. Обсяг фінансування інвестиційної програми на рік, що є наступним за звітним роком, збільшується в такому порядку:</w:t>
            </w:r>
          </w:p>
          <w:p w:rsidR="00C8518B" w:rsidRPr="00C8518B"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на 50 % суми додатково отриманого доходу, отриманого у звітному році від надання в оренду/суборенду основних засобів (активів), які належать до основної діяльної ліцензіата, зменшеного на суму фактичних витрат, понесених ліцензіатом у звітному році за рахунок цього доходу, які відповідно до постанови N 386 визнано обґрунтованими;</w:t>
            </w:r>
          </w:p>
          <w:p w:rsidR="00C8518B" w:rsidRPr="00C8518B"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на 50 % суми додатково отриманого доходу, отриманого у звітному році від плати за доступ до елементів інфраструктури об'єктів електроенергетики, зменшеного на суму фактичних витрат, понесених ліцензіатом у звітному році за рахунок цього доходу, які відповідно до постанови N 386 визнано обґрунтованими;</w:t>
            </w:r>
          </w:p>
          <w:p w:rsidR="00C8518B" w:rsidRPr="00C8518B"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на 100 % доходу, отриманого від реалізації товарно-матеріальних цінностей, що були у використанні, у тому числі металобрухту, від діяльності з розподілу електричної енергії, зменшеного на суму фактичних витрат, понесених ліцензіатом у звітному році за рахунок цього доходу, які відповідно до постанови N 386 визнано обґрунтованими;</w:t>
            </w:r>
          </w:p>
          <w:p w:rsidR="00C8518B"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 xml:space="preserve">на 100 % прибутку від надання послуг комерційного обліку електричної енергії, зменшеного на суму виконання заходів інвестиційної програми на звітній період за рахунок відповідного джерела фінансування та на суму фактичних витрат, понесених </w:t>
            </w:r>
            <w:r w:rsidRPr="00C8518B">
              <w:rPr>
                <w:rFonts w:ascii="Times New Roman" w:hAnsi="Times New Roman" w:cs="Times New Roman"/>
                <w:sz w:val="24"/>
                <w:szCs w:val="24"/>
              </w:rPr>
              <w:lastRenderedPageBreak/>
              <w:t>ліцензіатом у звітному році за рахунок цього прибутку, які відповідно до постанови N 386 визнано обґрунтованими.</w:t>
            </w:r>
          </w:p>
          <w:p w:rsidR="00C8518B" w:rsidRPr="00C8518B" w:rsidRDefault="00C8518B" w:rsidP="00C8518B">
            <w:pPr>
              <w:ind w:firstLine="306"/>
              <w:jc w:val="both"/>
              <w:rPr>
                <w:rFonts w:ascii="Times New Roman" w:hAnsi="Times New Roman" w:cs="Times New Roman"/>
                <w:b/>
                <w:sz w:val="24"/>
                <w:szCs w:val="24"/>
              </w:rPr>
            </w:pPr>
            <w:r w:rsidRPr="00C8518B">
              <w:rPr>
                <w:rFonts w:ascii="Times New Roman" w:hAnsi="Times New Roman" w:cs="Times New Roman"/>
                <w:b/>
                <w:sz w:val="24"/>
                <w:szCs w:val="24"/>
              </w:rPr>
              <w:t>У разі обґрунтованого звернення ліцензіата обсяг коштів, визначений відповідно до абзаців другого – п’ятого цього пункту, може бути направлений:</w:t>
            </w:r>
          </w:p>
          <w:p w:rsidR="00C8518B" w:rsidRPr="00C8518B" w:rsidRDefault="00C8518B" w:rsidP="00C8518B">
            <w:pPr>
              <w:ind w:firstLine="306"/>
              <w:jc w:val="both"/>
              <w:rPr>
                <w:rFonts w:ascii="Times New Roman" w:hAnsi="Times New Roman" w:cs="Times New Roman"/>
                <w:b/>
                <w:sz w:val="24"/>
                <w:szCs w:val="24"/>
              </w:rPr>
            </w:pPr>
            <w:r w:rsidRPr="00C8518B">
              <w:rPr>
                <w:rFonts w:ascii="Times New Roman" w:hAnsi="Times New Roman" w:cs="Times New Roman"/>
                <w:b/>
                <w:sz w:val="24"/>
                <w:szCs w:val="24"/>
              </w:rPr>
              <w:t>на виконання заходів з відновлення об’єктів електричних мереж або їх складових та заходів із улаштування інженерного захисту критичних об’єктів/елементів систем розподілу відповідно до постанови № 386 у році, що є наступним за звітним роком;</w:t>
            </w:r>
          </w:p>
          <w:p w:rsidR="00C8518B" w:rsidRPr="00C8518B" w:rsidRDefault="00C8518B" w:rsidP="00C8518B">
            <w:pPr>
              <w:ind w:firstLine="306"/>
              <w:jc w:val="both"/>
              <w:rPr>
                <w:rFonts w:ascii="Times New Roman" w:hAnsi="Times New Roman" w:cs="Times New Roman"/>
                <w:b/>
                <w:sz w:val="24"/>
                <w:szCs w:val="24"/>
              </w:rPr>
            </w:pPr>
            <w:r w:rsidRPr="00C8518B">
              <w:rPr>
                <w:rFonts w:ascii="Times New Roman" w:hAnsi="Times New Roman" w:cs="Times New Roman"/>
                <w:b/>
                <w:sz w:val="24"/>
                <w:szCs w:val="24"/>
              </w:rPr>
              <w:t xml:space="preserve">на збільшення обсягу фінансування інвестиційної програми на другий рік, що є наступним за звітним роком, з урахуванням коригування на індекс споживчих цін на товари та послуги з грудня звітного року до грудня попереднього року (використовується інформація, оприлюднена на офіційному </w:t>
            </w:r>
            <w:proofErr w:type="spellStart"/>
            <w:r w:rsidRPr="00C8518B">
              <w:rPr>
                <w:rFonts w:ascii="Times New Roman" w:hAnsi="Times New Roman" w:cs="Times New Roman"/>
                <w:b/>
                <w:sz w:val="24"/>
                <w:szCs w:val="24"/>
              </w:rPr>
              <w:t>вебсайті</w:t>
            </w:r>
            <w:proofErr w:type="spellEnd"/>
            <w:r w:rsidRPr="00C8518B">
              <w:rPr>
                <w:rFonts w:ascii="Times New Roman" w:hAnsi="Times New Roman" w:cs="Times New Roman"/>
                <w:b/>
                <w:sz w:val="24"/>
                <w:szCs w:val="24"/>
              </w:rPr>
              <w:t xml:space="preserve"> Державної служби статистики України).</w:t>
            </w:r>
          </w:p>
          <w:p w:rsidR="00C8518B" w:rsidRPr="004D00AD"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b/>
                <w:sz w:val="24"/>
                <w:szCs w:val="24"/>
              </w:rPr>
              <w:t>В іншому випадку така сума підлягає вилученню зі структури тарифів ліцензіата.</w:t>
            </w:r>
          </w:p>
        </w:tc>
      </w:tr>
      <w:tr w:rsidR="004D00AD" w:rsidRPr="007476BF" w:rsidTr="00C8518B">
        <w:tc>
          <w:tcPr>
            <w:tcW w:w="15126" w:type="dxa"/>
            <w:gridSpan w:val="2"/>
            <w:shd w:val="clear" w:color="auto" w:fill="C5E0B3" w:themeFill="accent6" w:themeFillTint="66"/>
          </w:tcPr>
          <w:p w:rsidR="004D00AD" w:rsidRPr="004D00AD" w:rsidRDefault="004D00AD" w:rsidP="004D00AD">
            <w:pPr>
              <w:jc w:val="center"/>
              <w:rPr>
                <w:rFonts w:ascii="Times New Roman" w:hAnsi="Times New Roman" w:cs="Times New Roman"/>
                <w:b/>
                <w:sz w:val="28"/>
                <w:szCs w:val="28"/>
              </w:rPr>
            </w:pPr>
            <w:r w:rsidRPr="004D00AD">
              <w:rPr>
                <w:rFonts w:ascii="Times New Roman" w:hAnsi="Times New Roman" w:cs="Times New Roman"/>
                <w:b/>
                <w:sz w:val="28"/>
                <w:szCs w:val="28"/>
              </w:rPr>
              <w:lastRenderedPageBreak/>
              <w:t>МЕТОДИКА</w:t>
            </w:r>
          </w:p>
          <w:p w:rsidR="004D00AD" w:rsidRPr="004D00AD" w:rsidRDefault="00C8518B" w:rsidP="004D00AD">
            <w:pPr>
              <w:jc w:val="center"/>
              <w:rPr>
                <w:rFonts w:ascii="Times New Roman" w:hAnsi="Times New Roman" w:cs="Times New Roman"/>
                <w:b/>
                <w:sz w:val="28"/>
                <w:szCs w:val="28"/>
              </w:rPr>
            </w:pPr>
            <w:r w:rsidRPr="00C8518B">
              <w:rPr>
                <w:rFonts w:ascii="Times New Roman" w:hAnsi="Times New Roman" w:cs="Times New Roman"/>
                <w:b/>
                <w:sz w:val="28"/>
                <w:szCs w:val="28"/>
              </w:rPr>
              <w:t>визначення сум надлишково отриманого або недоотриманого доходу від здійснення ліцензованої діяльності з розподілу електричної енергії для операторів систем розподілу, які перейшли на стимулююче регулювання</w:t>
            </w:r>
            <w:r>
              <w:rPr>
                <w:rFonts w:ascii="Times New Roman" w:hAnsi="Times New Roman" w:cs="Times New Roman"/>
                <w:b/>
                <w:sz w:val="28"/>
                <w:szCs w:val="28"/>
              </w:rPr>
              <w:t xml:space="preserve"> </w:t>
            </w:r>
            <w:r w:rsidRPr="00C8518B">
              <w:rPr>
                <w:rFonts w:ascii="Times New Roman" w:hAnsi="Times New Roman" w:cs="Times New Roman"/>
                <w:b/>
                <w:sz w:val="28"/>
                <w:szCs w:val="28"/>
              </w:rPr>
              <w:t>(додаток 2</w:t>
            </w:r>
            <w:r>
              <w:rPr>
                <w:rFonts w:ascii="Times New Roman" w:hAnsi="Times New Roman" w:cs="Times New Roman"/>
                <w:b/>
                <w:sz w:val="28"/>
                <w:szCs w:val="28"/>
              </w:rPr>
              <w:t>9</w:t>
            </w:r>
            <w:r w:rsidRPr="00C8518B">
              <w:rPr>
                <w:rFonts w:ascii="Times New Roman" w:hAnsi="Times New Roman" w:cs="Times New Roman"/>
                <w:b/>
                <w:sz w:val="28"/>
                <w:szCs w:val="28"/>
              </w:rPr>
              <w:t xml:space="preserve"> до Порядку контролю)</w:t>
            </w:r>
          </w:p>
        </w:tc>
      </w:tr>
      <w:tr w:rsidR="00C8518B" w:rsidRPr="007476BF" w:rsidTr="00DC064E">
        <w:tc>
          <w:tcPr>
            <w:tcW w:w="7563" w:type="dxa"/>
          </w:tcPr>
          <w:p w:rsidR="00C8518B" w:rsidRDefault="00C8518B" w:rsidP="00C8518B">
            <w:pPr>
              <w:ind w:firstLine="306"/>
              <w:jc w:val="both"/>
              <w:rPr>
                <w:rFonts w:ascii="Times New Roman" w:hAnsi="Times New Roman" w:cs="Times New Roman"/>
                <w:sz w:val="24"/>
                <w:szCs w:val="24"/>
              </w:rPr>
            </w:pPr>
            <w:r>
              <w:rPr>
                <w:rFonts w:ascii="Times New Roman" w:hAnsi="Times New Roman" w:cs="Times New Roman"/>
                <w:sz w:val="24"/>
                <w:szCs w:val="24"/>
                <w:lang w:val="en-US"/>
              </w:rPr>
              <w:t>&lt;…&gt;</w:t>
            </w:r>
          </w:p>
          <w:p w:rsidR="00C8518B" w:rsidRDefault="00C8518B" w:rsidP="00C8518B">
            <w:pPr>
              <w:ind w:firstLine="306"/>
              <w:jc w:val="both"/>
              <w:rPr>
                <w:rFonts w:ascii="Times New Roman" w:hAnsi="Times New Roman" w:cs="Times New Roman"/>
                <w:sz w:val="24"/>
                <w:szCs w:val="24"/>
              </w:rPr>
            </w:pPr>
          </w:p>
          <w:p w:rsidR="00C8518B" w:rsidRPr="00C8518B"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13. Обсяг фінансування інвестиційної програми на рік, що є наступним за звітним роком, збільшується в такому порядку:</w:t>
            </w:r>
          </w:p>
          <w:p w:rsidR="00C8518B" w:rsidRPr="00C8518B"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на 50 % суми додатково отриманого доходу, отриманого у звітному році від надання в оренду/суборенду основних засобів (активів), які належать до основної діяльності ліцензіата, зменшеного на суму фактичних витрат, понесених ліцензіатом у звітному році за рахунок цього доходу, які відповідно до постанови N 386 визнано обґрунтованими;</w:t>
            </w:r>
          </w:p>
          <w:p w:rsidR="00C8518B" w:rsidRPr="00C8518B"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 xml:space="preserve">на 50 % суми додатково отриманого доходу, отриманого у звітному році від плати за доступ до елементів інфраструктури об'єктів електроенергетики, зменшеного на суму фактичних витрат, понесених </w:t>
            </w:r>
            <w:r w:rsidRPr="00C8518B">
              <w:rPr>
                <w:rFonts w:ascii="Times New Roman" w:hAnsi="Times New Roman" w:cs="Times New Roman"/>
                <w:sz w:val="24"/>
                <w:szCs w:val="24"/>
              </w:rPr>
              <w:lastRenderedPageBreak/>
              <w:t>ліцензіатом у звітному році за рахунок цього доходу, які відповідно до постанови N 386 визнано обґрунтованими;</w:t>
            </w:r>
          </w:p>
          <w:p w:rsidR="00C8518B" w:rsidRPr="00C8518B"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на 100 % доходу, отриманого від реалізації товарно-матеріальних цінностей, що були у використанні, у тому числі металобрухту, від діяльності з розподілу електричної енергії, зменшеного на суму фактичних витрат, понесених ліцензіатом у звітному році за рахунок цього доходу, які відповідно до постанови N 386 визнано обґрунтованими;</w:t>
            </w:r>
          </w:p>
          <w:p w:rsidR="00C8518B" w:rsidRPr="00C8518B"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на 50 % від негативної (від'ємної) суми дельти за статтею "прибуток на регуляторну базу активів, яка створена на дату переходу до стимулюючого регулювання" (</w:t>
            </w:r>
            <w:proofErr w:type="spellStart"/>
            <w:r w:rsidRPr="00C8518B">
              <w:rPr>
                <w:rFonts w:ascii="Times New Roman" w:hAnsi="Times New Roman" w:cs="Times New Roman"/>
                <w:sz w:val="24"/>
                <w:szCs w:val="24"/>
              </w:rPr>
              <w:t>DПст</w:t>
            </w:r>
            <w:proofErr w:type="spellEnd"/>
            <w:r w:rsidRPr="00C8518B">
              <w:rPr>
                <w:rFonts w:ascii="Times New Roman" w:hAnsi="Times New Roman" w:cs="Times New Roman"/>
                <w:sz w:val="24"/>
                <w:szCs w:val="24"/>
              </w:rPr>
              <w:t>);</w:t>
            </w:r>
          </w:p>
          <w:p w:rsidR="00C8518B" w:rsidRPr="007476BF"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на 100 % прибутку від надання послуг комерційного обліку електричної енергії, зменшеного на суму податку на прибуток від надання послуг комерційного обліку електричної енергії та на суму виконання заходів інвестиційної програми на звітній період за рахунок відповідного джерела фінансування та на суму фактичних витрат, понесених ліцензіатом у звітному році за рахунок цього прибутку, які відповідно до постанови N 386 визнано обґрунтованими.</w:t>
            </w:r>
          </w:p>
        </w:tc>
        <w:tc>
          <w:tcPr>
            <w:tcW w:w="7563" w:type="dxa"/>
          </w:tcPr>
          <w:p w:rsidR="00C8518B" w:rsidRDefault="00C8518B" w:rsidP="00C8518B">
            <w:pPr>
              <w:ind w:firstLine="306"/>
              <w:jc w:val="both"/>
              <w:rPr>
                <w:rFonts w:ascii="Times New Roman" w:hAnsi="Times New Roman" w:cs="Times New Roman"/>
                <w:sz w:val="24"/>
                <w:szCs w:val="24"/>
              </w:rPr>
            </w:pPr>
            <w:r>
              <w:rPr>
                <w:rFonts w:ascii="Times New Roman" w:hAnsi="Times New Roman" w:cs="Times New Roman"/>
                <w:sz w:val="24"/>
                <w:szCs w:val="24"/>
                <w:lang w:val="en-US"/>
              </w:rPr>
              <w:lastRenderedPageBreak/>
              <w:t>&lt;…&gt;</w:t>
            </w:r>
          </w:p>
          <w:p w:rsidR="00C8518B" w:rsidRDefault="00C8518B" w:rsidP="00C8518B">
            <w:pPr>
              <w:ind w:firstLine="306"/>
              <w:jc w:val="both"/>
              <w:rPr>
                <w:rFonts w:ascii="Times New Roman" w:hAnsi="Times New Roman" w:cs="Times New Roman"/>
                <w:sz w:val="24"/>
                <w:szCs w:val="24"/>
              </w:rPr>
            </w:pPr>
          </w:p>
          <w:p w:rsidR="00C8518B" w:rsidRPr="00C8518B"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13. Обсяг фінансування інвестиційної програми на рік, що є наступним за звітним роком, збільшується в такому порядку:</w:t>
            </w:r>
          </w:p>
          <w:p w:rsidR="00C8518B" w:rsidRPr="00C8518B"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на 50 % суми додатково отриманого доходу, отриманого у звітному році від надання в оренду/суборенду основних засобів (активів), які належать до основної діяльності ліцензіата, зменшеного на суму фактичних витрат, понесених ліцензіатом у звітному році за рахунок цього доходу, які відповідно до постанови N 386 визнано обґрунтованими;</w:t>
            </w:r>
          </w:p>
          <w:p w:rsidR="00C8518B" w:rsidRPr="00C8518B"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 xml:space="preserve">на 50 % суми додатково отриманого доходу, отриманого у звітному році від плати за доступ до елементів інфраструктури об'єктів електроенергетики, зменшеного на суму фактичних витрат, понесених </w:t>
            </w:r>
            <w:r w:rsidRPr="00C8518B">
              <w:rPr>
                <w:rFonts w:ascii="Times New Roman" w:hAnsi="Times New Roman" w:cs="Times New Roman"/>
                <w:sz w:val="24"/>
                <w:szCs w:val="24"/>
              </w:rPr>
              <w:lastRenderedPageBreak/>
              <w:t>ліцензіатом у звітному році за рахунок цього доходу, які відповідно до постанови N 386 визнано обґрунтованими;</w:t>
            </w:r>
          </w:p>
          <w:p w:rsidR="00C8518B" w:rsidRPr="00C8518B"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на 100 % доходу, отриманого від реалізації товарно-матеріальних цінностей, що були у використанні, у тому числі металобрухту, від діяльності з розподілу електричної енергії, зменшеного на суму фактичних витрат, понесених ліцензіатом у звітному році за рахунок цього доходу, які відповідно до постанови N 386 визнано обґрунтованими;</w:t>
            </w:r>
          </w:p>
          <w:p w:rsidR="00C8518B" w:rsidRPr="00C8518B"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на 50 % від негативної (від'ємної) суми дельти за статтею "прибуток на регуляторну базу активів, яка створена на дату переходу до стимулюючого регулювання" (</w:t>
            </w:r>
            <w:proofErr w:type="spellStart"/>
            <w:r w:rsidRPr="00C8518B">
              <w:rPr>
                <w:rFonts w:ascii="Times New Roman" w:hAnsi="Times New Roman" w:cs="Times New Roman"/>
                <w:sz w:val="24"/>
                <w:szCs w:val="24"/>
              </w:rPr>
              <w:t>DПст</w:t>
            </w:r>
            <w:proofErr w:type="spellEnd"/>
            <w:r w:rsidRPr="00C8518B">
              <w:rPr>
                <w:rFonts w:ascii="Times New Roman" w:hAnsi="Times New Roman" w:cs="Times New Roman"/>
                <w:sz w:val="24"/>
                <w:szCs w:val="24"/>
              </w:rPr>
              <w:t>);</w:t>
            </w:r>
          </w:p>
          <w:p w:rsidR="00C8518B"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sz w:val="24"/>
                <w:szCs w:val="24"/>
              </w:rPr>
              <w:t xml:space="preserve">на 100 % прибутку від надання послуг комерційного обліку електричної енергії, зменшеного на суму податку на прибуток від надання послуг комерційного обліку електричної енергії та на суму виконання </w:t>
            </w:r>
            <w:bookmarkStart w:id="0" w:name="_GoBack"/>
            <w:bookmarkEnd w:id="0"/>
            <w:r w:rsidRPr="00C8518B">
              <w:rPr>
                <w:rFonts w:ascii="Times New Roman" w:hAnsi="Times New Roman" w:cs="Times New Roman"/>
                <w:sz w:val="24"/>
                <w:szCs w:val="24"/>
              </w:rPr>
              <w:t>заходів інвестиційної програми на звітній період за рахунок відповідного джерела фінансування та на суму фактичних витрат, понесених ліцензіатом у звітному році за рахунок цього прибутку, які відповідно до постанови N 386 визнано обґрунтованими.</w:t>
            </w:r>
          </w:p>
          <w:p w:rsidR="00C8518B" w:rsidRPr="00C8518B" w:rsidRDefault="00C8518B" w:rsidP="00C8518B">
            <w:pPr>
              <w:ind w:firstLine="306"/>
              <w:jc w:val="both"/>
              <w:rPr>
                <w:rFonts w:ascii="Times New Roman" w:hAnsi="Times New Roman" w:cs="Times New Roman"/>
                <w:b/>
                <w:sz w:val="24"/>
                <w:szCs w:val="24"/>
              </w:rPr>
            </w:pPr>
            <w:r w:rsidRPr="00C8518B">
              <w:rPr>
                <w:rFonts w:ascii="Times New Roman" w:hAnsi="Times New Roman" w:cs="Times New Roman"/>
                <w:b/>
                <w:sz w:val="24"/>
                <w:szCs w:val="24"/>
              </w:rPr>
              <w:t>У разі обґрунтованого звернення ліцензіата обсяг коштів, визначений відповідно до абзаців другого – п’ятого цього пункту, може бути направлений:</w:t>
            </w:r>
          </w:p>
          <w:p w:rsidR="00C8518B" w:rsidRPr="00C8518B" w:rsidRDefault="00C8518B" w:rsidP="00C8518B">
            <w:pPr>
              <w:ind w:firstLine="306"/>
              <w:jc w:val="both"/>
              <w:rPr>
                <w:rFonts w:ascii="Times New Roman" w:hAnsi="Times New Roman" w:cs="Times New Roman"/>
                <w:b/>
                <w:sz w:val="24"/>
                <w:szCs w:val="24"/>
              </w:rPr>
            </w:pPr>
            <w:r w:rsidRPr="00C8518B">
              <w:rPr>
                <w:rFonts w:ascii="Times New Roman" w:hAnsi="Times New Roman" w:cs="Times New Roman"/>
                <w:b/>
                <w:sz w:val="24"/>
                <w:szCs w:val="24"/>
              </w:rPr>
              <w:t>на виконання заходів з відновлення об’єктів електричних мереж або їх складових та заходів із улаштування інженерного захисту критичних об’єктів/елементів систем розподілу відповідно до постанови № 386 у році, що є наступним за звітним роком;</w:t>
            </w:r>
          </w:p>
          <w:p w:rsidR="00C8518B" w:rsidRPr="00C8518B" w:rsidRDefault="00C8518B" w:rsidP="00C8518B">
            <w:pPr>
              <w:ind w:firstLine="306"/>
              <w:jc w:val="both"/>
              <w:rPr>
                <w:rFonts w:ascii="Times New Roman" w:hAnsi="Times New Roman" w:cs="Times New Roman"/>
                <w:b/>
                <w:sz w:val="24"/>
                <w:szCs w:val="24"/>
              </w:rPr>
            </w:pPr>
            <w:r w:rsidRPr="00C8518B">
              <w:rPr>
                <w:rFonts w:ascii="Times New Roman" w:hAnsi="Times New Roman" w:cs="Times New Roman"/>
                <w:b/>
                <w:sz w:val="24"/>
                <w:szCs w:val="24"/>
              </w:rPr>
              <w:t xml:space="preserve">на збільшення обсягу фінансування інвестиційної програми на другий рік, що є наступним за звітним роком, з урахуванням коригування на індекс споживчих цін на товари та послуги з грудня звітного року до грудня попереднього року (використовується інформація, оприлюднена на офіційному </w:t>
            </w:r>
            <w:proofErr w:type="spellStart"/>
            <w:r w:rsidRPr="00C8518B">
              <w:rPr>
                <w:rFonts w:ascii="Times New Roman" w:hAnsi="Times New Roman" w:cs="Times New Roman"/>
                <w:b/>
                <w:sz w:val="24"/>
                <w:szCs w:val="24"/>
              </w:rPr>
              <w:t>вебсайті</w:t>
            </w:r>
            <w:proofErr w:type="spellEnd"/>
            <w:r w:rsidRPr="00C8518B">
              <w:rPr>
                <w:rFonts w:ascii="Times New Roman" w:hAnsi="Times New Roman" w:cs="Times New Roman"/>
                <w:b/>
                <w:sz w:val="24"/>
                <w:szCs w:val="24"/>
              </w:rPr>
              <w:t xml:space="preserve"> Державної служби статистики України).</w:t>
            </w:r>
          </w:p>
          <w:p w:rsidR="00C8518B" w:rsidRPr="007476BF" w:rsidRDefault="00C8518B" w:rsidP="00C8518B">
            <w:pPr>
              <w:ind w:firstLine="306"/>
              <w:jc w:val="both"/>
              <w:rPr>
                <w:rFonts w:ascii="Times New Roman" w:hAnsi="Times New Roman" w:cs="Times New Roman"/>
                <w:sz w:val="24"/>
                <w:szCs w:val="24"/>
              </w:rPr>
            </w:pPr>
            <w:r w:rsidRPr="00C8518B">
              <w:rPr>
                <w:rFonts w:ascii="Times New Roman" w:hAnsi="Times New Roman" w:cs="Times New Roman"/>
                <w:b/>
                <w:sz w:val="24"/>
                <w:szCs w:val="24"/>
              </w:rPr>
              <w:t>В іншому випадку така сума підлягає вилученню зі структури тарифів ліцензіата.</w:t>
            </w:r>
          </w:p>
        </w:tc>
      </w:tr>
    </w:tbl>
    <w:p w:rsidR="007149A7" w:rsidRPr="007476BF" w:rsidRDefault="007149A7">
      <w:pPr>
        <w:rPr>
          <w:rFonts w:ascii="Times New Roman" w:hAnsi="Times New Roman" w:cs="Times New Roman"/>
          <w:sz w:val="28"/>
          <w:szCs w:val="28"/>
        </w:rPr>
      </w:pPr>
    </w:p>
    <w:sectPr w:rsidR="007149A7" w:rsidRPr="007476BF" w:rsidSect="00277418">
      <w:headerReference w:type="default" r:id="rId7"/>
      <w:pgSz w:w="16838" w:h="11906" w:orient="landscape"/>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0C84" w:rsidRDefault="009D0C84" w:rsidP="006C7EB3">
      <w:pPr>
        <w:spacing w:after="0" w:line="240" w:lineRule="auto"/>
      </w:pPr>
      <w:r>
        <w:separator/>
      </w:r>
    </w:p>
  </w:endnote>
  <w:endnote w:type="continuationSeparator" w:id="0">
    <w:p w:rsidR="009D0C84" w:rsidRDefault="009D0C84" w:rsidP="006C7E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0C84" w:rsidRDefault="009D0C84" w:rsidP="006C7EB3">
      <w:pPr>
        <w:spacing w:after="0" w:line="240" w:lineRule="auto"/>
      </w:pPr>
      <w:r>
        <w:separator/>
      </w:r>
    </w:p>
  </w:footnote>
  <w:footnote w:type="continuationSeparator" w:id="0">
    <w:p w:rsidR="009D0C84" w:rsidRDefault="009D0C84" w:rsidP="006C7E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2022703802"/>
      <w:docPartObj>
        <w:docPartGallery w:val="Page Numbers (Top of Page)"/>
        <w:docPartUnique/>
      </w:docPartObj>
    </w:sdtPr>
    <w:sdtEndPr/>
    <w:sdtContent>
      <w:p w:rsidR="00277418" w:rsidRPr="00277418" w:rsidRDefault="00277418">
        <w:pPr>
          <w:pStyle w:val="a8"/>
          <w:jc w:val="center"/>
          <w:rPr>
            <w:rFonts w:ascii="Times New Roman" w:hAnsi="Times New Roman" w:cs="Times New Roman"/>
          </w:rPr>
        </w:pPr>
        <w:r w:rsidRPr="00277418">
          <w:rPr>
            <w:rFonts w:ascii="Times New Roman" w:hAnsi="Times New Roman" w:cs="Times New Roman"/>
          </w:rPr>
          <w:fldChar w:fldCharType="begin"/>
        </w:r>
        <w:r w:rsidRPr="00277418">
          <w:rPr>
            <w:rFonts w:ascii="Times New Roman" w:hAnsi="Times New Roman" w:cs="Times New Roman"/>
          </w:rPr>
          <w:instrText>PAGE   \* MERGEFORMAT</w:instrText>
        </w:r>
        <w:r w:rsidRPr="00277418">
          <w:rPr>
            <w:rFonts w:ascii="Times New Roman" w:hAnsi="Times New Roman" w:cs="Times New Roman"/>
          </w:rPr>
          <w:fldChar w:fldCharType="separate"/>
        </w:r>
        <w:r w:rsidRPr="00277418">
          <w:rPr>
            <w:rFonts w:ascii="Times New Roman" w:hAnsi="Times New Roman" w:cs="Times New Roman"/>
          </w:rPr>
          <w:t>2</w:t>
        </w:r>
        <w:r w:rsidRPr="00277418">
          <w:rPr>
            <w:rFonts w:ascii="Times New Roman" w:hAnsi="Times New Roman" w:cs="Times New Roman"/>
          </w:rPr>
          <w:fldChar w:fldCharType="end"/>
        </w:r>
      </w:p>
    </w:sdtContent>
  </w:sdt>
  <w:p w:rsidR="00277418" w:rsidRPr="00277418" w:rsidRDefault="00277418">
    <w:pPr>
      <w:pStyle w:val="a8"/>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9A7"/>
    <w:rsid w:val="000A41CA"/>
    <w:rsid w:val="000D69AB"/>
    <w:rsid w:val="00161484"/>
    <w:rsid w:val="00277418"/>
    <w:rsid w:val="002B45DA"/>
    <w:rsid w:val="00302D5C"/>
    <w:rsid w:val="00361B3C"/>
    <w:rsid w:val="00364FF2"/>
    <w:rsid w:val="00390D97"/>
    <w:rsid w:val="003A6A9E"/>
    <w:rsid w:val="003C5E5F"/>
    <w:rsid w:val="0041637B"/>
    <w:rsid w:val="0045117E"/>
    <w:rsid w:val="00472B21"/>
    <w:rsid w:val="00475D42"/>
    <w:rsid w:val="004D00AD"/>
    <w:rsid w:val="005F135C"/>
    <w:rsid w:val="006C7EB3"/>
    <w:rsid w:val="006E1435"/>
    <w:rsid w:val="006F6BF1"/>
    <w:rsid w:val="0071412B"/>
    <w:rsid w:val="007149A7"/>
    <w:rsid w:val="00715BA4"/>
    <w:rsid w:val="0074155B"/>
    <w:rsid w:val="007476BF"/>
    <w:rsid w:val="00747CD6"/>
    <w:rsid w:val="00826292"/>
    <w:rsid w:val="008536F6"/>
    <w:rsid w:val="008A627A"/>
    <w:rsid w:val="008F6B3D"/>
    <w:rsid w:val="008F799A"/>
    <w:rsid w:val="00906035"/>
    <w:rsid w:val="00965353"/>
    <w:rsid w:val="00970373"/>
    <w:rsid w:val="009A0870"/>
    <w:rsid w:val="009D0C84"/>
    <w:rsid w:val="00A45CEE"/>
    <w:rsid w:val="00A724A5"/>
    <w:rsid w:val="00A90FD4"/>
    <w:rsid w:val="00AC0191"/>
    <w:rsid w:val="00AF7EAB"/>
    <w:rsid w:val="00BC10FF"/>
    <w:rsid w:val="00BC66F1"/>
    <w:rsid w:val="00C25607"/>
    <w:rsid w:val="00C8518B"/>
    <w:rsid w:val="00C93C44"/>
    <w:rsid w:val="00CE6683"/>
    <w:rsid w:val="00D335CF"/>
    <w:rsid w:val="00D638F7"/>
    <w:rsid w:val="00D71F98"/>
    <w:rsid w:val="00DB2EEA"/>
    <w:rsid w:val="00DC064E"/>
    <w:rsid w:val="00DF28DC"/>
    <w:rsid w:val="00E17B43"/>
    <w:rsid w:val="00E82060"/>
    <w:rsid w:val="00E87DF6"/>
    <w:rsid w:val="00F92B36"/>
    <w:rsid w:val="00F9499F"/>
    <w:rsid w:val="00FA3B39"/>
    <w:rsid w:val="00FC7801"/>
    <w:rsid w:val="00FF2945"/>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501FD"/>
  <w15:chartTrackingRefBased/>
  <w15:docId w15:val="{1DD2B0D6-8B1C-4C0C-AEBA-0A94AF531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14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476BF"/>
    <w:pPr>
      <w:ind w:left="720"/>
      <w:contextualSpacing/>
    </w:pPr>
  </w:style>
  <w:style w:type="paragraph" w:styleId="a5">
    <w:name w:val="footnote text"/>
    <w:basedOn w:val="a"/>
    <w:link w:val="a6"/>
    <w:uiPriority w:val="99"/>
    <w:semiHidden/>
    <w:unhideWhenUsed/>
    <w:rsid w:val="006C7EB3"/>
    <w:pPr>
      <w:spacing w:after="0" w:line="240" w:lineRule="auto"/>
    </w:pPr>
    <w:rPr>
      <w:sz w:val="20"/>
      <w:szCs w:val="20"/>
    </w:rPr>
  </w:style>
  <w:style w:type="character" w:customStyle="1" w:styleId="a6">
    <w:name w:val="Текст виноски Знак"/>
    <w:basedOn w:val="a0"/>
    <w:link w:val="a5"/>
    <w:uiPriority w:val="99"/>
    <w:semiHidden/>
    <w:rsid w:val="006C7EB3"/>
    <w:rPr>
      <w:sz w:val="20"/>
      <w:szCs w:val="20"/>
    </w:rPr>
  </w:style>
  <w:style w:type="character" w:styleId="a7">
    <w:name w:val="footnote reference"/>
    <w:basedOn w:val="a0"/>
    <w:uiPriority w:val="99"/>
    <w:semiHidden/>
    <w:unhideWhenUsed/>
    <w:rsid w:val="006C7EB3"/>
    <w:rPr>
      <w:vertAlign w:val="superscript"/>
    </w:rPr>
  </w:style>
  <w:style w:type="paragraph" w:styleId="a8">
    <w:name w:val="header"/>
    <w:basedOn w:val="a"/>
    <w:link w:val="a9"/>
    <w:uiPriority w:val="99"/>
    <w:unhideWhenUsed/>
    <w:rsid w:val="00277418"/>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277418"/>
  </w:style>
  <w:style w:type="paragraph" w:styleId="aa">
    <w:name w:val="footer"/>
    <w:basedOn w:val="a"/>
    <w:link w:val="ab"/>
    <w:uiPriority w:val="99"/>
    <w:unhideWhenUsed/>
    <w:rsid w:val="00277418"/>
    <w:pPr>
      <w:tabs>
        <w:tab w:val="center" w:pos="4819"/>
        <w:tab w:val="right" w:pos="9639"/>
      </w:tabs>
      <w:spacing w:after="0" w:line="240" w:lineRule="auto"/>
    </w:pPr>
  </w:style>
  <w:style w:type="character" w:customStyle="1" w:styleId="ab">
    <w:name w:val="Нижній колонтитул Знак"/>
    <w:basedOn w:val="a0"/>
    <w:link w:val="aa"/>
    <w:uiPriority w:val="99"/>
    <w:rsid w:val="002774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ування за назвами" Version="2003"/>
</file>

<file path=customXml/itemProps1.xml><?xml version="1.0" encoding="utf-8"?>
<ds:datastoreItem xmlns:ds="http://schemas.openxmlformats.org/officeDocument/2006/customXml" ds:itemID="{5D0634D3-277F-4CAE-BB0B-D0C2BA24E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5525</Words>
  <Characters>3150</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Григорій Туленко</dc:creator>
  <cp:keywords/>
  <dc:description/>
  <cp:lastModifiedBy>Григорій Туленко</cp:lastModifiedBy>
  <cp:revision>8</cp:revision>
  <cp:lastPrinted>2024-09-25T07:52:00Z</cp:lastPrinted>
  <dcterms:created xsi:type="dcterms:W3CDTF">2024-09-24T06:42:00Z</dcterms:created>
  <dcterms:modified xsi:type="dcterms:W3CDTF">2026-07-07T08:19:00Z</dcterms:modified>
</cp:coreProperties>
</file>