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5A670" w14:textId="7E354BEC" w:rsidR="00400804" w:rsidRPr="00C07A56" w:rsidRDefault="005E73E8" w:rsidP="004E690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uk-UA"/>
        </w:rPr>
      </w:pPr>
      <w:r w:rsidRPr="00C07A56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Порівняльна таблиця до про</w:t>
      </w:r>
      <w:r w:rsidR="00DB5C20" w:rsidRPr="00C07A56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є</w:t>
      </w:r>
      <w:r w:rsidRPr="00C07A56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кту постанови НКРЕКП «</w:t>
      </w:r>
      <w:r w:rsidR="00236004" w:rsidRPr="00C07A56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 xml:space="preserve">Про </w:t>
      </w:r>
      <w:r w:rsidR="00E63A1E" w:rsidRPr="00FC4D45">
        <w:rPr>
          <w:rFonts w:ascii="Times New Roman" w:hAnsi="Times New Roman" w:cs="Times New Roman"/>
          <w:b/>
          <w:sz w:val="28"/>
          <w:lang w:val="uk-UA"/>
        </w:rPr>
        <w:t>затвердження</w:t>
      </w:r>
      <w:r w:rsidR="00236004" w:rsidRPr="00FC4D45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E63A1E" w:rsidRPr="00FC4D45">
        <w:rPr>
          <w:rFonts w:ascii="Times New Roman" w:hAnsi="Times New Roman" w:cs="Times New Roman"/>
          <w:b/>
          <w:sz w:val="28"/>
          <w:lang w:val="uk-UA"/>
        </w:rPr>
        <w:t>З</w:t>
      </w:r>
      <w:r w:rsidR="00236004" w:rsidRPr="00FC4D45">
        <w:rPr>
          <w:rFonts w:ascii="Times New Roman" w:hAnsi="Times New Roman" w:cs="Times New Roman"/>
          <w:b/>
          <w:sz w:val="28"/>
          <w:lang w:val="uk-UA"/>
        </w:rPr>
        <w:t xml:space="preserve">мін </w:t>
      </w:r>
      <w:r w:rsidR="00E63A1E" w:rsidRPr="00FC4D45">
        <w:rPr>
          <w:rFonts w:ascii="Times New Roman" w:hAnsi="Times New Roman" w:cs="Times New Roman"/>
          <w:b/>
          <w:sz w:val="28"/>
          <w:lang w:val="uk-UA"/>
        </w:rPr>
        <w:t xml:space="preserve">до </w:t>
      </w:r>
      <w:r w:rsidR="00400804" w:rsidRPr="00C07A56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Методики</w:t>
      </w:r>
    </w:p>
    <w:p w14:paraId="3BFBB833" w14:textId="481EFE8A" w:rsidR="005E73E8" w:rsidRPr="00C07A56" w:rsidRDefault="00400804" w:rsidP="004E690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uk-UA"/>
        </w:rPr>
      </w:pPr>
      <w:r w:rsidRPr="00C07A56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</w:r>
      <w:r w:rsidR="005E73E8" w:rsidRPr="00C07A56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», що має ознаки регуляторного акта</w:t>
      </w:r>
    </w:p>
    <w:p w14:paraId="42D651A5" w14:textId="77777777" w:rsidR="00AA31C1" w:rsidRPr="00C07A56" w:rsidRDefault="00AA31C1" w:rsidP="004E690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uk-UA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58"/>
        <w:gridCol w:w="7892"/>
        <w:gridCol w:w="10"/>
      </w:tblGrid>
      <w:tr w:rsidR="00C07A56" w:rsidRPr="00C07A56" w14:paraId="5F889EA9" w14:textId="77777777" w:rsidTr="0044524F">
        <w:trPr>
          <w:gridAfter w:val="1"/>
          <w:wAfter w:w="10" w:type="dxa"/>
          <w:jc w:val="center"/>
        </w:trPr>
        <w:tc>
          <w:tcPr>
            <w:tcW w:w="6658" w:type="dxa"/>
          </w:tcPr>
          <w:p w14:paraId="33070DF8" w14:textId="77777777" w:rsidR="003737EF" w:rsidRPr="00C07A56" w:rsidRDefault="00AA31C1" w:rsidP="004E6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i/>
                <w:color w:val="000000" w:themeColor="text1"/>
                <w:lang w:val="uk-UA"/>
              </w:rPr>
              <w:t>ЗМІСТ ДІЮЧОЇ РЕДАКЦІЇ НОРМАТИВНО-ПРАВОВОГО АКТУ</w:t>
            </w:r>
          </w:p>
        </w:tc>
        <w:tc>
          <w:tcPr>
            <w:tcW w:w="7892" w:type="dxa"/>
          </w:tcPr>
          <w:p w14:paraId="30AFB391" w14:textId="77777777" w:rsidR="003737EF" w:rsidRPr="00C07A56" w:rsidRDefault="003737EF" w:rsidP="004E6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i/>
                <w:color w:val="000000" w:themeColor="text1"/>
                <w:lang w:val="uk-UA"/>
              </w:rPr>
              <w:t>ЗМІСТ ПОЛОЖЕНЬ ПРО</w:t>
            </w:r>
            <w:r w:rsidR="00BA4B2A" w:rsidRPr="00C07A56">
              <w:rPr>
                <w:rFonts w:ascii="Times New Roman" w:hAnsi="Times New Roman" w:cs="Times New Roman"/>
                <w:b/>
                <w:i/>
                <w:color w:val="000000" w:themeColor="text1"/>
                <w:lang w:val="uk-UA"/>
              </w:rPr>
              <w:t>Є</w:t>
            </w:r>
            <w:r w:rsidRPr="00C07A56">
              <w:rPr>
                <w:rFonts w:ascii="Times New Roman" w:hAnsi="Times New Roman" w:cs="Times New Roman"/>
                <w:b/>
                <w:i/>
                <w:color w:val="000000" w:themeColor="text1"/>
                <w:lang w:val="uk-UA"/>
              </w:rPr>
              <w:t>КТУ ПОСТАНОВИ</w:t>
            </w:r>
          </w:p>
        </w:tc>
      </w:tr>
      <w:tr w:rsidR="00C07A56" w:rsidRPr="00C07A56" w14:paraId="2D06379E" w14:textId="77777777" w:rsidTr="0044524F">
        <w:trPr>
          <w:jc w:val="center"/>
        </w:trPr>
        <w:tc>
          <w:tcPr>
            <w:tcW w:w="14560" w:type="dxa"/>
            <w:gridSpan w:val="3"/>
          </w:tcPr>
          <w:p w14:paraId="08BE71BF" w14:textId="6155FAC7" w:rsidR="003D6FC3" w:rsidRPr="00C07A56" w:rsidRDefault="003D6FC3" w:rsidP="004E6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bookmarkStart w:id="0" w:name="_Hlk201654394"/>
            <w:r w:rsidRPr="00C07A56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Методика</w:t>
            </w:r>
          </w:p>
          <w:p w14:paraId="3659C5CE" w14:textId="00A80BF5" w:rsidR="003D6FC3" w:rsidRPr="00C07A56" w:rsidRDefault="003D6FC3" w:rsidP="004E6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      </w:r>
            <w:bookmarkEnd w:id="0"/>
            <w:r w:rsidRPr="00C07A56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 (постанова НКРЕКП від 30.09.2015  № 2517)</w:t>
            </w:r>
          </w:p>
        </w:tc>
      </w:tr>
      <w:tr w:rsidR="00C07A56" w:rsidRPr="00C07A56" w14:paraId="2E08376D" w14:textId="77777777" w:rsidTr="0044524F">
        <w:trPr>
          <w:gridAfter w:val="1"/>
          <w:wAfter w:w="10" w:type="dxa"/>
          <w:trHeight w:val="355"/>
          <w:jc w:val="center"/>
        </w:trPr>
        <w:tc>
          <w:tcPr>
            <w:tcW w:w="14550" w:type="dxa"/>
            <w:gridSpan w:val="2"/>
          </w:tcPr>
          <w:p w14:paraId="3A06B2DA" w14:textId="1FFAA081" w:rsidR="00F96BE0" w:rsidRPr="00C07A56" w:rsidRDefault="00F96BE0" w:rsidP="004E690A">
            <w:pPr>
              <w:spacing w:after="0" w:line="240" w:lineRule="auto"/>
              <w:ind w:firstLine="17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V. Визначення регуляторної бази активів, яка створена після переходу до стимулюючого регулювання</w:t>
            </w:r>
          </w:p>
        </w:tc>
      </w:tr>
      <w:tr w:rsidR="00C07A56" w:rsidRPr="00F93A12" w14:paraId="1160EF11" w14:textId="77777777" w:rsidTr="0044524F">
        <w:trPr>
          <w:gridAfter w:val="1"/>
          <w:wAfter w:w="10" w:type="dxa"/>
          <w:trHeight w:val="1282"/>
          <w:jc w:val="center"/>
        </w:trPr>
        <w:tc>
          <w:tcPr>
            <w:tcW w:w="6658" w:type="dxa"/>
          </w:tcPr>
          <w:p w14:paraId="6B13F975" w14:textId="7F57040A" w:rsidR="00F96BE0" w:rsidRPr="00C07A56" w:rsidRDefault="00F96BE0" w:rsidP="004E690A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4. Амортизація на активи, які включені до складу регуляторної бази активів, що створена після переходу до стимулюючого регулювання, нараховується із застосуванням прямолінійного методу щокварталу з урахуванням строків їх корисного використання згідно з додатком 3 до цієї Методики.</w:t>
            </w:r>
          </w:p>
        </w:tc>
        <w:tc>
          <w:tcPr>
            <w:tcW w:w="7892" w:type="dxa"/>
          </w:tcPr>
          <w:p w14:paraId="7855DF35" w14:textId="21466846" w:rsidR="00F96BE0" w:rsidRPr="00C07A56" w:rsidRDefault="00F96BE0" w:rsidP="004E690A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4. Амортизація на активи, які включені до складу регуляторної бази активів, що створена після переходу до стимулюючого регулювання, нараховується із застосуванням прямолінійного методу щокварталу з урахуванням строків їх корисного використання згідно з </w:t>
            </w:r>
            <w:r w:rsidRPr="00746D57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додатком</w:t>
            </w:r>
            <w:r w:rsidRPr="009812DF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 xml:space="preserve"> 1</w:t>
            </w:r>
            <w:r w:rsidR="00D879D5" w:rsidRPr="009812DF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0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 до цієї Методики.</w:t>
            </w:r>
          </w:p>
        </w:tc>
      </w:tr>
      <w:tr w:rsidR="00C07A56" w:rsidRPr="00C07A56" w14:paraId="601185EA" w14:textId="25B184E3" w:rsidTr="0044524F">
        <w:trPr>
          <w:trHeight w:val="420"/>
          <w:jc w:val="center"/>
        </w:trPr>
        <w:tc>
          <w:tcPr>
            <w:tcW w:w="14560" w:type="dxa"/>
            <w:gridSpan w:val="3"/>
          </w:tcPr>
          <w:p w14:paraId="2643B1F0" w14:textId="47AC1EC1" w:rsidR="000002EA" w:rsidRPr="00C07A56" w:rsidRDefault="000002EA" w:rsidP="004E690A">
            <w:pPr>
              <w:spacing w:after="0" w:line="240" w:lineRule="auto"/>
              <w:ind w:firstLine="312"/>
              <w:jc w:val="center"/>
              <w:rPr>
                <w:rFonts w:ascii="Times New Roman" w:hAnsi="Times New Roman" w:cs="Times New Roman"/>
                <w:color w:val="000000" w:themeColor="text1"/>
                <w:highlight w:val="green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X. Процедура встановлення та перегляду тарифів на послуги транспортування природного газу для точок входу і точок виходу</w:t>
            </w:r>
          </w:p>
        </w:tc>
      </w:tr>
      <w:tr w:rsidR="00C07A56" w:rsidRPr="00C07A56" w14:paraId="46472741" w14:textId="77777777" w:rsidTr="0044524F">
        <w:trPr>
          <w:trHeight w:val="329"/>
          <w:jc w:val="center"/>
        </w:trPr>
        <w:tc>
          <w:tcPr>
            <w:tcW w:w="14560" w:type="dxa"/>
            <w:gridSpan w:val="3"/>
          </w:tcPr>
          <w:p w14:paraId="2C54A4E8" w14:textId="1E30656F" w:rsidR="00F96BE0" w:rsidRPr="00C07A56" w:rsidRDefault="00F96BE0" w:rsidP="004E690A">
            <w:pPr>
              <w:spacing w:after="0" w:line="240" w:lineRule="auto"/>
              <w:ind w:firstLine="31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1. Вимоги до оформлення заяви та документів, що додаються до неї</w:t>
            </w:r>
          </w:p>
        </w:tc>
      </w:tr>
      <w:tr w:rsidR="00C07A56" w:rsidRPr="00C07A56" w14:paraId="3A0D00CE" w14:textId="795B2A75" w:rsidTr="0044524F">
        <w:trPr>
          <w:trHeight w:val="329"/>
          <w:jc w:val="center"/>
        </w:trPr>
        <w:tc>
          <w:tcPr>
            <w:tcW w:w="6658" w:type="dxa"/>
          </w:tcPr>
          <w:p w14:paraId="437225BD" w14:textId="6DDA7355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1. Для перегляду тарифів ліцензіат подає до НКРЕКП заяву за встановленою формою (додаток 4) і такі документи у друкованій та електронній формах в 1 примірнику:</w:t>
            </w:r>
          </w:p>
          <w:p w14:paraId="0D1EA9A4" w14:textId="17BB0436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1" w:name="n266"/>
            <w:bookmarkEnd w:id="1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1) загальну характеристику заявника та динаміку розвитку основних техніко-виробничих показників за останні 5 років (додаток 5);</w:t>
            </w:r>
          </w:p>
          <w:p w14:paraId="7FF98A65" w14:textId="4D11F936" w:rsidR="00192666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2" w:name="n267"/>
            <w:bookmarkEnd w:id="2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2) розрахунок прогнозованого необхідного доходу ліцензіата для провадження ліцензованої діяльності з транспортування природного газу на кожен рік регуляторного періоду (додаток 6), у тому числі розрахунок операційних контрольованих витрат з транспортування природного газу на кожний рік регуляторного періоду (додаток 7), розрахунок фонду оплати праці ліцензіата з транспортування природного газу на кожний рік регуляторного періоду (додаток 8), розрахунок операційних неконтрольованих витрат з транспортування природного газу на кожний рік регуляторного періоду (додаток 9), розрахунок витрат, пов’язаних із виробничо-технологічними витратами, нормованими втратами природного газу, ліцензіата з транспортування природного газу на кожний рік 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регуляторного періоду (додаток 10), розрахунок прибутку на регуляторну базу активів, що використовуються при провадженні діяльності з транспортування природного газу (додаток 11) та прогнозованої амортизації (додатки 12-15);</w:t>
            </w:r>
          </w:p>
          <w:p w14:paraId="0834B8AA" w14:textId="4DD0FB24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3" w:name="n268"/>
            <w:bookmarkEnd w:id="3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3) джерела фінансування інвестиційної програми на кожен рік регуляторного періоду відповідно до Інвестиційної програми ліцензіата, затвердженої НКРЕКП (додаток 16);</w:t>
            </w:r>
          </w:p>
          <w:p w14:paraId="699D1005" w14:textId="4D742186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4" w:name="n269"/>
            <w:bookmarkEnd w:id="4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4) розрахунок обсягів замовленої потужності транспортування природного газу відповідно до договорів в розрізі категорій споживачів (додаток 17);</w:t>
            </w:r>
          </w:p>
          <w:p w14:paraId="497C8DD8" w14:textId="082C3A01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5) розрахунок прогнозованого необхідного доходу від здійснення діяльності з транспортування природного газу (додаток 18);</w:t>
            </w:r>
          </w:p>
          <w:p w14:paraId="4A5A853D" w14:textId="30205731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6) розрахунок тарифів для точок або однорідної групи точок, або кластеру точок входу та виходу в/з газотранспортну(</w:t>
            </w:r>
            <w:proofErr w:type="spellStart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ої</w:t>
            </w:r>
            <w:proofErr w:type="spellEnd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 систему(и) (додаток 19);</w:t>
            </w:r>
          </w:p>
          <w:p w14:paraId="0BDC2AAD" w14:textId="77777777" w:rsidR="00F96BE0" w:rsidRPr="00C07A56" w:rsidRDefault="00F96BE0" w:rsidP="004E690A">
            <w:pPr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7) інформація щодо динаміки фактичних та граничних обсягів виробничо-технологічних витрат та нормованих втрат природного газу за 5 останніх років (додаток 20).</w:t>
            </w:r>
          </w:p>
          <w:p w14:paraId="072C0909" w14:textId="77777777" w:rsidR="00720BAD" w:rsidRPr="00C07A56" w:rsidRDefault="00720BAD" w:rsidP="004E690A">
            <w:pPr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  <w:p w14:paraId="305F95DF" w14:textId="2813B810" w:rsidR="00192666" w:rsidRPr="00C07A56" w:rsidRDefault="00192666" w:rsidP="004E690A">
            <w:pPr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норма відсутня</w:t>
            </w:r>
          </w:p>
          <w:p w14:paraId="0FCDD19F" w14:textId="77777777" w:rsidR="00192666" w:rsidRPr="00C07A56" w:rsidRDefault="00192666" w:rsidP="004E690A">
            <w:pPr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  <w:p w14:paraId="2F8F2538" w14:textId="77777777" w:rsidR="00192666" w:rsidRPr="00C07A56" w:rsidRDefault="00192666" w:rsidP="004E690A">
            <w:pPr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8) консультаційний документ, обґрунтування застосування коефіцієнтів, які враховують період замовлення потужності, та, у разі необхідності, розрахунок коефіцієнтів, які враховують сезон замовлення потужності.</w:t>
            </w:r>
          </w:p>
          <w:p w14:paraId="1DFAD012" w14:textId="329D8681" w:rsidR="005800A3" w:rsidRPr="00C07A56" w:rsidRDefault="003B3EF1" w:rsidP="004E690A">
            <w:pPr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…</w:t>
            </w:r>
          </w:p>
        </w:tc>
        <w:tc>
          <w:tcPr>
            <w:tcW w:w="7902" w:type="dxa"/>
            <w:gridSpan w:val="2"/>
          </w:tcPr>
          <w:p w14:paraId="2660F45F" w14:textId="793833A6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1. Для перегляду тарифів ліцензіат подає до НКРЕКП заяву за встановленою формою (</w:t>
            </w:r>
            <w:r w:rsidRPr="00746D57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додаток </w:t>
            </w:r>
            <w:r w:rsidRPr="009812DF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3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 і такі документи у друкованій та електронній формах в 1 примірнику:</w:t>
            </w:r>
          </w:p>
          <w:p w14:paraId="708BBA7F" w14:textId="4F59D301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1) загальну характеристику заявника та динаміку розвитку основних техніко-виробничих показників за останні 5 років (</w:t>
            </w:r>
            <w:r w:rsidRPr="00746D57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додаток </w:t>
            </w:r>
            <w:r w:rsidRPr="009812DF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4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);</w:t>
            </w:r>
          </w:p>
          <w:p w14:paraId="3B7EA01C" w14:textId="50064D72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2) </w:t>
            </w:r>
            <w:r w:rsidRPr="004A57F7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розрахунок прогнозованого необхідного доходу ліцензіата для провадження ліцензованої діяльності з транспортування природного газу на кожен рік регуляторного періоду (додаток</w:t>
            </w:r>
            <w:r w:rsidRPr="004A57F7">
              <w:rPr>
                <w:rFonts w:ascii="Times New Roman" w:hAnsi="Times New Roman" w:cs="Times New Roman"/>
                <w:bCs/>
                <w:strike/>
                <w:color w:val="000000" w:themeColor="text1"/>
                <w:lang w:val="uk-UA"/>
              </w:rPr>
              <w:t xml:space="preserve"> 5</w:t>
            </w:r>
            <w:r w:rsidRPr="004A57F7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), у тому числі</w:t>
            </w:r>
            <w:r w:rsidRPr="00C07A56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 xml:space="preserve"> 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розрахунок операційних контрольованих витрат з транспортування природного газу на кожний рік регуляторного періоду (додаток 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5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), розрахунок </w:t>
            </w:r>
            <w:r w:rsidRPr="004A57F7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фонду оплати праці ліцензіата</w:t>
            </w:r>
            <w:r w:rsidRPr="004A57F7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="00192666" w:rsidRPr="00C07A56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витрат на оплату праці, єдиного внеску на загальнообов'язкове державне соціальне страхування</w:t>
            </w:r>
            <w:r w:rsidR="00192666"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з транспортування природного газу на кожний рік регуляторного періоду (додаток 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6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), розрахунок операційних неконтрольованих витрат з транспортування природного газу на кожний рік регуляторного періоду (додаток 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7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), розрахунок витрат, пов’язаних із виробничо-технологічними витратами, нормованими втратами природного газу, ліцензіата з транспортування природного газу на кожний рік регуляторного періоду (додаток 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8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), розрахунок прибутку на регуляторну базу активів, що використовуються при провадженні 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 xml:space="preserve">діяльності з транспортування природного газу (додаток 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9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) та прогнозованої амортизації (додатки </w:t>
            </w: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1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0</w:t>
            </w:r>
            <w:r w:rsidR="009812DF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 xml:space="preserve"> – </w:t>
            </w: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1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3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);</w:t>
            </w:r>
          </w:p>
          <w:p w14:paraId="03D12353" w14:textId="6D3DA691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3) джерела фінансування інвестиційної програми на кожен рік регуляторного періоду відповідно до Інвестиційної програми ліцензіата, затвердженої НКРЕКП (додаток </w:t>
            </w: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1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4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);</w:t>
            </w:r>
          </w:p>
          <w:p w14:paraId="0944CFC4" w14:textId="7EF4C015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4) розрахунок обсягів замовленої потужності транспортування природного газу відповідно до договорів </w:t>
            </w:r>
            <w:r w:rsidR="00740508">
              <w:rPr>
                <w:rFonts w:ascii="Times New Roman" w:hAnsi="Times New Roman" w:cs="Times New Roman"/>
                <w:color w:val="000000" w:themeColor="text1"/>
                <w:lang w:val="uk-UA"/>
              </w:rPr>
              <w:t>у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розрізі категорій споживачів (додаток </w:t>
            </w: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1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5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);</w:t>
            </w:r>
          </w:p>
          <w:p w14:paraId="2FE356EA" w14:textId="52AEFE5B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5) розрахунок прогнозованого необхідного доходу від здійснення діяльності з транспортування природного газу (додаток </w:t>
            </w: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1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6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);</w:t>
            </w:r>
          </w:p>
          <w:p w14:paraId="3F8A1823" w14:textId="2A91F6DE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6) розрахунок тарифів для точок або однорідної групи точок, або кластеру точок входу та виходу в/з газотранспортну(</w:t>
            </w:r>
            <w:proofErr w:type="spellStart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ої</w:t>
            </w:r>
            <w:proofErr w:type="spellEnd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) систему(и) </w:t>
            </w:r>
            <w:r w:rsidR="003E61FF"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br/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(додаток </w:t>
            </w: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1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7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);</w:t>
            </w:r>
          </w:p>
          <w:p w14:paraId="202B67F5" w14:textId="3CB86E7A" w:rsidR="00192666" w:rsidRPr="00C07A56" w:rsidRDefault="00F96BE0" w:rsidP="004E690A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7) інформація щодо динаміки фактичних </w:t>
            </w:r>
            <w:r w:rsidRPr="00C07A56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 xml:space="preserve">та граничних 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обсягів виробничо-технологічних витрат та нормованих втрат природного газу за </w:t>
            </w:r>
            <w:r w:rsidR="003E61FF"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br/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5 останніх років (додаток </w:t>
            </w: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1</w:t>
            </w:r>
            <w:r w:rsidR="00192666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8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</w:t>
            </w:r>
            <w:r w:rsidR="00716CCC"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7F265AA7" w14:textId="60C1ACE4" w:rsidR="00192666" w:rsidRPr="00C07A56" w:rsidRDefault="00192666" w:rsidP="004E690A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 xml:space="preserve">8) </w:t>
            </w:r>
            <w:r w:rsidR="00A815E1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 xml:space="preserve">розрахунок </w:t>
            </w: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розподілу витрат, що вказує ступінь перехресного субсидіювання між використанням системи для внутрішніх потреб та для міжсистемних потреб</w:t>
            </w:r>
            <w:r w:rsidR="005523AC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 xml:space="preserve"> (додаток 19)</w:t>
            </w:r>
            <w:r w:rsidR="00716CCC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;</w:t>
            </w:r>
          </w:p>
          <w:p w14:paraId="143D321B" w14:textId="3D875304" w:rsidR="00D9010D" w:rsidRPr="00C07A56" w:rsidRDefault="00C07A56" w:rsidP="004E690A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9</w:t>
            </w:r>
            <w:r w:rsidR="00D9010D" w:rsidRPr="00C07A56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)</w:t>
            </w:r>
            <w:r w:rsidR="00D9010D" w:rsidRPr="00C07A56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 xml:space="preserve"> консультаційний документ, обґрунтування застосування коефіцієнтів, які враховують період замовлення потужності, та, у разі необхідності, розрахунок коефіцієнтів, які враховують сезон замовлення потужності.</w:t>
            </w:r>
          </w:p>
          <w:p w14:paraId="3978C0D1" w14:textId="51A38FE7" w:rsidR="005800A3" w:rsidRPr="00C07A56" w:rsidRDefault="003B3EF1" w:rsidP="004E690A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…</w:t>
            </w:r>
          </w:p>
        </w:tc>
      </w:tr>
      <w:tr w:rsidR="00C07A56" w:rsidRPr="00C07A56" w14:paraId="50B27569" w14:textId="77777777" w:rsidTr="0044524F">
        <w:trPr>
          <w:trHeight w:val="329"/>
          <w:jc w:val="center"/>
        </w:trPr>
        <w:tc>
          <w:tcPr>
            <w:tcW w:w="6658" w:type="dxa"/>
          </w:tcPr>
          <w:p w14:paraId="23DB2ADF" w14:textId="5322BA66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4. Для коригування тарифів ліцензіат подає до НКРЕКП заяву за встановленою формою (додаток 4) та такі документи у друкованій та електронній формах в 1 примірнику:</w:t>
            </w:r>
          </w:p>
          <w:p w14:paraId="2A0884FB" w14:textId="51122679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5" w:name="n284"/>
            <w:bookmarkEnd w:id="5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1) розрахунок уточненого необхідного доходу для здійснення діяльності з транспортування природного газу за попередній рік, у тому числі розрахунок фактичної амортизації відповідно до пункту 2 розділу ІІІ цієї Методики;</w:t>
            </w:r>
          </w:p>
          <w:p w14:paraId="02C3C1AA" w14:textId="50B1B201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6" w:name="n285"/>
            <w:bookmarkEnd w:id="6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2) розрахунок корегування необхідного доходу з транспортування природного газу у зв'язку зі зміною обсягів замовлених потужностей за видами замовлених потужностей, 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передбачений при розрахунку відповідного тарифу (додатки 20 та 21);</w:t>
            </w:r>
          </w:p>
        </w:tc>
        <w:tc>
          <w:tcPr>
            <w:tcW w:w="7902" w:type="dxa"/>
            <w:gridSpan w:val="2"/>
          </w:tcPr>
          <w:p w14:paraId="6C29B2FF" w14:textId="5C870EF3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4. Для коригування тарифів ліцензіат подає до НКРЕКП заяву за встановленою формою (</w:t>
            </w:r>
            <w:r w:rsidRPr="00CE31F9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додаток </w:t>
            </w:r>
            <w:r w:rsidRPr="00CE31F9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3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 та такі документи у друкованій та електронній формах в 1 примірнику:</w:t>
            </w:r>
          </w:p>
          <w:p w14:paraId="16C4DE38" w14:textId="636CC7B3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1) розрахунок уточненого необхідного доходу для здійснення діяльності з транспортування природного газу за попередній рік, у тому числі розрахунок фактичної амортизації відповідно до пункту </w:t>
            </w:r>
            <w:r w:rsidR="008E7613" w:rsidRPr="00C07A56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3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 розділу ІІІ цієї Методики;</w:t>
            </w:r>
          </w:p>
          <w:p w14:paraId="2AE93C13" w14:textId="62C42318" w:rsidR="00F96BE0" w:rsidRPr="00C07A56" w:rsidRDefault="00F96BE0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2) розрахунок корегування необхідного доходу з транспортування природного газу у зв'язку зі зміною обсягів замовлених потужностей за видами замовлених потужностей, передбачений при розрахунку відповідного тарифу (</w:t>
            </w:r>
            <w:r w:rsidRPr="00C07A56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додатки 20 та 21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C07A56">
              <w:rPr>
                <w:rStyle w:val="a6"/>
                <w:rFonts w:ascii="Times New Roman" w:hAnsi="Times New Roman" w:cs="Times New Roman"/>
                <w:b/>
                <w:bCs/>
                <w:color w:val="000000" w:themeColor="text1"/>
                <w:u w:val="none"/>
                <w:lang w:val="uk-UA"/>
              </w:rPr>
              <w:t>додат</w:t>
            </w:r>
            <w:r w:rsidR="008E7613" w:rsidRPr="00C07A56">
              <w:rPr>
                <w:rStyle w:val="a6"/>
                <w:rFonts w:ascii="Times New Roman" w:hAnsi="Times New Roman" w:cs="Times New Roman"/>
                <w:b/>
                <w:bCs/>
                <w:color w:val="000000" w:themeColor="text1"/>
                <w:u w:val="none"/>
                <w:lang w:val="uk-UA"/>
              </w:rPr>
              <w:t>ок</w:t>
            </w:r>
            <w:r w:rsidRPr="00C07A56">
              <w:rPr>
                <w:rStyle w:val="a6"/>
                <w:rFonts w:ascii="Times New Roman" w:hAnsi="Times New Roman" w:cs="Times New Roman"/>
                <w:b/>
                <w:bCs/>
                <w:color w:val="000000" w:themeColor="text1"/>
                <w:u w:val="none"/>
                <w:lang w:val="uk-UA"/>
              </w:rPr>
              <w:t xml:space="preserve"> 20</w:t>
            </w: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);</w:t>
            </w:r>
          </w:p>
        </w:tc>
      </w:tr>
      <w:tr w:rsidR="00C07A56" w:rsidRPr="00C07A56" w14:paraId="0E31E6B6" w14:textId="77777777" w:rsidTr="0044524F">
        <w:trPr>
          <w:trHeight w:val="329"/>
          <w:jc w:val="center"/>
        </w:trPr>
        <w:tc>
          <w:tcPr>
            <w:tcW w:w="6658" w:type="dxa"/>
          </w:tcPr>
          <w:p w14:paraId="09E55911" w14:textId="77777777" w:rsidR="0059177F" w:rsidRPr="00C07A56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5. До подання документів ліцензіат оприлюднює на своєму веб-сайті обґрунтування щодо необхідності встановлення тарифів на послуги транспортування для точок входу та виходу в/з газотранспортну(</w:t>
            </w:r>
            <w:proofErr w:type="spellStart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ої</w:t>
            </w:r>
            <w:proofErr w:type="spellEnd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) систему(и) або змін до них, яке повинно містити інформацію щодо:</w:t>
            </w:r>
          </w:p>
          <w:p w14:paraId="3E968897" w14:textId="77777777" w:rsidR="0059177F" w:rsidRPr="00C07A56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7" w:name="n571"/>
            <w:bookmarkEnd w:id="7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1) параметрів, що використовуються в розрахунках тарифу, які пов’язані з технічними характеристиками газотранспортної системи:</w:t>
            </w:r>
          </w:p>
          <w:p w14:paraId="3002D12A" w14:textId="77777777" w:rsidR="0059177F" w:rsidRPr="00C07A56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8" w:name="n572"/>
            <w:bookmarkEnd w:id="8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технічна потужність у точках входу та виходу та відповідні прогнози;</w:t>
            </w:r>
          </w:p>
          <w:p w14:paraId="771EF698" w14:textId="77777777" w:rsidR="0059177F" w:rsidRPr="00C07A56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9" w:name="n573"/>
            <w:bookmarkEnd w:id="9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прогнозована замовлена потужність у точках входу та виходу та відповідні припущення;</w:t>
            </w:r>
          </w:p>
          <w:p w14:paraId="79E72A37" w14:textId="77777777" w:rsidR="0059177F" w:rsidRPr="00C07A56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10" w:name="n574"/>
            <w:bookmarkEnd w:id="10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додаткова технічна інформація про газотранспортну систему, зокрема потужність компресорних станцій;</w:t>
            </w:r>
          </w:p>
          <w:p w14:paraId="04AE06A1" w14:textId="5B300ADD" w:rsidR="003C6C6C" w:rsidRPr="00C07A56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11" w:name="n575"/>
            <w:bookmarkEnd w:id="11"/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2) плану розвитку газотранспортної системи на наступні 10 років, оформленого з дотриманням вимог </w:t>
            </w:r>
            <w:hyperlink r:id="rId8" w:anchor="n18" w:tgtFrame="_blank" w:history="1">
              <w:r w:rsidRPr="00C07A56">
                <w:rPr>
                  <w:rFonts w:ascii="Times New Roman" w:hAnsi="Times New Roman" w:cs="Times New Roman"/>
                  <w:color w:val="000000" w:themeColor="text1"/>
                  <w:lang w:val="uk-UA"/>
                </w:rPr>
                <w:t>Кодексу газотранспортної системи</w:t>
              </w:r>
            </w:hyperlink>
            <w:r w:rsidRPr="00C07A56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  <w:tc>
          <w:tcPr>
            <w:tcW w:w="7902" w:type="dxa"/>
            <w:gridSpan w:val="2"/>
          </w:tcPr>
          <w:p w14:paraId="782FAF04" w14:textId="77777777" w:rsidR="0059177F" w:rsidRPr="0047423E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5. До подання документів ліцензіат оприлюднює на своєму веб-сайті обґрунтування щодо необхідності встановлення тарифів на послуги транспортування для точок входу та виходу в/з газотранспортну(</w:t>
            </w:r>
            <w:proofErr w:type="spellStart"/>
            <w:r w:rsidRPr="0047423E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ої</w:t>
            </w:r>
            <w:proofErr w:type="spellEnd"/>
            <w:r w:rsidRPr="0047423E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) систему(и) або змін до них, яке повинно містити інформацію щодо:</w:t>
            </w:r>
          </w:p>
          <w:p w14:paraId="585A155A" w14:textId="77777777" w:rsidR="0059177F" w:rsidRPr="0047423E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1) параметрів, що використовуються в розрахунках тарифу, які пов’язані з технічними характеристиками газотранспортної системи:</w:t>
            </w:r>
          </w:p>
          <w:p w14:paraId="12F202ED" w14:textId="77777777" w:rsidR="0059177F" w:rsidRPr="0047423E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технічна потужність у точках входу та виходу та відповідні прогнози;</w:t>
            </w:r>
          </w:p>
          <w:p w14:paraId="696700C8" w14:textId="77777777" w:rsidR="0059177F" w:rsidRPr="0047423E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прогнозована замовлена потужність у точках входу та виходу та відповідні припущення;</w:t>
            </w:r>
          </w:p>
          <w:p w14:paraId="2F95EBD3" w14:textId="77777777" w:rsidR="0059177F" w:rsidRPr="0047423E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додаткова технічна інформація про газотранспортну систему, зокрема потужність компресорних станцій;</w:t>
            </w:r>
          </w:p>
          <w:p w14:paraId="2340F634" w14:textId="57C4E039" w:rsidR="00C17560" w:rsidRPr="00965C8F" w:rsidRDefault="0059177F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uk-UA"/>
              </w:rPr>
            </w:pPr>
            <w:r w:rsidRPr="0047423E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2) плану розвитку газотранспортної системи на наступні 10 років, оформленого з дотриманням вимог </w:t>
            </w:r>
            <w:hyperlink r:id="rId9" w:anchor="n18" w:tgtFrame="_blank" w:history="1">
              <w:r w:rsidRPr="0047423E">
                <w:rPr>
                  <w:rFonts w:ascii="Times New Roman" w:hAnsi="Times New Roman" w:cs="Times New Roman"/>
                  <w:strike/>
                  <w:color w:val="000000" w:themeColor="text1"/>
                  <w:lang w:val="uk-UA"/>
                </w:rPr>
                <w:t>Кодексу газотранспортної системи</w:t>
              </w:r>
            </w:hyperlink>
            <w:r w:rsidR="003B3EF1" w:rsidRPr="0047423E"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  <w:t>.</w:t>
            </w:r>
          </w:p>
        </w:tc>
      </w:tr>
      <w:tr w:rsidR="00C07A56" w:rsidRPr="00C07A56" w14:paraId="1DA459BE" w14:textId="77777777" w:rsidTr="0044524F">
        <w:trPr>
          <w:trHeight w:val="1275"/>
          <w:jc w:val="center"/>
        </w:trPr>
        <w:tc>
          <w:tcPr>
            <w:tcW w:w="6658" w:type="dxa"/>
          </w:tcPr>
          <w:p w14:paraId="744A1DE3" w14:textId="77777777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6. НКРЕКП може запросити у ліцензіата письмові обґрунтування наданих матеріалів та/або будь-яку іншу додаткову інформацію та документи, необхідні для розгляду заяви та доданих до неї документів.</w:t>
            </w:r>
          </w:p>
          <w:p w14:paraId="2BA08A9E" w14:textId="5A697BD5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Ліцензіат має надати всі необхідні матеріали протягом 7 календарних днів від дати отримання письмового запиту від НКРЕКП.</w:t>
            </w:r>
          </w:p>
        </w:tc>
        <w:tc>
          <w:tcPr>
            <w:tcW w:w="7902" w:type="dxa"/>
            <w:gridSpan w:val="2"/>
          </w:tcPr>
          <w:p w14:paraId="741A4502" w14:textId="1CD87BE5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C07A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5</w:t>
            </w:r>
            <w:r w:rsidRPr="000A3044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.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 xml:space="preserve"> НКРЕКП може запросити у ліцензіата письмові обґрунтування наданих матеріалів та/або будь-яку іншу додаткову інформацію та документи, необхідні для розгляду заяви та доданих до неї документів.</w:t>
            </w:r>
          </w:p>
          <w:p w14:paraId="48F29754" w14:textId="2ED64E1F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Ліцензіат має надати всі необхідні матеріали протягом 7 календарних днів від дати отримання письмового запиту від НКРЕКП.</w:t>
            </w:r>
          </w:p>
        </w:tc>
      </w:tr>
      <w:tr w:rsidR="003B3EF1" w:rsidRPr="00C07A56" w14:paraId="5D2331B5" w14:textId="77777777" w:rsidTr="0044524F">
        <w:trPr>
          <w:trHeight w:val="329"/>
          <w:jc w:val="center"/>
        </w:trPr>
        <w:tc>
          <w:tcPr>
            <w:tcW w:w="6658" w:type="dxa"/>
          </w:tcPr>
          <w:p w14:paraId="27FA8584" w14:textId="6AD632BC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7. Ліцензіат зобов’язаний обґрунтовано розподілити витрати між ліцензованим та іншими видами господарської діяльності.</w:t>
            </w:r>
          </w:p>
        </w:tc>
        <w:tc>
          <w:tcPr>
            <w:tcW w:w="7902" w:type="dxa"/>
            <w:gridSpan w:val="2"/>
          </w:tcPr>
          <w:p w14:paraId="50E0DA4A" w14:textId="364C59C1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C07A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6</w:t>
            </w:r>
            <w:r w:rsidRPr="000A3044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.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 xml:space="preserve"> Ліцензіат зобов’язаний обґрунтовано розподілити витрати між ліцензованим та іншими видами господарської діяльності.</w:t>
            </w:r>
          </w:p>
        </w:tc>
      </w:tr>
      <w:tr w:rsidR="003B3EF1" w:rsidRPr="00C07A56" w14:paraId="2A197D75" w14:textId="77777777" w:rsidTr="0044524F">
        <w:trPr>
          <w:trHeight w:val="329"/>
          <w:jc w:val="center"/>
        </w:trPr>
        <w:tc>
          <w:tcPr>
            <w:tcW w:w="6658" w:type="dxa"/>
          </w:tcPr>
          <w:p w14:paraId="1C1E5FF3" w14:textId="3665566D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8. Усі документи, що надаються ліцензіатом до НКРЕКП відповідно до вимог цієї Методики у друкованій формі, мають бути підписані керівником, а копії документів - завірені в установленому законодавством порядку.</w:t>
            </w:r>
          </w:p>
        </w:tc>
        <w:tc>
          <w:tcPr>
            <w:tcW w:w="7902" w:type="dxa"/>
            <w:gridSpan w:val="2"/>
          </w:tcPr>
          <w:p w14:paraId="5453B37C" w14:textId="1473869B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C07A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7</w:t>
            </w:r>
            <w:r w:rsidRPr="000A3044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.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 xml:space="preserve"> Усі документи, що надаються ліцензіатом до НКРЕКП відповідно до вимог цієї Методики у друкованій формі, мають бути підписані керівником, а копії документів - завірені в установленому законодавством порядку.</w:t>
            </w:r>
          </w:p>
        </w:tc>
      </w:tr>
      <w:tr w:rsidR="003B3EF1" w:rsidRPr="00C07A56" w14:paraId="7F191405" w14:textId="77777777" w:rsidTr="0044524F">
        <w:trPr>
          <w:trHeight w:val="329"/>
          <w:jc w:val="center"/>
        </w:trPr>
        <w:tc>
          <w:tcPr>
            <w:tcW w:w="6658" w:type="dxa"/>
          </w:tcPr>
          <w:p w14:paraId="0680AF86" w14:textId="68B15E73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9. Усі числові значення в розрахунках мають бути наведені з округленням до двох знаків після коми, окрім тарифів на послуги транспортування природного газу для точок входу та точок виходу в/з газотранспортну(</w:t>
            </w:r>
            <w:proofErr w:type="spellStart"/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ої</w:t>
            </w:r>
            <w:proofErr w:type="spellEnd"/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 xml:space="preserve">) систему(и), виражених у </w:t>
            </w:r>
            <w:proofErr w:type="spellStart"/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МВт·год</w:t>
            </w:r>
            <w:proofErr w:type="spellEnd"/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 xml:space="preserve"> до одиниці часу, які мають бути наведені з округленням до чотирьох знаків після коми.</w:t>
            </w:r>
          </w:p>
        </w:tc>
        <w:tc>
          <w:tcPr>
            <w:tcW w:w="7902" w:type="dxa"/>
            <w:gridSpan w:val="2"/>
          </w:tcPr>
          <w:p w14:paraId="11DA4F18" w14:textId="227D97DC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C07A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8</w:t>
            </w:r>
            <w:r w:rsidRPr="000A3044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.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 xml:space="preserve"> Усі числові значення в розрахунках мають бути наведені з округленням до двох знаків після коми, окрім тарифів на послуги транспортування природного газу для точок входу та точок виходу в/з газотранспортну(</w:t>
            </w:r>
            <w:proofErr w:type="spellStart"/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ої</w:t>
            </w:r>
            <w:proofErr w:type="spellEnd"/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 xml:space="preserve">) систему(и), виражених у </w:t>
            </w:r>
            <w:proofErr w:type="spellStart"/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>МВт·год</w:t>
            </w:r>
            <w:proofErr w:type="spellEnd"/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 xml:space="preserve"> до одиниці часу, які мають бути наведені з округленням до чотирьох знаків після коми.</w:t>
            </w:r>
          </w:p>
        </w:tc>
      </w:tr>
      <w:tr w:rsidR="004E690A" w:rsidRPr="00C07A56" w14:paraId="5F3FE434" w14:textId="77777777" w:rsidTr="0044524F">
        <w:trPr>
          <w:trHeight w:val="329"/>
          <w:jc w:val="center"/>
        </w:trPr>
        <w:tc>
          <w:tcPr>
            <w:tcW w:w="6658" w:type="dxa"/>
          </w:tcPr>
          <w:p w14:paraId="2C7E19C2" w14:textId="34915535" w:rsidR="003B3EF1" w:rsidRPr="00C07A56" w:rsidRDefault="003B3EF1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lastRenderedPageBreak/>
              <w:t>10. Відповідальним за достовірність даних, наданих у документах, є ліцензіат.</w:t>
            </w:r>
          </w:p>
        </w:tc>
        <w:tc>
          <w:tcPr>
            <w:tcW w:w="7902" w:type="dxa"/>
            <w:gridSpan w:val="2"/>
          </w:tcPr>
          <w:p w14:paraId="711B8CB0" w14:textId="75700822" w:rsidR="004E690A" w:rsidRPr="00FC4D45" w:rsidRDefault="003B3EF1" w:rsidP="00FC4D45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</w:pPr>
            <w:r w:rsidRPr="00C07A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9</w:t>
            </w:r>
            <w:r w:rsidRPr="000A3044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uk-UA" w:eastAsia="uk-UA"/>
              </w:rPr>
              <w:t>.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val="uk-UA" w:eastAsia="uk-UA"/>
              </w:rPr>
              <w:t xml:space="preserve"> Відповідальним за достовірність даних, наданих у документах, є ліцензіат.</w:t>
            </w:r>
          </w:p>
          <w:p w14:paraId="7CAEF6D2" w14:textId="772F6AA7" w:rsidR="004E690A" w:rsidRPr="00C07A56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</w:p>
        </w:tc>
      </w:tr>
      <w:tr w:rsidR="00C07A56" w:rsidRPr="00C07A56" w14:paraId="57550222" w14:textId="77777777" w:rsidTr="0044524F">
        <w:trPr>
          <w:trHeight w:val="329"/>
          <w:jc w:val="center"/>
        </w:trPr>
        <w:tc>
          <w:tcPr>
            <w:tcW w:w="14560" w:type="dxa"/>
            <w:gridSpan w:val="3"/>
          </w:tcPr>
          <w:p w14:paraId="2594C4F7" w14:textId="7D67082D" w:rsidR="00C07A56" w:rsidRPr="00C07A56" w:rsidRDefault="00C07A56" w:rsidP="004E690A">
            <w:pPr>
              <w:shd w:val="clear" w:color="auto" w:fill="FFFFFF"/>
              <w:spacing w:after="0" w:line="240" w:lineRule="auto"/>
              <w:ind w:firstLine="314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C07A56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2. Порядок та строки розгляду заяви</w:t>
            </w:r>
          </w:p>
        </w:tc>
      </w:tr>
      <w:tr w:rsidR="004E690A" w:rsidRPr="00F93A12" w14:paraId="27038430" w14:textId="77777777" w:rsidTr="0044524F">
        <w:trPr>
          <w:trHeight w:val="329"/>
          <w:jc w:val="center"/>
        </w:trPr>
        <w:tc>
          <w:tcPr>
            <w:tcW w:w="6658" w:type="dxa"/>
          </w:tcPr>
          <w:p w14:paraId="7058A177" w14:textId="77777777" w:rsidR="004E690A" w:rsidRPr="004E690A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4E690A">
              <w:rPr>
                <w:rFonts w:ascii="Times New Roman" w:hAnsi="Times New Roman" w:cs="Times New Roman"/>
                <w:color w:val="000000" w:themeColor="text1"/>
                <w:lang w:val="uk-UA"/>
              </w:rPr>
              <w:t>…</w:t>
            </w:r>
          </w:p>
          <w:p w14:paraId="13374EEA" w14:textId="77777777" w:rsidR="004E690A" w:rsidRPr="000A3044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5. У разі якщо заява або додані до неї документи містять помилки, ліцензіат має усунути їх протягом 7 календарних днів після отримання письмового повідомлення НКРЕКП.</w:t>
            </w:r>
          </w:p>
          <w:p w14:paraId="6551490C" w14:textId="0BE4B640" w:rsidR="004E690A" w:rsidRPr="004E690A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bookmarkStart w:id="12" w:name="n299"/>
            <w:bookmarkEnd w:id="12"/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У разі якщо після виправлення помилок заява та додані до неї документи не відповідають вимогам </w:t>
            </w:r>
            <w:r w:rsidRPr="004E690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пунктів 1</w:t>
            </w:r>
            <w:r w:rsidR="00C64BD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 xml:space="preserve"> </w:t>
            </w:r>
            <w:r w:rsidR="00C64BDA">
              <w:rPr>
                <w:sz w:val="28"/>
                <w:szCs w:val="28"/>
                <w:lang w:val="uk-UA" w:eastAsia="uk-UA"/>
              </w:rPr>
              <w:t xml:space="preserve">– </w:t>
            </w:r>
            <w:r w:rsidRPr="004E690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9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 глави 1 цього розділу або якщо ліцензіат не виправляє помилки у встановлений строк, НКРЕКП може письмово повідомити про відмову у розгляді заяви ліцензіата.</w:t>
            </w:r>
          </w:p>
        </w:tc>
        <w:tc>
          <w:tcPr>
            <w:tcW w:w="7902" w:type="dxa"/>
            <w:gridSpan w:val="2"/>
          </w:tcPr>
          <w:p w14:paraId="4DE4DF37" w14:textId="77777777" w:rsidR="004E690A" w:rsidRPr="004E690A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4E690A">
              <w:rPr>
                <w:rFonts w:ascii="Times New Roman" w:hAnsi="Times New Roman" w:cs="Times New Roman"/>
                <w:color w:val="000000" w:themeColor="text1"/>
                <w:lang w:val="uk-UA"/>
              </w:rPr>
              <w:t>…</w:t>
            </w:r>
          </w:p>
          <w:p w14:paraId="60541B31" w14:textId="77777777" w:rsidR="004E690A" w:rsidRPr="000A3044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5. У разі якщо заява або додані до неї документи містять помилки, ліцензіат має усунути їх протягом 7 календарних днів після отримання письмового повідомлення НКРЕКП.</w:t>
            </w:r>
          </w:p>
          <w:p w14:paraId="7A6C4798" w14:textId="60306727" w:rsidR="004E690A" w:rsidRPr="00C07A56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У разі якщо після виправлення помилок заява та додані до неї документи не відповідають вимогам </w:t>
            </w:r>
            <w:r w:rsidRPr="004E690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пунктів 1</w:t>
            </w:r>
            <w:r w:rsidR="00C64BD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 xml:space="preserve"> </w:t>
            </w:r>
            <w:r w:rsidR="00C64BDA">
              <w:rPr>
                <w:sz w:val="28"/>
                <w:szCs w:val="28"/>
                <w:lang w:val="uk-UA" w:eastAsia="uk-UA"/>
              </w:rPr>
              <w:t xml:space="preserve">– </w:t>
            </w:r>
            <w:r w:rsidRPr="004E690A">
              <w:rPr>
                <w:rFonts w:ascii="Times New Roman" w:eastAsia="Times New Roman" w:hAnsi="Times New Roman" w:cs="Times New Roman"/>
                <w:b/>
                <w:color w:val="000000" w:themeColor="text1"/>
                <w:lang w:val="uk-UA" w:eastAsia="uk-UA"/>
              </w:rPr>
              <w:t>8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 глави 1 цього розділу або якщо ліцензіат не виправляє помилки у встановлений строк, НКРЕКП може письмово повідомити про відмову у розгляді заяви ліцензіата.</w:t>
            </w:r>
          </w:p>
        </w:tc>
      </w:tr>
      <w:tr w:rsidR="004E690A" w:rsidRPr="00C07A56" w14:paraId="0686E1BC" w14:textId="77777777" w:rsidTr="0044524F">
        <w:trPr>
          <w:trHeight w:val="329"/>
          <w:jc w:val="center"/>
        </w:trPr>
        <w:tc>
          <w:tcPr>
            <w:tcW w:w="6658" w:type="dxa"/>
          </w:tcPr>
          <w:p w14:paraId="1B88F161" w14:textId="3CE303AC" w:rsidR="004E690A" w:rsidRPr="004E690A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6. У разі якщо заява та додані документи не подані у встановлені </w:t>
            </w:r>
            <w:r w:rsidRPr="004E690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пунктами 1-3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 цієї глави строки, НКРЕКП може самостійно здійснювати розрахунки, що необхідні для встановлення тарифу (крім встановлення тарифу при переході на стимулююче регулювання).</w:t>
            </w:r>
          </w:p>
        </w:tc>
        <w:tc>
          <w:tcPr>
            <w:tcW w:w="7902" w:type="dxa"/>
            <w:gridSpan w:val="2"/>
          </w:tcPr>
          <w:p w14:paraId="6FA0CA89" w14:textId="53B8B736" w:rsidR="004E690A" w:rsidRPr="00C07A56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trike/>
                <w:color w:val="000000" w:themeColor="text1"/>
                <w:lang w:val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6. У разі якщо заява та додані документи не подані у встановлені </w:t>
            </w:r>
            <w:r w:rsidRPr="004E690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пунктами 1-3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 цієї глави строки, НКРЕКП може самостійно здійснювати розрахунки, що необхідні для встановлення тарифу (крім встановлення тарифу при переході на стимулююче регулювання).</w:t>
            </w:r>
          </w:p>
        </w:tc>
      </w:tr>
      <w:tr w:rsidR="004E690A" w:rsidRPr="00C07A56" w14:paraId="44369C9F" w14:textId="77777777" w:rsidTr="0044524F">
        <w:trPr>
          <w:trHeight w:val="329"/>
          <w:jc w:val="center"/>
        </w:trPr>
        <w:tc>
          <w:tcPr>
            <w:tcW w:w="6658" w:type="dxa"/>
          </w:tcPr>
          <w:p w14:paraId="45A64FF3" w14:textId="3BF21BF5" w:rsidR="004E690A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7. Після розгляду заяви ліцензіата та доданих до неї документів, оформлених відповідно до вимог, визначених </w:t>
            </w:r>
            <w:r w:rsidRPr="004E690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пунктами 1</w:t>
            </w:r>
            <w:r w:rsidR="00C64BD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 xml:space="preserve"> </w:t>
            </w:r>
            <w:r w:rsidR="00C64BDA">
              <w:rPr>
                <w:sz w:val="28"/>
                <w:szCs w:val="28"/>
                <w:lang w:val="uk-UA" w:eastAsia="uk-UA"/>
              </w:rPr>
              <w:t xml:space="preserve">– </w:t>
            </w:r>
            <w:r w:rsidRPr="004E690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9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 глави 1 цього розділу, та надання ліцензіатом усіх додаткових матеріалів НКРЕКП визначає дату розгляду питання, про що письмово повідомляє ліцензіату.</w:t>
            </w:r>
          </w:p>
          <w:p w14:paraId="07FBF605" w14:textId="7D8434A6" w:rsidR="004E690A" w:rsidRPr="004E690A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…</w:t>
            </w:r>
          </w:p>
        </w:tc>
        <w:tc>
          <w:tcPr>
            <w:tcW w:w="7902" w:type="dxa"/>
            <w:gridSpan w:val="2"/>
          </w:tcPr>
          <w:p w14:paraId="0B8FB2C0" w14:textId="52276935" w:rsidR="004E690A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7. Після розгляду заяви ліцензіата та доданих до неї документів, оформлених відповідно до вимог, визначених </w:t>
            </w:r>
            <w:r w:rsidRPr="004E690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пунктами 1</w:t>
            </w:r>
            <w:r w:rsidR="00C64BDA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 xml:space="preserve"> </w:t>
            </w:r>
            <w:r w:rsidR="00C64BDA">
              <w:rPr>
                <w:sz w:val="28"/>
                <w:szCs w:val="28"/>
                <w:lang w:val="uk-UA" w:eastAsia="uk-UA"/>
              </w:rPr>
              <w:t xml:space="preserve">– </w:t>
            </w:r>
            <w:r w:rsidRPr="004E690A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uk-UA"/>
              </w:rPr>
              <w:t>8</w:t>
            </w:r>
            <w:r w:rsidRPr="000A3044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 глави 1 цього розділу, та надання ліцензіатом усіх додаткових матеріалів НКРЕКП визначає дату розгляду питання, про що письмово повідомляє ліцензіату.</w:t>
            </w:r>
          </w:p>
          <w:p w14:paraId="6819E36C" w14:textId="17AEACD7" w:rsidR="004E690A" w:rsidRPr="004E690A" w:rsidRDefault="004E690A" w:rsidP="004E690A">
            <w:pPr>
              <w:shd w:val="clear" w:color="auto" w:fill="FFFFFF"/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E690A">
              <w:rPr>
                <w:rFonts w:ascii="Times New Roman" w:hAnsi="Times New Roman" w:cs="Times New Roman"/>
                <w:color w:val="000000" w:themeColor="text1"/>
                <w:lang w:val="en-US"/>
              </w:rPr>
              <w:t>…</w:t>
            </w:r>
          </w:p>
        </w:tc>
      </w:tr>
      <w:tr w:rsidR="0047423E" w:rsidRPr="00C07A56" w14:paraId="7746702F" w14:textId="77777777" w:rsidTr="0044524F">
        <w:trPr>
          <w:gridAfter w:val="1"/>
          <w:wAfter w:w="10" w:type="dxa"/>
          <w:jc w:val="center"/>
        </w:trPr>
        <w:tc>
          <w:tcPr>
            <w:tcW w:w="14550" w:type="dxa"/>
            <w:gridSpan w:val="2"/>
            <w:vAlign w:val="center"/>
          </w:tcPr>
          <w:p w14:paraId="16DEAAAD" w14:textId="3DA42DC2" w:rsidR="0047423E" w:rsidRPr="0047423E" w:rsidRDefault="0047423E" w:rsidP="0047423E">
            <w:pPr>
              <w:spacing w:after="0" w:line="240" w:lineRule="auto"/>
              <w:ind w:firstLine="313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4. Особливості проведення ліцензіатом відкритого обговорення (відкритого слухання) питання щодо необхідності встановлення тарифів на послуги транспортування природного газу для точок входу і точок виходу</w:t>
            </w:r>
          </w:p>
        </w:tc>
      </w:tr>
      <w:tr w:rsidR="0047423E" w:rsidRPr="00C07A56" w14:paraId="563BC955" w14:textId="77777777" w:rsidTr="0044524F">
        <w:trPr>
          <w:gridAfter w:val="1"/>
          <w:wAfter w:w="10" w:type="dxa"/>
          <w:jc w:val="center"/>
        </w:trPr>
        <w:tc>
          <w:tcPr>
            <w:tcW w:w="6658" w:type="dxa"/>
          </w:tcPr>
          <w:p w14:paraId="56F6E589" w14:textId="4B032F37" w:rsidR="0047423E" w:rsidRPr="00C07A56" w:rsidRDefault="0047423E" w:rsidP="004E690A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color w:val="000000" w:themeColor="text1"/>
                <w:lang w:val="uk-UA"/>
              </w:rPr>
              <w:t>1. При перегляді тарифів на послуги транспортування природного газу ліцензіат з урахуванням вимог Регламенту (ЄС) 2017/460 проводить консультації в порядку, передбаченому цією главою.</w:t>
            </w:r>
          </w:p>
        </w:tc>
        <w:tc>
          <w:tcPr>
            <w:tcW w:w="7892" w:type="dxa"/>
          </w:tcPr>
          <w:p w14:paraId="37B460D6" w14:textId="77777777" w:rsidR="0047423E" w:rsidRDefault="0047423E" w:rsidP="004E690A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color w:val="000000" w:themeColor="text1"/>
                <w:lang w:val="uk-UA"/>
              </w:rPr>
              <w:t>1. При перегляді тарифів на послуги транспортування природного газу ліцензіат з урахуванням вимог Регламенту (ЄС) 2017/460 проводить консультації в порядку, передбаченому цією главою.</w:t>
            </w:r>
          </w:p>
          <w:p w14:paraId="58D09D9F" w14:textId="7157285D" w:rsidR="0047423E" w:rsidRPr="00C07A56" w:rsidRDefault="0047423E" w:rsidP="004E690A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47423E" w:rsidRPr="00C07A56" w14:paraId="5BE418A7" w14:textId="77777777" w:rsidTr="0044524F">
        <w:trPr>
          <w:gridAfter w:val="1"/>
          <w:wAfter w:w="10" w:type="dxa"/>
          <w:jc w:val="center"/>
        </w:trPr>
        <w:tc>
          <w:tcPr>
            <w:tcW w:w="6658" w:type="dxa"/>
          </w:tcPr>
          <w:p w14:paraId="3796EB57" w14:textId="537D015F" w:rsidR="0047423E" w:rsidRPr="0047423E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2. </w:t>
            </w:r>
            <w:r w:rsidRPr="0047423E">
              <w:rPr>
                <w:rFonts w:ascii="Times New Roman" w:hAnsi="Times New Roman" w:cs="Times New Roman"/>
                <w:b/>
                <w:i/>
                <w:color w:val="000000" w:themeColor="text1"/>
                <w:lang w:val="uk-UA"/>
              </w:rPr>
              <w:t>норма відсутня</w:t>
            </w:r>
          </w:p>
          <w:p w14:paraId="324314EE" w14:textId="77777777" w:rsidR="0047423E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171E0AE4" w14:textId="4D6740BA" w:rsidR="0047423E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0D2B0853" w14:textId="77777777" w:rsidR="0047423E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2DD02221" w14:textId="5286C41A" w:rsidR="0047423E" w:rsidRPr="0047423E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47423E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Ліцензіат протягом 10 робочих днів після отримання від НКРЕКП схваленого проєкту рішення НКРЕКП про встановлення тарифів у разі необхідності коригує Консультаційний документ з урахуванням </w:t>
            </w:r>
            <w:r w:rsidRPr="0047423E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схваленого НКРЕКП проєкту рішення та оприлюднює його на власному веб-сайті з метою отримання зауважень та пропозицій від усіх заінтересованих осіб разом із інформаційним повідомленням, яке містить:</w:t>
            </w:r>
          </w:p>
          <w:p w14:paraId="24BA1C20" w14:textId="77777777" w:rsidR="0047423E" w:rsidRPr="0047423E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13" w:name="n768"/>
            <w:bookmarkEnd w:id="13"/>
            <w:r w:rsidRPr="0047423E">
              <w:rPr>
                <w:rFonts w:ascii="Times New Roman" w:hAnsi="Times New Roman" w:cs="Times New Roman"/>
                <w:color w:val="000000" w:themeColor="text1"/>
                <w:lang w:val="uk-UA"/>
              </w:rPr>
              <w:t>дату, до якої приймаються зауваження та пропозиції (не менше 2-х місяців з дня оприлюднення інформаційного повідомлення);</w:t>
            </w:r>
          </w:p>
          <w:p w14:paraId="12D5C870" w14:textId="77777777" w:rsidR="0047423E" w:rsidRPr="0047423E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14" w:name="n769"/>
            <w:bookmarkEnd w:id="14"/>
            <w:r w:rsidRPr="0047423E">
              <w:rPr>
                <w:rFonts w:ascii="Times New Roman" w:hAnsi="Times New Roman" w:cs="Times New Roman"/>
                <w:color w:val="000000" w:themeColor="text1"/>
                <w:lang w:val="uk-UA"/>
              </w:rPr>
              <w:t>формат надання пропозицій та зауважень до Консультаційного документа та проєкту рішення НКРЕКП;</w:t>
            </w:r>
          </w:p>
          <w:p w14:paraId="2E77337D" w14:textId="77777777" w:rsidR="0047423E" w:rsidRPr="0047423E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15" w:name="n770"/>
            <w:bookmarkEnd w:id="15"/>
            <w:r w:rsidRPr="0047423E">
              <w:rPr>
                <w:rFonts w:ascii="Times New Roman" w:hAnsi="Times New Roman" w:cs="Times New Roman"/>
                <w:color w:val="000000" w:themeColor="text1"/>
                <w:lang w:val="uk-UA"/>
              </w:rPr>
              <w:t>поштову адресу та адресу електронної пошти, на які надсилаються зауваження та пропозиції;</w:t>
            </w:r>
          </w:p>
          <w:p w14:paraId="2DFF067C" w14:textId="77777777" w:rsidR="0047423E" w:rsidRPr="0047423E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16" w:name="n771"/>
            <w:bookmarkEnd w:id="16"/>
            <w:r w:rsidRPr="0047423E">
              <w:rPr>
                <w:rFonts w:ascii="Times New Roman" w:hAnsi="Times New Roman" w:cs="Times New Roman"/>
                <w:color w:val="000000" w:themeColor="text1"/>
                <w:lang w:val="uk-UA"/>
              </w:rPr>
              <w:t>прізвище, власне ім'я та контактний телефон відповідальної контактної особи ліцензіата.</w:t>
            </w:r>
          </w:p>
          <w:p w14:paraId="595BF63F" w14:textId="26E4B7DD" w:rsidR="0047423E" w:rsidRPr="00C07A56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…</w:t>
            </w:r>
          </w:p>
        </w:tc>
        <w:tc>
          <w:tcPr>
            <w:tcW w:w="7892" w:type="dxa"/>
          </w:tcPr>
          <w:p w14:paraId="620F1DF1" w14:textId="0E79F1E6" w:rsidR="0047423E" w:rsidRPr="00C933C6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17" w:name="_Hlk233202312"/>
            <w:r w:rsidRPr="00C933C6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2.</w:t>
            </w:r>
            <w:r w:rsidRPr="00C933C6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 До подання заяви</w:t>
            </w:r>
            <w:r w:rsidRPr="00C933C6">
              <w:rPr>
                <w:b/>
              </w:rPr>
              <w:t xml:space="preserve"> </w:t>
            </w:r>
            <w:r w:rsidRPr="00C933C6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на перегляд (уточнення, коригування) тарифів на послуги транспортування природного газу для точок входу і точок виходу ліцензіат оприлюднює на своєму вебсайті Консультаційний документ.</w:t>
            </w:r>
          </w:p>
          <w:p w14:paraId="29DC80E2" w14:textId="7741B93A" w:rsidR="0047423E" w:rsidRPr="00C933C6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933C6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Ліцензіат протягом 10 робочих днів після отримання від НКРЕКП схваленого проєкту рішення НКРЕКП про встановлення тарифів у разі необхідності коригує Консультаційний документ з урахуванням схваленого НКРЕКП проєкту рішення та оприлюднює його на власному вебсайті з метою отримання зауважень та </w:t>
            </w:r>
            <w:r w:rsidRPr="00C933C6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пропозицій від усіх заінтересованих осіб разом із інформаційним повідомленням, яке містить:</w:t>
            </w:r>
          </w:p>
          <w:p w14:paraId="0B491879" w14:textId="77777777" w:rsidR="0047423E" w:rsidRPr="00C933C6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933C6">
              <w:rPr>
                <w:rFonts w:ascii="Times New Roman" w:hAnsi="Times New Roman" w:cs="Times New Roman"/>
                <w:color w:val="000000" w:themeColor="text1"/>
                <w:lang w:val="uk-UA"/>
              </w:rPr>
              <w:t>дату, до якої приймаються зауваження та пропозиції (не менше 2-х місяців з дня оприлюднення інформаційного повідомлення);</w:t>
            </w:r>
          </w:p>
          <w:p w14:paraId="0E3CA08B" w14:textId="77777777" w:rsidR="0047423E" w:rsidRPr="00C933C6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933C6">
              <w:rPr>
                <w:rFonts w:ascii="Times New Roman" w:hAnsi="Times New Roman" w:cs="Times New Roman"/>
                <w:color w:val="000000" w:themeColor="text1"/>
                <w:lang w:val="uk-UA"/>
              </w:rPr>
              <w:t>формат надання пропозицій та зауважень до Консультаційного документа та проєкту рішення НКРЕКП;</w:t>
            </w:r>
          </w:p>
          <w:p w14:paraId="46E7AC05" w14:textId="77777777" w:rsidR="0047423E" w:rsidRPr="00C933C6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933C6">
              <w:rPr>
                <w:rFonts w:ascii="Times New Roman" w:hAnsi="Times New Roman" w:cs="Times New Roman"/>
                <w:color w:val="000000" w:themeColor="text1"/>
                <w:lang w:val="uk-UA"/>
              </w:rPr>
              <w:t>поштову адресу та адресу електронної пошти, на які надсилаються зауваження та пропозиції;</w:t>
            </w:r>
          </w:p>
          <w:p w14:paraId="40BF0625" w14:textId="77777777" w:rsidR="0047423E" w:rsidRPr="00C933C6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933C6">
              <w:rPr>
                <w:rFonts w:ascii="Times New Roman" w:hAnsi="Times New Roman" w:cs="Times New Roman"/>
                <w:color w:val="000000" w:themeColor="text1"/>
                <w:lang w:val="uk-UA"/>
              </w:rPr>
              <w:t>прізвище, власне ім'я та контактний телефон відповідальної контактної особи ліцензіата.</w:t>
            </w:r>
          </w:p>
          <w:bookmarkEnd w:id="17"/>
          <w:p w14:paraId="3802BB9C" w14:textId="35DEF240" w:rsidR="0047423E" w:rsidRPr="00C933C6" w:rsidRDefault="0047423E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933C6">
              <w:rPr>
                <w:rFonts w:ascii="Times New Roman" w:hAnsi="Times New Roman" w:cs="Times New Roman"/>
                <w:color w:val="000000" w:themeColor="text1"/>
                <w:lang w:val="uk-UA"/>
              </w:rPr>
              <w:t>…</w:t>
            </w:r>
          </w:p>
        </w:tc>
      </w:tr>
      <w:tr w:rsidR="000F2CB4" w:rsidRPr="00C07A56" w14:paraId="757BD56E" w14:textId="77777777" w:rsidTr="0044524F">
        <w:trPr>
          <w:gridAfter w:val="1"/>
          <w:wAfter w:w="10" w:type="dxa"/>
          <w:jc w:val="center"/>
        </w:trPr>
        <w:tc>
          <w:tcPr>
            <w:tcW w:w="6658" w:type="dxa"/>
          </w:tcPr>
          <w:p w14:paraId="5142DEC0" w14:textId="3082FB75" w:rsidR="00804E76" w:rsidRPr="0047423E" w:rsidRDefault="00D43207" w:rsidP="00804E76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Додат</w:t>
            </w:r>
            <w:r w:rsidR="006809CA">
              <w:rPr>
                <w:rFonts w:ascii="Times New Roman" w:hAnsi="Times New Roman" w:cs="Times New Roman"/>
                <w:color w:val="000000" w:themeColor="text1"/>
                <w:lang w:val="uk-UA"/>
              </w:rPr>
              <w:t>ки 1 – 2</w:t>
            </w:r>
            <w:r w:rsidR="00F93A12">
              <w:rPr>
                <w:rFonts w:ascii="Times New Roman" w:hAnsi="Times New Roman" w:cs="Times New Roman"/>
                <w:color w:val="000000" w:themeColor="text1"/>
                <w:lang w:val="uk-UA"/>
              </w:rPr>
              <w:t>0</w:t>
            </w:r>
            <w:r w:rsidR="006809CA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</w:p>
        </w:tc>
        <w:tc>
          <w:tcPr>
            <w:tcW w:w="7892" w:type="dxa"/>
          </w:tcPr>
          <w:p w14:paraId="0D684DC2" w14:textId="3E497BC1" w:rsidR="000F2CB4" w:rsidRPr="00C933C6" w:rsidRDefault="00770E33" w:rsidP="0047423E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Д</w:t>
            </w:r>
            <w:r w:rsidR="006809CA">
              <w:rPr>
                <w:rFonts w:ascii="Times New Roman" w:hAnsi="Times New Roman" w:cs="Times New Roman"/>
                <w:color w:val="000000" w:themeColor="text1"/>
                <w:lang w:val="uk-UA"/>
              </w:rPr>
              <w:t>одатк</w:t>
            </w:r>
            <w:r w:rsidR="00F93A12">
              <w:rPr>
                <w:rFonts w:ascii="Times New Roman" w:hAnsi="Times New Roman" w:cs="Times New Roman"/>
                <w:color w:val="000000" w:themeColor="text1"/>
                <w:lang w:val="uk-UA"/>
              </w:rPr>
              <w:t>и 1 – 20 викласти в новій редакції, що додається</w:t>
            </w:r>
            <w:r w:rsidR="006809CA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44524F" w:rsidRPr="00C07A56" w14:paraId="2AF1E7BA" w14:textId="77777777" w:rsidTr="002916A2">
        <w:trPr>
          <w:gridAfter w:val="1"/>
          <w:wAfter w:w="10" w:type="dxa"/>
          <w:jc w:val="center"/>
        </w:trPr>
        <w:tc>
          <w:tcPr>
            <w:tcW w:w="6658" w:type="dxa"/>
          </w:tcPr>
          <w:p w14:paraId="13A8469A" w14:textId="4B6C1B10" w:rsidR="0044524F" w:rsidRDefault="0044524F" w:rsidP="0044524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D570E5B" wp14:editId="3A5DAB31">
                  <wp:extent cx="4090670" cy="4693645"/>
                  <wp:effectExtent l="0" t="0" r="5080" b="0"/>
                  <wp:docPr id="4" name="Рисунок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03123E8-399F-950F-BC79-0071439D1F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>
                            <a:extLst>
                              <a:ext uri="{FF2B5EF4-FFF2-40B4-BE49-F238E27FC236}">
                                <a16:creationId xmlns:a16="http://schemas.microsoft.com/office/drawing/2014/main" id="{A03123E8-399F-950F-BC79-0071439D1F4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4693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39A9320D" w14:textId="05AA3C98" w:rsidR="0044524F" w:rsidRDefault="002916A2" w:rsidP="004452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6EE33708" wp14:editId="202FCA6C">
                  <wp:extent cx="4159250" cy="5979453"/>
                  <wp:effectExtent l="19050" t="19050" r="12700" b="21590"/>
                  <wp:docPr id="2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E82ACD3-942B-BFF4-3812-A72631D38CB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6E82ACD3-942B-BFF4-3812-A72631D38CB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0" cy="597945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524F" w:rsidRPr="00C07A56" w14:paraId="2F7563E4" w14:textId="77777777" w:rsidTr="00421904">
        <w:trPr>
          <w:gridAfter w:val="1"/>
          <w:wAfter w:w="10" w:type="dxa"/>
          <w:jc w:val="center"/>
        </w:trPr>
        <w:tc>
          <w:tcPr>
            <w:tcW w:w="6658" w:type="dxa"/>
          </w:tcPr>
          <w:p w14:paraId="075EFC6D" w14:textId="21B331D6" w:rsidR="0044524F" w:rsidRDefault="00463A48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28B9390" wp14:editId="3AB2B920">
                  <wp:extent cx="2941093" cy="2826705"/>
                  <wp:effectExtent l="19050" t="19050" r="12065" b="12065"/>
                  <wp:docPr id="3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14B401B-0D77-CDB6-0A6C-BB4DBDFE559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C14B401B-0D77-CDB6-0A6C-BB4DBDFE559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447" cy="28914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620686FC" w14:textId="683BDC9D" w:rsidR="0044524F" w:rsidRDefault="00421904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8B600E" wp14:editId="2C227491">
                  <wp:extent cx="3171682" cy="2613025"/>
                  <wp:effectExtent l="19050" t="19050" r="10160" b="15875"/>
                  <wp:docPr id="1545807025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8343C3-E341-E0FA-7DDE-C3282D8BA8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178343C3-E341-E0FA-7DDE-C3282D8BA81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510" cy="263924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904" w:rsidRPr="00C07A56" w14:paraId="3E98D322" w14:textId="77777777" w:rsidTr="00421904">
        <w:trPr>
          <w:gridAfter w:val="1"/>
          <w:wAfter w:w="10" w:type="dxa"/>
          <w:jc w:val="center"/>
        </w:trPr>
        <w:tc>
          <w:tcPr>
            <w:tcW w:w="6658" w:type="dxa"/>
          </w:tcPr>
          <w:p w14:paraId="1C68FA04" w14:textId="16D41C15" w:rsidR="00421904" w:rsidRDefault="00574B78" w:rsidP="00574B78">
            <w:pPr>
              <w:spacing w:after="0" w:line="240" w:lineRule="auto"/>
              <w:jc w:val="center"/>
              <w:rPr>
                <w:noProof/>
              </w:rPr>
            </w:pPr>
            <w:r w:rsidRPr="00574B78">
              <w:rPr>
                <w:noProof/>
              </w:rPr>
              <w:drawing>
                <wp:inline distT="0" distB="0" distL="0" distR="0" wp14:anchorId="62460FF8" wp14:editId="0781E96B">
                  <wp:extent cx="2707819" cy="2949934"/>
                  <wp:effectExtent l="0" t="0" r="0" b="3175"/>
                  <wp:docPr id="12725536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255369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786" cy="2983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024C27A0" w14:textId="6F335A6D" w:rsidR="00421904" w:rsidRDefault="00574B78" w:rsidP="0044524F">
            <w:pPr>
              <w:spacing w:after="0" w:line="240" w:lineRule="auto"/>
              <w:jc w:val="center"/>
              <w:rPr>
                <w:noProof/>
              </w:rPr>
            </w:pPr>
            <w:r w:rsidRPr="00574B78">
              <w:rPr>
                <w:noProof/>
              </w:rPr>
              <w:drawing>
                <wp:inline distT="0" distB="0" distL="0" distR="0" wp14:anchorId="2020FE83" wp14:editId="7109BDB8">
                  <wp:extent cx="2512612" cy="2768914"/>
                  <wp:effectExtent l="0" t="0" r="2540" b="0"/>
                  <wp:docPr id="210787060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787060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8485" cy="2786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904" w:rsidRPr="00C07A56" w14:paraId="31FA6D66" w14:textId="77777777" w:rsidTr="00574B78">
        <w:trPr>
          <w:gridAfter w:val="1"/>
          <w:wAfter w:w="10" w:type="dxa"/>
          <w:jc w:val="center"/>
        </w:trPr>
        <w:tc>
          <w:tcPr>
            <w:tcW w:w="6658" w:type="dxa"/>
          </w:tcPr>
          <w:p w14:paraId="49FF601A" w14:textId="59FE5198" w:rsidR="00421904" w:rsidRDefault="00574B78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C8D2404" wp14:editId="6F2464C9">
                  <wp:extent cx="4090670" cy="5013325"/>
                  <wp:effectExtent l="19050" t="19050" r="24130" b="15875"/>
                  <wp:docPr id="312911766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1BFE677-8D26-91D3-F643-7EFFDDD5A52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B1BFE677-8D26-91D3-F643-7EFFDDD5A52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50133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6516AD12" w14:textId="58539758" w:rsidR="00421904" w:rsidRDefault="00574B78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E1DE84" wp14:editId="4DD059DF">
                  <wp:extent cx="4871085" cy="6120130"/>
                  <wp:effectExtent l="19050" t="19050" r="24765" b="13970"/>
                  <wp:docPr id="1977155001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82C7BEB-81E9-2A90-0CEF-F74413CF347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582C7BEB-81E9-2A90-0CEF-F74413CF347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1085" cy="61201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904" w:rsidRPr="00C07A56" w14:paraId="504B02F2" w14:textId="77777777" w:rsidTr="00210CFC">
        <w:trPr>
          <w:gridAfter w:val="1"/>
          <w:wAfter w:w="10" w:type="dxa"/>
          <w:jc w:val="center"/>
        </w:trPr>
        <w:tc>
          <w:tcPr>
            <w:tcW w:w="6658" w:type="dxa"/>
          </w:tcPr>
          <w:p w14:paraId="6B1D8430" w14:textId="768DC7E4" w:rsidR="00421904" w:rsidRDefault="00210CFC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83A6E04" wp14:editId="1B3960A1">
                  <wp:extent cx="4090670" cy="5628005"/>
                  <wp:effectExtent l="19050" t="19050" r="24130" b="10795"/>
                  <wp:docPr id="138894795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905651-556D-7006-5DED-C62B8724127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60905651-556D-7006-5DED-C62B8724127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56280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66651E5F" w14:textId="65BF60EE" w:rsidR="00421904" w:rsidRPr="00FE61C6" w:rsidRDefault="00FE61C6" w:rsidP="00445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lang w:val="uk-UA"/>
              </w:rPr>
            </w:pPr>
            <w:r w:rsidRPr="00FE61C6">
              <w:rPr>
                <w:rFonts w:ascii="Times New Roman" w:hAnsi="Times New Roman" w:cs="Times New Roman"/>
                <w:b/>
                <w:bCs/>
                <w:noProof/>
                <w:lang w:val="uk-UA"/>
              </w:rPr>
              <w:t>Додаток вилучити</w:t>
            </w:r>
          </w:p>
        </w:tc>
      </w:tr>
      <w:tr w:rsidR="00421904" w:rsidRPr="00C07A56" w14:paraId="55340B33" w14:textId="77777777" w:rsidTr="00A457BB">
        <w:trPr>
          <w:gridAfter w:val="1"/>
          <w:wAfter w:w="10" w:type="dxa"/>
          <w:jc w:val="center"/>
        </w:trPr>
        <w:tc>
          <w:tcPr>
            <w:tcW w:w="6658" w:type="dxa"/>
          </w:tcPr>
          <w:p w14:paraId="68BCCEFC" w14:textId="4D56348D" w:rsidR="00421904" w:rsidRDefault="00A457BB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F2AEF2B" wp14:editId="01A04E61">
                  <wp:extent cx="4090670" cy="2146935"/>
                  <wp:effectExtent l="19050" t="19050" r="24130" b="24765"/>
                  <wp:docPr id="434182780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A109BFE-A978-B19F-1C30-313711F227D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FA109BFE-A978-B19F-1C30-313711F227D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21469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2E5D87EB" w14:textId="239A7D86" w:rsidR="00421904" w:rsidRDefault="00A457BB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CE4130" wp14:editId="74003567">
                  <wp:extent cx="2624532" cy="2098040"/>
                  <wp:effectExtent l="19050" t="19050" r="23495" b="16510"/>
                  <wp:docPr id="347805189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59C3CA-3DFE-7497-0CDE-6DF48E31928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A159C3CA-3DFE-7497-0CDE-6DF48E31928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07" cy="211976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7BB" w:rsidRPr="00C07A56" w14:paraId="79DEBAEE" w14:textId="77777777" w:rsidTr="00B62398">
        <w:trPr>
          <w:gridAfter w:val="1"/>
          <w:wAfter w:w="10" w:type="dxa"/>
          <w:jc w:val="center"/>
        </w:trPr>
        <w:tc>
          <w:tcPr>
            <w:tcW w:w="6658" w:type="dxa"/>
          </w:tcPr>
          <w:p w14:paraId="1303BE8F" w14:textId="6F8B2DF0" w:rsidR="00A457BB" w:rsidRDefault="00B62398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6E5303" wp14:editId="52317F1A">
                  <wp:extent cx="4090670" cy="2078990"/>
                  <wp:effectExtent l="19050" t="19050" r="24130" b="16510"/>
                  <wp:docPr id="1905195047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6C0B0B5-B622-F700-A7D6-94E54D14515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86C0B0B5-B622-F700-A7D6-94E54D14515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36" cy="208151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11B22268" w14:textId="5D5FA047" w:rsidR="00A457BB" w:rsidRDefault="00B62398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89499E3" wp14:editId="5625FD4A">
                  <wp:extent cx="4874260" cy="2079617"/>
                  <wp:effectExtent l="19050" t="19050" r="21590" b="16510"/>
                  <wp:docPr id="464928494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4BBB4A5-C219-11C4-D2DD-C8C7B11EB5A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B4BBB4A5-C219-11C4-D2DD-C8C7B11EB5A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4260" cy="207961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7BB" w:rsidRPr="00C07A56" w14:paraId="3C5331D7" w14:textId="77777777" w:rsidTr="00CB1042">
        <w:trPr>
          <w:gridAfter w:val="1"/>
          <w:wAfter w:w="10" w:type="dxa"/>
          <w:jc w:val="center"/>
        </w:trPr>
        <w:tc>
          <w:tcPr>
            <w:tcW w:w="6658" w:type="dxa"/>
          </w:tcPr>
          <w:p w14:paraId="60B0BBC7" w14:textId="77A65D2C" w:rsidR="00A457BB" w:rsidRDefault="009B480A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4515473" wp14:editId="3FD3AB74">
                  <wp:extent cx="4090670" cy="2962656"/>
                  <wp:effectExtent l="19050" t="19050" r="24130" b="28575"/>
                  <wp:docPr id="2088154885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1AF8C5-943A-464F-9EA7-DD9CC04915A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5A1AF8C5-943A-464F-9EA7-DD9CC04915A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023" cy="29643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7720B1D5" w14:textId="3A76EC53" w:rsidR="00A457BB" w:rsidRDefault="00CB1042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F54EF22" wp14:editId="06AA431B">
                  <wp:extent cx="2375393" cy="2670048"/>
                  <wp:effectExtent l="19050" t="19050" r="25400" b="16510"/>
                  <wp:docPr id="514943353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2AFAE4-F2D1-18EB-23A8-04F98A70643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682AFAE4-F2D1-18EB-23A8-04F98A70643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323" cy="268570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7BB" w:rsidRPr="00C07A56" w14:paraId="30EAF4AF" w14:textId="77777777" w:rsidTr="0032515F">
        <w:trPr>
          <w:gridAfter w:val="1"/>
          <w:wAfter w:w="10" w:type="dxa"/>
          <w:jc w:val="center"/>
        </w:trPr>
        <w:tc>
          <w:tcPr>
            <w:tcW w:w="6658" w:type="dxa"/>
          </w:tcPr>
          <w:p w14:paraId="6C42F626" w14:textId="2796F84C" w:rsidR="00A457BB" w:rsidRDefault="0032515F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5C037C6" wp14:editId="6771B719">
                  <wp:extent cx="4090670" cy="2963545"/>
                  <wp:effectExtent l="19050" t="19050" r="24130" b="27305"/>
                  <wp:docPr id="1737239123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6047C73-7F5E-90A7-A8C9-7CF9D8C4607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46047C73-7F5E-90A7-A8C9-7CF9D8C4607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296354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5FEA0C69" w14:textId="0018382F" w:rsidR="00A457BB" w:rsidRDefault="0032515F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C300671" wp14:editId="05ABEB16">
                  <wp:extent cx="2326233" cy="2865211"/>
                  <wp:effectExtent l="19050" t="19050" r="17145" b="11430"/>
                  <wp:docPr id="1038555988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4CB4A77-6031-6B55-A319-49D9E041DDC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54CB4A77-6031-6B55-A319-49D9E041DDC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5355" cy="292571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7BB" w:rsidRPr="00C07A56" w14:paraId="11401CD3" w14:textId="77777777" w:rsidTr="0032515F">
        <w:trPr>
          <w:gridAfter w:val="1"/>
          <w:wAfter w:w="10" w:type="dxa"/>
          <w:jc w:val="center"/>
        </w:trPr>
        <w:tc>
          <w:tcPr>
            <w:tcW w:w="6658" w:type="dxa"/>
          </w:tcPr>
          <w:p w14:paraId="40B99D90" w14:textId="0EEE7426" w:rsidR="00A457BB" w:rsidRDefault="0032515F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CEA7BCA" wp14:editId="1ED737A1">
                  <wp:extent cx="4090670" cy="3292475"/>
                  <wp:effectExtent l="19050" t="19050" r="24130" b="22225"/>
                  <wp:docPr id="612451653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2667F7-7E04-6631-E2E8-10DC637C4B5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C82667F7-7E04-6631-E2E8-10DC637C4B5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32924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2BDE7BCC" w14:textId="4A9BF4EB" w:rsidR="00A457BB" w:rsidRDefault="0032515F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C0FC70B" wp14:editId="18E91C60">
                  <wp:extent cx="3611279" cy="4756150"/>
                  <wp:effectExtent l="19050" t="19050" r="27305" b="25400"/>
                  <wp:docPr id="1693233117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48ACF3C-27DB-320B-8691-6383B86B34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A48ACF3C-27DB-320B-8691-6383B86B343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955" cy="476757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7BB" w:rsidRPr="00C07A56" w14:paraId="7FA5E4A0" w14:textId="77777777" w:rsidTr="003049B7">
        <w:trPr>
          <w:gridAfter w:val="1"/>
          <w:wAfter w:w="10" w:type="dxa"/>
          <w:jc w:val="center"/>
        </w:trPr>
        <w:tc>
          <w:tcPr>
            <w:tcW w:w="6658" w:type="dxa"/>
          </w:tcPr>
          <w:p w14:paraId="2E386F6B" w14:textId="25B1A657" w:rsidR="00A457BB" w:rsidRDefault="003049B7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B472276" wp14:editId="14E68F79">
                  <wp:extent cx="2461260" cy="6120130"/>
                  <wp:effectExtent l="19050" t="19050" r="15240" b="13970"/>
                  <wp:docPr id="1944065305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872A35-2AB0-936E-FFF9-9C7F841C5C5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C5872A35-2AB0-936E-FFF9-9C7F841C5C5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260" cy="61201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46171C4F" w14:textId="7EBD10E8" w:rsidR="00A457BB" w:rsidRDefault="003049B7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3E89EB" wp14:editId="72AF110C">
                  <wp:extent cx="2980690" cy="6120130"/>
                  <wp:effectExtent l="19050" t="19050" r="10160" b="13970"/>
                  <wp:docPr id="171165427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958A9D3-98DA-8BB5-A35B-EABDB0030ED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4958A9D3-98DA-8BB5-A35B-EABDB0030ED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690" cy="61201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7BB" w:rsidRPr="00C07A56" w14:paraId="0AABEFF0" w14:textId="77777777" w:rsidTr="003049B7">
        <w:trPr>
          <w:gridAfter w:val="1"/>
          <w:wAfter w:w="10" w:type="dxa"/>
          <w:jc w:val="center"/>
        </w:trPr>
        <w:tc>
          <w:tcPr>
            <w:tcW w:w="6658" w:type="dxa"/>
          </w:tcPr>
          <w:p w14:paraId="1A40DDD7" w14:textId="05A10368" w:rsidR="00A457BB" w:rsidRDefault="003049B7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D0C6654" wp14:editId="594BEA38">
                  <wp:extent cx="4090670" cy="2327910"/>
                  <wp:effectExtent l="19050" t="19050" r="24130" b="15240"/>
                  <wp:docPr id="522557290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A5C84D8-F773-CFC3-8100-D19AF09564C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0A5C84D8-F773-CFC3-8100-D19AF09564C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458B4391" w14:textId="47D0D265" w:rsidR="00A457BB" w:rsidRDefault="003049B7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12440D6" wp14:editId="7EB5B64A">
                  <wp:extent cx="4874260" cy="2733675"/>
                  <wp:effectExtent l="19050" t="19050" r="21590" b="28575"/>
                  <wp:docPr id="453424967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3937BBA-42FD-EFED-A74F-D6C536E59CA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13937BBA-42FD-EFED-A74F-D6C536E59CA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426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7BB" w:rsidRPr="00C07A56" w14:paraId="6BEA7124" w14:textId="77777777" w:rsidTr="003049B7">
        <w:trPr>
          <w:gridAfter w:val="1"/>
          <w:wAfter w:w="10" w:type="dxa"/>
          <w:jc w:val="center"/>
        </w:trPr>
        <w:tc>
          <w:tcPr>
            <w:tcW w:w="6658" w:type="dxa"/>
          </w:tcPr>
          <w:p w14:paraId="01209100" w14:textId="50A07D89" w:rsidR="00A457BB" w:rsidRDefault="003049B7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7FCCB22" wp14:editId="7809B36F">
                  <wp:extent cx="4090670" cy="5857875"/>
                  <wp:effectExtent l="0" t="0" r="0" b="9525"/>
                  <wp:docPr id="260907725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D765AD-A62E-9C91-BDC8-4C0017B5716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2BD765AD-A62E-9C91-BDC8-4C0017B5716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5857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59675310" w14:textId="135445B2" w:rsidR="00A457BB" w:rsidRDefault="003049B7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3027FFA" wp14:editId="78C1031A">
                  <wp:extent cx="3543300" cy="6280150"/>
                  <wp:effectExtent l="19050" t="19050" r="19050" b="25400"/>
                  <wp:docPr id="666947432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F38DEF7-6550-B581-A0BE-E888B351E0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1F38DEF7-6550-B581-A0BE-E888B351E08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62801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7BB" w:rsidRPr="00C07A56" w14:paraId="376CBA64" w14:textId="77777777" w:rsidTr="003049B7">
        <w:trPr>
          <w:gridAfter w:val="1"/>
          <w:wAfter w:w="10" w:type="dxa"/>
          <w:jc w:val="center"/>
        </w:trPr>
        <w:tc>
          <w:tcPr>
            <w:tcW w:w="6658" w:type="dxa"/>
          </w:tcPr>
          <w:p w14:paraId="1C035FB3" w14:textId="309D519A" w:rsidR="00A457BB" w:rsidRDefault="003049B7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E503CD1" wp14:editId="0739D66D">
                  <wp:extent cx="4090670" cy="5956300"/>
                  <wp:effectExtent l="0" t="0" r="0" b="6350"/>
                  <wp:docPr id="1386739716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6E75B06-C807-F313-8B78-E4A26B4D63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26E75B06-C807-F313-8B78-E4A26B4D638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5956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487B25FA" w14:textId="43CAA020" w:rsidR="00A457BB" w:rsidRDefault="003049B7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6DBA73" wp14:editId="47009C53">
                  <wp:extent cx="3407151" cy="5671524"/>
                  <wp:effectExtent l="19050" t="19050" r="22225" b="24765"/>
                  <wp:docPr id="898242632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E25E330-9555-664C-D9C1-B7B17E6D541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EE25E330-9555-664C-D9C1-B7B17E6D541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5926" cy="568613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9B7" w:rsidRPr="00C07A56" w14:paraId="12AD1EDE" w14:textId="77777777" w:rsidTr="003049B7">
        <w:trPr>
          <w:gridAfter w:val="1"/>
          <w:wAfter w:w="10" w:type="dxa"/>
          <w:jc w:val="center"/>
        </w:trPr>
        <w:tc>
          <w:tcPr>
            <w:tcW w:w="6658" w:type="dxa"/>
          </w:tcPr>
          <w:p w14:paraId="5A206F8F" w14:textId="1B095B37" w:rsidR="003049B7" w:rsidRDefault="003049B7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0FD0ED7" wp14:editId="5BFC6776">
                  <wp:extent cx="4090670" cy="2467610"/>
                  <wp:effectExtent l="19050" t="19050" r="24130" b="27940"/>
                  <wp:docPr id="1168280259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54582C-EA6B-11FF-B38E-86586610E76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5254582C-EA6B-11FF-B38E-86586610E76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24676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296494CC" w14:textId="24B08B62" w:rsidR="003049B7" w:rsidRDefault="003049B7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3DFF5EF" wp14:editId="4CE8BEF3">
                  <wp:extent cx="2734782" cy="2453798"/>
                  <wp:effectExtent l="19050" t="19050" r="27940" b="22860"/>
                  <wp:docPr id="589009318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1D46115-B64B-BB16-BCB3-593F1562546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71D46115-B64B-BB16-BCB3-593F1562546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4596" cy="246260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9B7" w:rsidRPr="00C07A56" w14:paraId="25FE3661" w14:textId="77777777" w:rsidTr="003049B7">
        <w:trPr>
          <w:gridAfter w:val="1"/>
          <w:wAfter w:w="10" w:type="dxa"/>
          <w:jc w:val="center"/>
        </w:trPr>
        <w:tc>
          <w:tcPr>
            <w:tcW w:w="6658" w:type="dxa"/>
          </w:tcPr>
          <w:p w14:paraId="7A56951D" w14:textId="5D90D750" w:rsidR="003049B7" w:rsidRDefault="003049B7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8A10B9B" wp14:editId="6BDA480E">
                  <wp:extent cx="4090670" cy="2452253"/>
                  <wp:effectExtent l="19050" t="19050" r="24130" b="24765"/>
                  <wp:docPr id="1957243565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2BF605-8981-26FA-EDF9-DDDA76D275F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A92BF605-8981-26FA-EDF9-DDDA76D275F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245225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66A368F4" w14:textId="6F05A1B3" w:rsidR="003049B7" w:rsidRDefault="003049B7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619370E" wp14:editId="2577F743">
                  <wp:extent cx="4874260" cy="3495344"/>
                  <wp:effectExtent l="19050" t="19050" r="21590" b="10160"/>
                  <wp:docPr id="705776737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307959-9127-508E-669E-36BC2D54B1D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A1307959-9127-508E-669E-36BC2D54B1D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4260" cy="349534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9B7" w:rsidRPr="00C07A56" w14:paraId="36759A8C" w14:textId="77777777" w:rsidTr="00FE61C6">
        <w:trPr>
          <w:gridAfter w:val="1"/>
          <w:wAfter w:w="10" w:type="dxa"/>
          <w:jc w:val="center"/>
        </w:trPr>
        <w:tc>
          <w:tcPr>
            <w:tcW w:w="6658" w:type="dxa"/>
          </w:tcPr>
          <w:p w14:paraId="2478E3A2" w14:textId="37D212F4" w:rsidR="003049B7" w:rsidRDefault="00FE61C6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12DDE87" wp14:editId="39C0920C">
                  <wp:extent cx="4090670" cy="4316087"/>
                  <wp:effectExtent l="19050" t="19050" r="24130" b="27940"/>
                  <wp:docPr id="525665201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8E142B-850C-A213-4B26-9BF0D0C3084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A68E142B-850C-A213-4B26-9BF0D0C3084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431608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4CC180C3" w14:textId="76C1A55D" w:rsidR="003049B7" w:rsidRDefault="00FE61C6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DF1E87A" wp14:editId="445A62DD">
                  <wp:extent cx="4874260" cy="3630497"/>
                  <wp:effectExtent l="19050" t="19050" r="21590" b="27305"/>
                  <wp:docPr id="1744328190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19D1B02-45C2-1932-5D83-699CAC46EA9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C19D1B02-45C2-1932-5D83-699CAC46EA9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4260" cy="363049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9B7" w:rsidRPr="00C07A56" w14:paraId="3224D924" w14:textId="77777777" w:rsidTr="00FE61C6">
        <w:trPr>
          <w:gridAfter w:val="1"/>
          <w:wAfter w:w="10" w:type="dxa"/>
          <w:jc w:val="center"/>
        </w:trPr>
        <w:tc>
          <w:tcPr>
            <w:tcW w:w="6658" w:type="dxa"/>
          </w:tcPr>
          <w:p w14:paraId="28C7EE4A" w14:textId="7B44DFDE" w:rsidR="003049B7" w:rsidRDefault="00FE61C6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C4D4C33" wp14:editId="0B0DA879">
                  <wp:extent cx="4090670" cy="4664807"/>
                  <wp:effectExtent l="19050" t="19050" r="24130" b="21590"/>
                  <wp:docPr id="309094821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8209E24-C3F7-4C1D-94D2-C98FD46D50A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D8209E24-C3F7-4C1D-94D2-C98FD46D50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46648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190D6693" w14:textId="77D7FB30" w:rsidR="003049B7" w:rsidRDefault="00FE61C6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3CC5900" wp14:editId="635B132F">
                  <wp:extent cx="4874260" cy="5650643"/>
                  <wp:effectExtent l="19050" t="19050" r="21590" b="26670"/>
                  <wp:docPr id="537238999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9A6B7B7-D545-D814-2411-A64081FEA82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19A6B7B7-D545-D814-2411-A64081FEA82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4260" cy="565064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9B7" w:rsidRPr="00C07A56" w14:paraId="76F7EBFE" w14:textId="77777777" w:rsidTr="00FE61C6">
        <w:trPr>
          <w:gridAfter w:val="1"/>
          <w:wAfter w:w="10" w:type="dxa"/>
          <w:jc w:val="center"/>
        </w:trPr>
        <w:tc>
          <w:tcPr>
            <w:tcW w:w="6658" w:type="dxa"/>
          </w:tcPr>
          <w:p w14:paraId="4AAAF559" w14:textId="5D70502E" w:rsidR="003049B7" w:rsidRDefault="00FE61C6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8C0D2BF" wp14:editId="4D4361B2">
                  <wp:extent cx="4090670" cy="2496707"/>
                  <wp:effectExtent l="0" t="0" r="5080" b="0"/>
                  <wp:docPr id="1826032932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CDB8561-4C86-D1EB-3787-6968ADF932E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7CDB8561-4C86-D1EB-3787-6968ADF932E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670" cy="2496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1B9324CF" w14:textId="44CBF865" w:rsidR="003049B7" w:rsidRDefault="00FE61C6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050E76" wp14:editId="286CCCE5">
                  <wp:extent cx="4874260" cy="2517650"/>
                  <wp:effectExtent l="19050" t="19050" r="21590" b="16510"/>
                  <wp:docPr id="366215650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4A46253-E853-34E9-DA28-755C447C945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54A46253-E853-34E9-DA28-755C447C945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4260" cy="25176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9B7" w:rsidRPr="00C07A56" w14:paraId="721D57BC" w14:textId="77777777" w:rsidTr="00FE61C6">
        <w:trPr>
          <w:gridAfter w:val="1"/>
          <w:wAfter w:w="10" w:type="dxa"/>
          <w:jc w:val="center"/>
        </w:trPr>
        <w:tc>
          <w:tcPr>
            <w:tcW w:w="6658" w:type="dxa"/>
          </w:tcPr>
          <w:p w14:paraId="20256477" w14:textId="2A0DF253" w:rsidR="003049B7" w:rsidRPr="00FE61C6" w:rsidRDefault="00FE61C6" w:rsidP="00FE61C6">
            <w:pPr>
              <w:spacing w:after="0" w:line="240" w:lineRule="auto"/>
              <w:ind w:firstLine="30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uk-UA"/>
              </w:rPr>
            </w:pPr>
            <w:r w:rsidRPr="00FE61C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uk-UA"/>
              </w:rPr>
              <w:t>Додаток відсутній</w:t>
            </w:r>
          </w:p>
        </w:tc>
        <w:tc>
          <w:tcPr>
            <w:tcW w:w="7892" w:type="dxa"/>
          </w:tcPr>
          <w:p w14:paraId="558BE001" w14:textId="20E7D695" w:rsidR="003049B7" w:rsidRDefault="00FE61C6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FE79E" wp14:editId="3D21CACE">
                  <wp:extent cx="3196742" cy="3282533"/>
                  <wp:effectExtent l="19050" t="19050" r="22860" b="13335"/>
                  <wp:docPr id="1094941814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F61B10-A345-9F8F-066C-BE8AB055FB6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05F61B10-A345-9F8F-066C-BE8AB055FB6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908" cy="329297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9B7" w:rsidRPr="00C07A56" w14:paraId="4A183593" w14:textId="77777777" w:rsidTr="00FE61C6">
        <w:trPr>
          <w:gridAfter w:val="1"/>
          <w:wAfter w:w="10" w:type="dxa"/>
          <w:jc w:val="center"/>
        </w:trPr>
        <w:tc>
          <w:tcPr>
            <w:tcW w:w="6658" w:type="dxa"/>
          </w:tcPr>
          <w:p w14:paraId="6ABBAB2D" w14:textId="02074BA5" w:rsidR="003049B7" w:rsidRDefault="00FE61C6" w:rsidP="00463A48">
            <w:pPr>
              <w:spacing w:after="0" w:line="240" w:lineRule="auto"/>
              <w:ind w:hanging="113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CED9FFA" wp14:editId="264D7EDD">
                  <wp:extent cx="3521453" cy="5819775"/>
                  <wp:effectExtent l="19050" t="19050" r="22225" b="9525"/>
                  <wp:docPr id="1947938229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694AB3-F29E-97B5-FFDF-2BCA0CEF458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77694AB3-F29E-97B5-FFDF-2BCA0CEF458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375" cy="58246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2" w:type="dxa"/>
          </w:tcPr>
          <w:p w14:paraId="3CA2BC22" w14:textId="4E6918D2" w:rsidR="003049B7" w:rsidRDefault="00FE61C6" w:rsidP="0044524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EA06C2" wp14:editId="73DFCE4A">
                  <wp:extent cx="3613441" cy="5895975"/>
                  <wp:effectExtent l="19050" t="19050" r="25400" b="9525"/>
                  <wp:docPr id="1394776458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D0D75F-268B-1DCD-6CD8-021AA8E9E76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CFD0D75F-268B-1DCD-6CD8-021AA8E9E76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5016" cy="589854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AD7E0D" w14:textId="77777777" w:rsidR="007E47BB" w:rsidRDefault="007E47BB" w:rsidP="00E720A2">
      <w:pPr>
        <w:pStyle w:val="a4"/>
        <w:spacing w:before="0" w:beforeAutospacing="0" w:after="0" w:afterAutospacing="0"/>
        <w:rPr>
          <w:b/>
          <w:color w:val="000000" w:themeColor="text1"/>
        </w:rPr>
      </w:pPr>
    </w:p>
    <w:sectPr w:rsidR="007E47BB" w:rsidSect="00720BA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DE58" w14:textId="77777777" w:rsidR="00DC62A7" w:rsidRDefault="00DC62A7" w:rsidP="00257C3A">
      <w:pPr>
        <w:spacing w:after="0" w:line="240" w:lineRule="auto"/>
      </w:pPr>
      <w:r>
        <w:separator/>
      </w:r>
    </w:p>
  </w:endnote>
  <w:endnote w:type="continuationSeparator" w:id="0">
    <w:p w14:paraId="7596F5B6" w14:textId="77777777" w:rsidR="00DC62A7" w:rsidRDefault="00DC62A7" w:rsidP="00257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5B429" w14:textId="77777777" w:rsidR="00DC62A7" w:rsidRDefault="00DC62A7" w:rsidP="00257C3A">
      <w:pPr>
        <w:spacing w:after="0" w:line="240" w:lineRule="auto"/>
      </w:pPr>
      <w:r>
        <w:separator/>
      </w:r>
    </w:p>
  </w:footnote>
  <w:footnote w:type="continuationSeparator" w:id="0">
    <w:p w14:paraId="056974BD" w14:textId="77777777" w:rsidR="00DC62A7" w:rsidRDefault="00DC62A7" w:rsidP="00257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B0269"/>
    <w:multiLevelType w:val="hybridMultilevel"/>
    <w:tmpl w:val="E9A2A7C2"/>
    <w:lvl w:ilvl="0" w:tplc="D8EA2886">
      <w:start w:val="1"/>
      <w:numFmt w:val="decimal"/>
      <w:lvlText w:val="10.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421542"/>
    <w:multiLevelType w:val="hybridMultilevel"/>
    <w:tmpl w:val="2B62C964"/>
    <w:lvl w:ilvl="0" w:tplc="4DA2BBAC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3208" w:hanging="360"/>
      </w:pPr>
    </w:lvl>
    <w:lvl w:ilvl="2" w:tplc="0422001B" w:tentative="1">
      <w:start w:val="1"/>
      <w:numFmt w:val="lowerRoman"/>
      <w:lvlText w:val="%3."/>
      <w:lvlJc w:val="right"/>
      <w:pPr>
        <w:ind w:left="3928" w:hanging="180"/>
      </w:pPr>
    </w:lvl>
    <w:lvl w:ilvl="3" w:tplc="0422000F" w:tentative="1">
      <w:start w:val="1"/>
      <w:numFmt w:val="decimal"/>
      <w:lvlText w:val="%4."/>
      <w:lvlJc w:val="left"/>
      <w:pPr>
        <w:ind w:left="4648" w:hanging="360"/>
      </w:pPr>
    </w:lvl>
    <w:lvl w:ilvl="4" w:tplc="04220019" w:tentative="1">
      <w:start w:val="1"/>
      <w:numFmt w:val="lowerLetter"/>
      <w:lvlText w:val="%5."/>
      <w:lvlJc w:val="left"/>
      <w:pPr>
        <w:ind w:left="5368" w:hanging="360"/>
      </w:pPr>
    </w:lvl>
    <w:lvl w:ilvl="5" w:tplc="0422001B" w:tentative="1">
      <w:start w:val="1"/>
      <w:numFmt w:val="lowerRoman"/>
      <w:lvlText w:val="%6."/>
      <w:lvlJc w:val="right"/>
      <w:pPr>
        <w:ind w:left="6088" w:hanging="180"/>
      </w:pPr>
    </w:lvl>
    <w:lvl w:ilvl="6" w:tplc="0422000F" w:tentative="1">
      <w:start w:val="1"/>
      <w:numFmt w:val="decimal"/>
      <w:lvlText w:val="%7."/>
      <w:lvlJc w:val="left"/>
      <w:pPr>
        <w:ind w:left="6808" w:hanging="360"/>
      </w:pPr>
    </w:lvl>
    <w:lvl w:ilvl="7" w:tplc="04220019" w:tentative="1">
      <w:start w:val="1"/>
      <w:numFmt w:val="lowerLetter"/>
      <w:lvlText w:val="%8."/>
      <w:lvlJc w:val="left"/>
      <w:pPr>
        <w:ind w:left="7528" w:hanging="360"/>
      </w:pPr>
    </w:lvl>
    <w:lvl w:ilvl="8" w:tplc="0422001B" w:tentative="1">
      <w:start w:val="1"/>
      <w:numFmt w:val="lowerRoman"/>
      <w:lvlText w:val="%9."/>
      <w:lvlJc w:val="right"/>
      <w:pPr>
        <w:ind w:left="8248" w:hanging="180"/>
      </w:pPr>
    </w:lvl>
  </w:abstractNum>
  <w:abstractNum w:abstractNumId="2" w15:restartNumberingAfterBreak="0">
    <w:nsid w:val="3DF22F0A"/>
    <w:multiLevelType w:val="hybridMultilevel"/>
    <w:tmpl w:val="990CD2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84567">
    <w:abstractNumId w:val="0"/>
  </w:num>
  <w:num w:numId="2" w16cid:durableId="736897741">
    <w:abstractNumId w:val="2"/>
  </w:num>
  <w:num w:numId="3" w16cid:durableId="1090541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99A"/>
    <w:rsid w:val="000002EA"/>
    <w:rsid w:val="000060D0"/>
    <w:rsid w:val="000262DF"/>
    <w:rsid w:val="00034A4E"/>
    <w:rsid w:val="00040C79"/>
    <w:rsid w:val="00045290"/>
    <w:rsid w:val="00052C84"/>
    <w:rsid w:val="00060EB0"/>
    <w:rsid w:val="00061A64"/>
    <w:rsid w:val="00061AFD"/>
    <w:rsid w:val="00064BDE"/>
    <w:rsid w:val="000655D7"/>
    <w:rsid w:val="00072BBB"/>
    <w:rsid w:val="0007492F"/>
    <w:rsid w:val="00080C55"/>
    <w:rsid w:val="000867C9"/>
    <w:rsid w:val="000A67A6"/>
    <w:rsid w:val="000C0888"/>
    <w:rsid w:val="000C3BC4"/>
    <w:rsid w:val="000C43F0"/>
    <w:rsid w:val="000C6C8F"/>
    <w:rsid w:val="000D2479"/>
    <w:rsid w:val="000E2860"/>
    <w:rsid w:val="000E2D6E"/>
    <w:rsid w:val="000F1B73"/>
    <w:rsid w:val="000F2CB4"/>
    <w:rsid w:val="000F5288"/>
    <w:rsid w:val="001029DC"/>
    <w:rsid w:val="00106092"/>
    <w:rsid w:val="001120F8"/>
    <w:rsid w:val="00114A72"/>
    <w:rsid w:val="00117221"/>
    <w:rsid w:val="00117684"/>
    <w:rsid w:val="00140D73"/>
    <w:rsid w:val="00141223"/>
    <w:rsid w:val="00142A0B"/>
    <w:rsid w:val="0014406E"/>
    <w:rsid w:val="00144CDF"/>
    <w:rsid w:val="00145FBF"/>
    <w:rsid w:val="00146C72"/>
    <w:rsid w:val="00152EF0"/>
    <w:rsid w:val="001562B4"/>
    <w:rsid w:val="001566AC"/>
    <w:rsid w:val="00157AAD"/>
    <w:rsid w:val="00164C9A"/>
    <w:rsid w:val="00167A49"/>
    <w:rsid w:val="00170418"/>
    <w:rsid w:val="00170F7A"/>
    <w:rsid w:val="00181BEE"/>
    <w:rsid w:val="00186964"/>
    <w:rsid w:val="00192666"/>
    <w:rsid w:val="00193068"/>
    <w:rsid w:val="00195871"/>
    <w:rsid w:val="001A0AA5"/>
    <w:rsid w:val="001A3309"/>
    <w:rsid w:val="001A3FBA"/>
    <w:rsid w:val="001A66A8"/>
    <w:rsid w:val="001B0AD0"/>
    <w:rsid w:val="001B0C28"/>
    <w:rsid w:val="001B1AF2"/>
    <w:rsid w:val="001B2E0C"/>
    <w:rsid w:val="001B4EB7"/>
    <w:rsid w:val="001D1220"/>
    <w:rsid w:val="001D4068"/>
    <w:rsid w:val="001D51C9"/>
    <w:rsid w:val="001D6D91"/>
    <w:rsid w:val="001D71AF"/>
    <w:rsid w:val="001D7431"/>
    <w:rsid w:val="001E40B0"/>
    <w:rsid w:val="001E77F5"/>
    <w:rsid w:val="001E7BDD"/>
    <w:rsid w:val="001F6922"/>
    <w:rsid w:val="00201D8E"/>
    <w:rsid w:val="00204045"/>
    <w:rsid w:val="00210CFC"/>
    <w:rsid w:val="00211DFB"/>
    <w:rsid w:val="002278EC"/>
    <w:rsid w:val="00231BE0"/>
    <w:rsid w:val="00236004"/>
    <w:rsid w:val="00236AD3"/>
    <w:rsid w:val="00241B63"/>
    <w:rsid w:val="00247FA9"/>
    <w:rsid w:val="002548EB"/>
    <w:rsid w:val="00257C3A"/>
    <w:rsid w:val="002601DF"/>
    <w:rsid w:val="00260417"/>
    <w:rsid w:val="00274430"/>
    <w:rsid w:val="0029138B"/>
    <w:rsid w:val="002916A2"/>
    <w:rsid w:val="0029384E"/>
    <w:rsid w:val="00295E3A"/>
    <w:rsid w:val="00296464"/>
    <w:rsid w:val="002C381F"/>
    <w:rsid w:val="002D4343"/>
    <w:rsid w:val="002D6270"/>
    <w:rsid w:val="002E42B4"/>
    <w:rsid w:val="002F3A09"/>
    <w:rsid w:val="002F64FE"/>
    <w:rsid w:val="003049B7"/>
    <w:rsid w:val="003123E7"/>
    <w:rsid w:val="00315C53"/>
    <w:rsid w:val="00316D1D"/>
    <w:rsid w:val="00317B33"/>
    <w:rsid w:val="0032437F"/>
    <w:rsid w:val="0032515F"/>
    <w:rsid w:val="003256D1"/>
    <w:rsid w:val="00325A6D"/>
    <w:rsid w:val="003305B9"/>
    <w:rsid w:val="00332DBD"/>
    <w:rsid w:val="0033430F"/>
    <w:rsid w:val="00342C3F"/>
    <w:rsid w:val="00342DA3"/>
    <w:rsid w:val="00345F6F"/>
    <w:rsid w:val="00350F52"/>
    <w:rsid w:val="00351BD6"/>
    <w:rsid w:val="00362659"/>
    <w:rsid w:val="003663C2"/>
    <w:rsid w:val="00371C14"/>
    <w:rsid w:val="003737EF"/>
    <w:rsid w:val="00373F97"/>
    <w:rsid w:val="00373FC7"/>
    <w:rsid w:val="003752F4"/>
    <w:rsid w:val="00375C7C"/>
    <w:rsid w:val="0038199A"/>
    <w:rsid w:val="00382CFB"/>
    <w:rsid w:val="00384C13"/>
    <w:rsid w:val="003928CF"/>
    <w:rsid w:val="0039788F"/>
    <w:rsid w:val="003A2FE7"/>
    <w:rsid w:val="003B065A"/>
    <w:rsid w:val="003B3EF1"/>
    <w:rsid w:val="003C68E7"/>
    <w:rsid w:val="003C6C6C"/>
    <w:rsid w:val="003D3487"/>
    <w:rsid w:val="003D3AAA"/>
    <w:rsid w:val="003D539F"/>
    <w:rsid w:val="003D6FC3"/>
    <w:rsid w:val="003E61FF"/>
    <w:rsid w:val="003F1ADF"/>
    <w:rsid w:val="0040059C"/>
    <w:rsid w:val="00400804"/>
    <w:rsid w:val="00401EAC"/>
    <w:rsid w:val="004020C4"/>
    <w:rsid w:val="0041343E"/>
    <w:rsid w:val="00421904"/>
    <w:rsid w:val="004224A0"/>
    <w:rsid w:val="00422DD1"/>
    <w:rsid w:val="004234B5"/>
    <w:rsid w:val="00424A2C"/>
    <w:rsid w:val="00430CFF"/>
    <w:rsid w:val="00432BD2"/>
    <w:rsid w:val="004377DB"/>
    <w:rsid w:val="00437EBF"/>
    <w:rsid w:val="0044401B"/>
    <w:rsid w:val="0044524F"/>
    <w:rsid w:val="00445B86"/>
    <w:rsid w:val="004469A8"/>
    <w:rsid w:val="00450866"/>
    <w:rsid w:val="004602ED"/>
    <w:rsid w:val="00463A48"/>
    <w:rsid w:val="00464BE8"/>
    <w:rsid w:val="0047423E"/>
    <w:rsid w:val="00482149"/>
    <w:rsid w:val="00494269"/>
    <w:rsid w:val="004A319A"/>
    <w:rsid w:val="004A31E8"/>
    <w:rsid w:val="004A57F7"/>
    <w:rsid w:val="004B57E5"/>
    <w:rsid w:val="004B6C89"/>
    <w:rsid w:val="004B6EAB"/>
    <w:rsid w:val="004B7A30"/>
    <w:rsid w:val="004C2300"/>
    <w:rsid w:val="004C54C2"/>
    <w:rsid w:val="004C664C"/>
    <w:rsid w:val="004C7326"/>
    <w:rsid w:val="004D5DAB"/>
    <w:rsid w:val="004D61F3"/>
    <w:rsid w:val="004D7D09"/>
    <w:rsid w:val="004E690A"/>
    <w:rsid w:val="004E7CFE"/>
    <w:rsid w:val="004F2D47"/>
    <w:rsid w:val="004F4582"/>
    <w:rsid w:val="005017BF"/>
    <w:rsid w:val="00502710"/>
    <w:rsid w:val="00510F09"/>
    <w:rsid w:val="00520761"/>
    <w:rsid w:val="00523597"/>
    <w:rsid w:val="00526BAA"/>
    <w:rsid w:val="00531668"/>
    <w:rsid w:val="00536E4D"/>
    <w:rsid w:val="005523AC"/>
    <w:rsid w:val="0055389B"/>
    <w:rsid w:val="00554FE8"/>
    <w:rsid w:val="00560EDA"/>
    <w:rsid w:val="00567EFC"/>
    <w:rsid w:val="00574B78"/>
    <w:rsid w:val="00576182"/>
    <w:rsid w:val="005771E4"/>
    <w:rsid w:val="00580068"/>
    <w:rsid w:val="005800A3"/>
    <w:rsid w:val="005800F6"/>
    <w:rsid w:val="0059177F"/>
    <w:rsid w:val="005A002C"/>
    <w:rsid w:val="005A0E13"/>
    <w:rsid w:val="005A5715"/>
    <w:rsid w:val="005A7964"/>
    <w:rsid w:val="005B3FC2"/>
    <w:rsid w:val="005C3C3C"/>
    <w:rsid w:val="005C5DBF"/>
    <w:rsid w:val="005D3D26"/>
    <w:rsid w:val="005E00EC"/>
    <w:rsid w:val="005E104F"/>
    <w:rsid w:val="005E160C"/>
    <w:rsid w:val="005E73E8"/>
    <w:rsid w:val="005F0D8C"/>
    <w:rsid w:val="005F36EF"/>
    <w:rsid w:val="005F5810"/>
    <w:rsid w:val="005F65D0"/>
    <w:rsid w:val="005F756B"/>
    <w:rsid w:val="006047F6"/>
    <w:rsid w:val="00606888"/>
    <w:rsid w:val="00613A78"/>
    <w:rsid w:val="0061732C"/>
    <w:rsid w:val="006216A1"/>
    <w:rsid w:val="006231A9"/>
    <w:rsid w:val="006300E0"/>
    <w:rsid w:val="00634A90"/>
    <w:rsid w:val="006375F7"/>
    <w:rsid w:val="0064268E"/>
    <w:rsid w:val="006449DD"/>
    <w:rsid w:val="00645A75"/>
    <w:rsid w:val="00647B92"/>
    <w:rsid w:val="00652E3A"/>
    <w:rsid w:val="00655852"/>
    <w:rsid w:val="00663837"/>
    <w:rsid w:val="00673067"/>
    <w:rsid w:val="0068022C"/>
    <w:rsid w:val="006809CA"/>
    <w:rsid w:val="006A7419"/>
    <w:rsid w:val="006B08FC"/>
    <w:rsid w:val="006D427C"/>
    <w:rsid w:val="006D4E1C"/>
    <w:rsid w:val="006D5963"/>
    <w:rsid w:val="006E3F4E"/>
    <w:rsid w:val="0070485E"/>
    <w:rsid w:val="007100F2"/>
    <w:rsid w:val="00711D6F"/>
    <w:rsid w:val="007128D3"/>
    <w:rsid w:val="00716CCC"/>
    <w:rsid w:val="00720BAD"/>
    <w:rsid w:val="007243F7"/>
    <w:rsid w:val="007400C4"/>
    <w:rsid w:val="00740508"/>
    <w:rsid w:val="00745A3A"/>
    <w:rsid w:val="007462D3"/>
    <w:rsid w:val="00746D57"/>
    <w:rsid w:val="007533AF"/>
    <w:rsid w:val="007560AD"/>
    <w:rsid w:val="007562E5"/>
    <w:rsid w:val="007571A2"/>
    <w:rsid w:val="007621B2"/>
    <w:rsid w:val="0076285C"/>
    <w:rsid w:val="00762AC4"/>
    <w:rsid w:val="00762E0C"/>
    <w:rsid w:val="00770E33"/>
    <w:rsid w:val="007739DD"/>
    <w:rsid w:val="00776520"/>
    <w:rsid w:val="00780657"/>
    <w:rsid w:val="00782C0B"/>
    <w:rsid w:val="0078536D"/>
    <w:rsid w:val="007911BA"/>
    <w:rsid w:val="00792C6A"/>
    <w:rsid w:val="007A3827"/>
    <w:rsid w:val="007D1F8C"/>
    <w:rsid w:val="007D27F5"/>
    <w:rsid w:val="007D425B"/>
    <w:rsid w:val="007D6F81"/>
    <w:rsid w:val="007D718C"/>
    <w:rsid w:val="007E0022"/>
    <w:rsid w:val="007E17FF"/>
    <w:rsid w:val="007E1F45"/>
    <w:rsid w:val="007E47BB"/>
    <w:rsid w:val="007F0BB3"/>
    <w:rsid w:val="007F42F5"/>
    <w:rsid w:val="007F52CF"/>
    <w:rsid w:val="00804E76"/>
    <w:rsid w:val="00807083"/>
    <w:rsid w:val="008104D5"/>
    <w:rsid w:val="00814E5B"/>
    <w:rsid w:val="00815E27"/>
    <w:rsid w:val="00820228"/>
    <w:rsid w:val="00827785"/>
    <w:rsid w:val="00827E54"/>
    <w:rsid w:val="00832E07"/>
    <w:rsid w:val="00833CC0"/>
    <w:rsid w:val="00836D82"/>
    <w:rsid w:val="00842E45"/>
    <w:rsid w:val="00847818"/>
    <w:rsid w:val="008612F1"/>
    <w:rsid w:val="00863538"/>
    <w:rsid w:val="008708ED"/>
    <w:rsid w:val="008810B7"/>
    <w:rsid w:val="00883697"/>
    <w:rsid w:val="00895F90"/>
    <w:rsid w:val="008A52CD"/>
    <w:rsid w:val="008C1724"/>
    <w:rsid w:val="008D554C"/>
    <w:rsid w:val="008D7CA0"/>
    <w:rsid w:val="008E46F2"/>
    <w:rsid w:val="008E7613"/>
    <w:rsid w:val="008E7F82"/>
    <w:rsid w:val="008F0689"/>
    <w:rsid w:val="0090011C"/>
    <w:rsid w:val="00906D98"/>
    <w:rsid w:val="0091476E"/>
    <w:rsid w:val="00915A7B"/>
    <w:rsid w:val="00916DD6"/>
    <w:rsid w:val="009174A9"/>
    <w:rsid w:val="00925A62"/>
    <w:rsid w:val="00925C1B"/>
    <w:rsid w:val="00926320"/>
    <w:rsid w:val="00934C4C"/>
    <w:rsid w:val="00937CF8"/>
    <w:rsid w:val="009412D9"/>
    <w:rsid w:val="009417FE"/>
    <w:rsid w:val="00944510"/>
    <w:rsid w:val="00951941"/>
    <w:rsid w:val="00953132"/>
    <w:rsid w:val="00955621"/>
    <w:rsid w:val="00962E2A"/>
    <w:rsid w:val="00963171"/>
    <w:rsid w:val="00965C8F"/>
    <w:rsid w:val="00975DBA"/>
    <w:rsid w:val="00980EA1"/>
    <w:rsid w:val="009812DF"/>
    <w:rsid w:val="009817C0"/>
    <w:rsid w:val="009820AE"/>
    <w:rsid w:val="0099247E"/>
    <w:rsid w:val="00995BF6"/>
    <w:rsid w:val="009A0ABB"/>
    <w:rsid w:val="009A1C70"/>
    <w:rsid w:val="009A4C72"/>
    <w:rsid w:val="009B480A"/>
    <w:rsid w:val="009C14EE"/>
    <w:rsid w:val="009C29DA"/>
    <w:rsid w:val="009C5D9A"/>
    <w:rsid w:val="009C6367"/>
    <w:rsid w:val="009C7914"/>
    <w:rsid w:val="009D4C99"/>
    <w:rsid w:val="009D4D33"/>
    <w:rsid w:val="009D5DB9"/>
    <w:rsid w:val="009D7239"/>
    <w:rsid w:val="009E453F"/>
    <w:rsid w:val="009F1595"/>
    <w:rsid w:val="00A07BE4"/>
    <w:rsid w:val="00A16AA2"/>
    <w:rsid w:val="00A16D62"/>
    <w:rsid w:val="00A2644A"/>
    <w:rsid w:val="00A274C1"/>
    <w:rsid w:val="00A40DD6"/>
    <w:rsid w:val="00A457BB"/>
    <w:rsid w:val="00A45F50"/>
    <w:rsid w:val="00A4717B"/>
    <w:rsid w:val="00A50A09"/>
    <w:rsid w:val="00A51BD9"/>
    <w:rsid w:val="00A61421"/>
    <w:rsid w:val="00A621B1"/>
    <w:rsid w:val="00A6422D"/>
    <w:rsid w:val="00A66E94"/>
    <w:rsid w:val="00A72F7B"/>
    <w:rsid w:val="00A73FF2"/>
    <w:rsid w:val="00A815E1"/>
    <w:rsid w:val="00A86872"/>
    <w:rsid w:val="00A916F5"/>
    <w:rsid w:val="00A9297B"/>
    <w:rsid w:val="00A94676"/>
    <w:rsid w:val="00A9669C"/>
    <w:rsid w:val="00A97247"/>
    <w:rsid w:val="00AA31C1"/>
    <w:rsid w:val="00AA429F"/>
    <w:rsid w:val="00AA5EEE"/>
    <w:rsid w:val="00AA75F8"/>
    <w:rsid w:val="00AB64AB"/>
    <w:rsid w:val="00AB6C11"/>
    <w:rsid w:val="00AD4341"/>
    <w:rsid w:val="00AE33EF"/>
    <w:rsid w:val="00AE74EC"/>
    <w:rsid w:val="00AF02ED"/>
    <w:rsid w:val="00AF1359"/>
    <w:rsid w:val="00B02792"/>
    <w:rsid w:val="00B062A9"/>
    <w:rsid w:val="00B06BBE"/>
    <w:rsid w:val="00B06E6A"/>
    <w:rsid w:val="00B30E2B"/>
    <w:rsid w:val="00B34738"/>
    <w:rsid w:val="00B61842"/>
    <w:rsid w:val="00B62398"/>
    <w:rsid w:val="00B642E6"/>
    <w:rsid w:val="00B644E1"/>
    <w:rsid w:val="00B66834"/>
    <w:rsid w:val="00B72716"/>
    <w:rsid w:val="00B72921"/>
    <w:rsid w:val="00B755EA"/>
    <w:rsid w:val="00B77F4D"/>
    <w:rsid w:val="00B82A37"/>
    <w:rsid w:val="00B8307F"/>
    <w:rsid w:val="00B87809"/>
    <w:rsid w:val="00B9245B"/>
    <w:rsid w:val="00B94947"/>
    <w:rsid w:val="00BA4B2A"/>
    <w:rsid w:val="00BB1155"/>
    <w:rsid w:val="00BB2465"/>
    <w:rsid w:val="00BC444D"/>
    <w:rsid w:val="00BC5BC3"/>
    <w:rsid w:val="00BC5FCD"/>
    <w:rsid w:val="00BD5558"/>
    <w:rsid w:val="00BD56B1"/>
    <w:rsid w:val="00BE020F"/>
    <w:rsid w:val="00BE23E0"/>
    <w:rsid w:val="00BF1961"/>
    <w:rsid w:val="00BF1D24"/>
    <w:rsid w:val="00C000D9"/>
    <w:rsid w:val="00C033AB"/>
    <w:rsid w:val="00C03B53"/>
    <w:rsid w:val="00C044F2"/>
    <w:rsid w:val="00C0677C"/>
    <w:rsid w:val="00C07A56"/>
    <w:rsid w:val="00C118F8"/>
    <w:rsid w:val="00C12C7A"/>
    <w:rsid w:val="00C17560"/>
    <w:rsid w:val="00C21BF4"/>
    <w:rsid w:val="00C269C3"/>
    <w:rsid w:val="00C34806"/>
    <w:rsid w:val="00C401B7"/>
    <w:rsid w:val="00C41EFE"/>
    <w:rsid w:val="00C42924"/>
    <w:rsid w:val="00C44528"/>
    <w:rsid w:val="00C5038B"/>
    <w:rsid w:val="00C52BFC"/>
    <w:rsid w:val="00C555F1"/>
    <w:rsid w:val="00C572FD"/>
    <w:rsid w:val="00C6382E"/>
    <w:rsid w:val="00C64BDA"/>
    <w:rsid w:val="00C6767A"/>
    <w:rsid w:val="00C7147A"/>
    <w:rsid w:val="00C72706"/>
    <w:rsid w:val="00C80C45"/>
    <w:rsid w:val="00C81459"/>
    <w:rsid w:val="00C8526B"/>
    <w:rsid w:val="00C85762"/>
    <w:rsid w:val="00C929ED"/>
    <w:rsid w:val="00C933C6"/>
    <w:rsid w:val="00C97142"/>
    <w:rsid w:val="00CA0D2A"/>
    <w:rsid w:val="00CB1042"/>
    <w:rsid w:val="00CB3BF2"/>
    <w:rsid w:val="00CC0096"/>
    <w:rsid w:val="00CC01A7"/>
    <w:rsid w:val="00CC5369"/>
    <w:rsid w:val="00CD0031"/>
    <w:rsid w:val="00CD091D"/>
    <w:rsid w:val="00CE0D56"/>
    <w:rsid w:val="00CE2345"/>
    <w:rsid w:val="00CE31F9"/>
    <w:rsid w:val="00CE4942"/>
    <w:rsid w:val="00CE6063"/>
    <w:rsid w:val="00D10A79"/>
    <w:rsid w:val="00D13FAB"/>
    <w:rsid w:val="00D22B2E"/>
    <w:rsid w:val="00D23FCA"/>
    <w:rsid w:val="00D2523A"/>
    <w:rsid w:val="00D305C0"/>
    <w:rsid w:val="00D36E9F"/>
    <w:rsid w:val="00D401A6"/>
    <w:rsid w:val="00D42CC9"/>
    <w:rsid w:val="00D43207"/>
    <w:rsid w:val="00D54D45"/>
    <w:rsid w:val="00D66017"/>
    <w:rsid w:val="00D66AA6"/>
    <w:rsid w:val="00D74096"/>
    <w:rsid w:val="00D8000E"/>
    <w:rsid w:val="00D80DC6"/>
    <w:rsid w:val="00D85997"/>
    <w:rsid w:val="00D879D5"/>
    <w:rsid w:val="00D9010D"/>
    <w:rsid w:val="00D9036A"/>
    <w:rsid w:val="00D96FE9"/>
    <w:rsid w:val="00DA707B"/>
    <w:rsid w:val="00DB1480"/>
    <w:rsid w:val="00DB37FF"/>
    <w:rsid w:val="00DB5C20"/>
    <w:rsid w:val="00DB7FB5"/>
    <w:rsid w:val="00DC62A7"/>
    <w:rsid w:val="00DC7E59"/>
    <w:rsid w:val="00DD1A8E"/>
    <w:rsid w:val="00DD548E"/>
    <w:rsid w:val="00DE680C"/>
    <w:rsid w:val="00DF4E6A"/>
    <w:rsid w:val="00DF6D94"/>
    <w:rsid w:val="00E145B8"/>
    <w:rsid w:val="00E173D0"/>
    <w:rsid w:val="00E21438"/>
    <w:rsid w:val="00E27B75"/>
    <w:rsid w:val="00E44B0F"/>
    <w:rsid w:val="00E52886"/>
    <w:rsid w:val="00E63A1E"/>
    <w:rsid w:val="00E70CD5"/>
    <w:rsid w:val="00E720A2"/>
    <w:rsid w:val="00E74789"/>
    <w:rsid w:val="00E74F16"/>
    <w:rsid w:val="00E83421"/>
    <w:rsid w:val="00E92847"/>
    <w:rsid w:val="00EB2E8C"/>
    <w:rsid w:val="00EB4EF5"/>
    <w:rsid w:val="00EB60BA"/>
    <w:rsid w:val="00EB679A"/>
    <w:rsid w:val="00EB75F1"/>
    <w:rsid w:val="00ED3EC4"/>
    <w:rsid w:val="00EF1BF5"/>
    <w:rsid w:val="00EF481D"/>
    <w:rsid w:val="00EF501F"/>
    <w:rsid w:val="00EF5966"/>
    <w:rsid w:val="00EF5CFA"/>
    <w:rsid w:val="00F01085"/>
    <w:rsid w:val="00F02ED5"/>
    <w:rsid w:val="00F07759"/>
    <w:rsid w:val="00F11A42"/>
    <w:rsid w:val="00F23428"/>
    <w:rsid w:val="00F24898"/>
    <w:rsid w:val="00F30D95"/>
    <w:rsid w:val="00F54531"/>
    <w:rsid w:val="00F64526"/>
    <w:rsid w:val="00F72D59"/>
    <w:rsid w:val="00F93A12"/>
    <w:rsid w:val="00F96BE0"/>
    <w:rsid w:val="00F97911"/>
    <w:rsid w:val="00FA49E5"/>
    <w:rsid w:val="00FB07E6"/>
    <w:rsid w:val="00FB10B0"/>
    <w:rsid w:val="00FB420E"/>
    <w:rsid w:val="00FB4BBC"/>
    <w:rsid w:val="00FC01C4"/>
    <w:rsid w:val="00FC1D94"/>
    <w:rsid w:val="00FC47C4"/>
    <w:rsid w:val="00FC4D45"/>
    <w:rsid w:val="00FC6C5F"/>
    <w:rsid w:val="00FD54C2"/>
    <w:rsid w:val="00FD6194"/>
    <w:rsid w:val="00FE2510"/>
    <w:rsid w:val="00FE61C6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0514B"/>
  <w15:chartTrackingRefBased/>
  <w15:docId w15:val="{0AE46050-5488-4991-B541-0919225A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3E8"/>
    <w:pPr>
      <w:spacing w:after="200" w:line="276" w:lineRule="auto"/>
    </w:pPr>
    <w:rPr>
      <w:lang w:val="ru-RU"/>
    </w:rPr>
  </w:style>
  <w:style w:type="paragraph" w:styleId="3">
    <w:name w:val="heading 3"/>
    <w:basedOn w:val="a"/>
    <w:link w:val="30"/>
    <w:uiPriority w:val="9"/>
    <w:qFormat/>
    <w:rsid w:val="003737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3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3737E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4">
    <w:name w:val="Normal (Web)"/>
    <w:basedOn w:val="a"/>
    <w:uiPriority w:val="99"/>
    <w:unhideWhenUsed/>
    <w:rsid w:val="0037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3737EF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rvps2">
    <w:name w:val="rvps2"/>
    <w:basedOn w:val="a"/>
    <w:rsid w:val="00560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46">
    <w:name w:val="rvts46"/>
    <w:basedOn w:val="a0"/>
    <w:rsid w:val="00560EDA"/>
  </w:style>
  <w:style w:type="character" w:styleId="a6">
    <w:name w:val="Hyperlink"/>
    <w:basedOn w:val="a0"/>
    <w:uiPriority w:val="99"/>
    <w:unhideWhenUsed/>
    <w:rsid w:val="00560EDA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437EBF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37EBF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rsid w:val="00437EBF"/>
    <w:rPr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7EBF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437EBF"/>
    <w:rPr>
      <w:b/>
      <w:bCs/>
      <w:sz w:val="20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437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437EBF"/>
    <w:rPr>
      <w:rFonts w:ascii="Segoe UI" w:hAnsi="Segoe UI" w:cs="Segoe UI"/>
      <w:sz w:val="18"/>
      <w:szCs w:val="18"/>
      <w:lang w:val="ru-RU"/>
    </w:rPr>
  </w:style>
  <w:style w:type="character" w:styleId="ae">
    <w:name w:val="Placeholder Text"/>
    <w:basedOn w:val="a0"/>
    <w:uiPriority w:val="99"/>
    <w:semiHidden/>
    <w:rsid w:val="004469A8"/>
    <w:rPr>
      <w:color w:val="666666"/>
    </w:rPr>
  </w:style>
  <w:style w:type="paragraph" w:styleId="af">
    <w:name w:val="Revision"/>
    <w:hidden/>
    <w:uiPriority w:val="99"/>
    <w:semiHidden/>
    <w:rsid w:val="00D85997"/>
    <w:pPr>
      <w:spacing w:after="0" w:line="240" w:lineRule="auto"/>
    </w:pPr>
    <w:rPr>
      <w:lang w:val="ru-RU"/>
    </w:rPr>
  </w:style>
  <w:style w:type="paragraph" w:styleId="af0">
    <w:name w:val="header"/>
    <w:basedOn w:val="a"/>
    <w:link w:val="af1"/>
    <w:uiPriority w:val="99"/>
    <w:unhideWhenUsed/>
    <w:rsid w:val="00257C3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257C3A"/>
    <w:rPr>
      <w:lang w:val="ru-RU"/>
    </w:rPr>
  </w:style>
  <w:style w:type="paragraph" w:styleId="af2">
    <w:name w:val="footer"/>
    <w:basedOn w:val="a"/>
    <w:link w:val="af3"/>
    <w:uiPriority w:val="99"/>
    <w:unhideWhenUsed/>
    <w:rsid w:val="00257C3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257C3A"/>
    <w:rPr>
      <w:lang w:val="ru-RU"/>
    </w:rPr>
  </w:style>
  <w:style w:type="character" w:customStyle="1" w:styleId="rvts37">
    <w:name w:val="rvts37"/>
    <w:basedOn w:val="a0"/>
    <w:rsid w:val="004D7D09"/>
  </w:style>
  <w:style w:type="paragraph" w:customStyle="1" w:styleId="rvps14">
    <w:name w:val="rvps14"/>
    <w:basedOn w:val="a"/>
    <w:rsid w:val="004D7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4">
    <w:name w:val="Unresolved Mention"/>
    <w:basedOn w:val="a0"/>
    <w:uiPriority w:val="99"/>
    <w:semiHidden/>
    <w:unhideWhenUsed/>
    <w:rsid w:val="001D122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316D1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f5">
    <w:name w:val="FollowedHyperlink"/>
    <w:basedOn w:val="a0"/>
    <w:uiPriority w:val="99"/>
    <w:semiHidden/>
    <w:unhideWhenUsed/>
    <w:rsid w:val="008E76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996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4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30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43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08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61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7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478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5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95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51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9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76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8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89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0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image" Target="media/image30.emf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42" Type="http://schemas.openxmlformats.org/officeDocument/2006/relationships/image" Target="media/image33.emf"/><Relationship Id="rId47" Type="http://schemas.openxmlformats.org/officeDocument/2006/relationships/image" Target="media/image38.e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9" Type="http://schemas.openxmlformats.org/officeDocument/2006/relationships/image" Target="media/image20.emf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image" Target="media/image31.emf"/><Relationship Id="rId45" Type="http://schemas.openxmlformats.org/officeDocument/2006/relationships/image" Target="media/image36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49" Type="http://schemas.openxmlformats.org/officeDocument/2006/relationships/image" Target="media/image40.emf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4" Type="http://schemas.openxmlformats.org/officeDocument/2006/relationships/image" Target="media/image35.emf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1378-15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43" Type="http://schemas.openxmlformats.org/officeDocument/2006/relationships/image" Target="media/image34.emf"/><Relationship Id="rId48" Type="http://schemas.openxmlformats.org/officeDocument/2006/relationships/image" Target="media/image39.emf"/><Relationship Id="rId8" Type="http://schemas.openxmlformats.org/officeDocument/2006/relationships/hyperlink" Target="https://zakon.rada.gov.ua/laws/show/z1378-15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46" Type="http://schemas.openxmlformats.org/officeDocument/2006/relationships/image" Target="media/image37.emf"/><Relationship Id="rId20" Type="http://schemas.openxmlformats.org/officeDocument/2006/relationships/image" Target="media/image11.emf"/><Relationship Id="rId41" Type="http://schemas.openxmlformats.org/officeDocument/2006/relationships/image" Target="media/image3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81694-365D-4C15-B279-ACCAAEFE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21</Pages>
  <Words>9999</Words>
  <Characters>5700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Кулажина</dc:creator>
  <cp:keywords/>
  <dc:description/>
  <cp:lastModifiedBy>AI</cp:lastModifiedBy>
  <cp:revision>10</cp:revision>
  <cp:lastPrinted>2025-08-05T08:05:00Z</cp:lastPrinted>
  <dcterms:created xsi:type="dcterms:W3CDTF">2026-06-30T09:06:00Z</dcterms:created>
  <dcterms:modified xsi:type="dcterms:W3CDTF">2026-07-07T09:00:00Z</dcterms:modified>
</cp:coreProperties>
</file>