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19B6" w:rsidRPr="00DA2AC6" w:rsidRDefault="00ED19B6" w:rsidP="00EB37FE">
      <w:pPr>
        <w:spacing w:after="0" w:line="240" w:lineRule="auto"/>
        <w:jc w:val="center"/>
        <w:rPr>
          <w:rFonts w:ascii="Times New Roman" w:eastAsia="Times New Roman" w:hAnsi="Times New Roman" w:cs="Times New Roman"/>
          <w:b/>
          <w:color w:val="000000"/>
          <w:sz w:val="28"/>
          <w:szCs w:val="24"/>
        </w:rPr>
      </w:pPr>
      <w:r w:rsidRPr="00DA2AC6">
        <w:rPr>
          <w:rFonts w:ascii="Times New Roman" w:eastAsia="Times New Roman" w:hAnsi="Times New Roman" w:cs="Times New Roman"/>
          <w:b/>
          <w:color w:val="000000"/>
          <w:sz w:val="28"/>
          <w:szCs w:val="24"/>
        </w:rPr>
        <w:t xml:space="preserve">Порівняльна таблиця до </w:t>
      </w:r>
      <w:proofErr w:type="spellStart"/>
      <w:r w:rsidRPr="00DA2AC6">
        <w:rPr>
          <w:rFonts w:ascii="Times New Roman" w:eastAsia="Times New Roman" w:hAnsi="Times New Roman" w:cs="Times New Roman"/>
          <w:b/>
          <w:color w:val="000000"/>
          <w:sz w:val="28"/>
          <w:szCs w:val="24"/>
        </w:rPr>
        <w:t>проєкту</w:t>
      </w:r>
      <w:proofErr w:type="spellEnd"/>
      <w:r w:rsidRPr="00DA2AC6">
        <w:rPr>
          <w:rFonts w:ascii="Times New Roman" w:eastAsia="Times New Roman" w:hAnsi="Times New Roman" w:cs="Times New Roman"/>
          <w:b/>
          <w:color w:val="000000"/>
          <w:sz w:val="28"/>
          <w:szCs w:val="24"/>
        </w:rPr>
        <w:t xml:space="preserve"> постанови НКРЕКП </w:t>
      </w:r>
      <w:r w:rsidR="00EB37FE" w:rsidRPr="00AC0A93">
        <w:rPr>
          <w:rFonts w:ascii="Times New Roman" w:eastAsia="Times New Roman" w:hAnsi="Times New Roman" w:cs="Times New Roman"/>
          <w:b/>
          <w:sz w:val="28"/>
          <w:szCs w:val="28"/>
        </w:rPr>
        <w:t>«</w:t>
      </w:r>
      <w:r w:rsidR="005A6B92" w:rsidRPr="005A6B92">
        <w:rPr>
          <w:rFonts w:ascii="Times New Roman" w:eastAsia="Times New Roman" w:hAnsi="Times New Roman" w:cs="Times New Roman"/>
          <w:b/>
          <w:sz w:val="28"/>
          <w:szCs w:val="28"/>
        </w:rPr>
        <w:t>Про затвердження Змін до Методики визначення розмірів нормативних та виробничо-технологічних втрат/витрат природного газу при здійсненні розподілу природного газу</w:t>
      </w:r>
      <w:r w:rsidR="00EB37FE" w:rsidRPr="00AC0A93">
        <w:rPr>
          <w:rFonts w:ascii="Times New Roman" w:eastAsia="Times New Roman" w:hAnsi="Times New Roman" w:cs="Times New Roman"/>
          <w:b/>
          <w:sz w:val="28"/>
          <w:szCs w:val="28"/>
        </w:rPr>
        <w:t>»</w:t>
      </w:r>
      <w:r w:rsidRPr="00DA2AC6">
        <w:rPr>
          <w:rFonts w:ascii="Times New Roman" w:eastAsia="Times New Roman" w:hAnsi="Times New Roman" w:cs="Times New Roman"/>
          <w:b/>
          <w:color w:val="000000"/>
          <w:sz w:val="28"/>
          <w:szCs w:val="24"/>
        </w:rPr>
        <w:t>, що має ознаки регуляторного акта</w:t>
      </w:r>
    </w:p>
    <w:p w:rsidR="00422F21" w:rsidRDefault="00422F21" w:rsidP="008A11BB">
      <w:pPr>
        <w:spacing w:after="0" w:line="240" w:lineRule="auto"/>
        <w:jc w:val="center"/>
        <w:rPr>
          <w:rFonts w:ascii="Times New Roman" w:eastAsia="Times New Roman" w:hAnsi="Times New Roman" w:cs="Times New Roman"/>
          <w:b/>
          <w:i/>
          <w:color w:val="000000"/>
          <w:sz w:val="24"/>
          <w:szCs w:val="24"/>
        </w:rPr>
      </w:pPr>
    </w:p>
    <w:p w:rsidR="00DA2AC6" w:rsidRPr="008A11BB" w:rsidRDefault="00DA2AC6" w:rsidP="008A11BB">
      <w:pPr>
        <w:spacing w:after="0" w:line="240" w:lineRule="auto"/>
        <w:jc w:val="center"/>
        <w:rPr>
          <w:rFonts w:ascii="Times New Roman" w:eastAsia="Times New Roman" w:hAnsi="Times New Roman" w:cs="Times New Roman"/>
          <w:b/>
          <w:i/>
          <w:color w:val="000000"/>
          <w:sz w:val="24"/>
          <w:szCs w:val="24"/>
        </w:rPr>
      </w:pPr>
    </w:p>
    <w:tbl>
      <w:tblPr>
        <w:tblStyle w:val="a3"/>
        <w:tblW w:w="0" w:type="auto"/>
        <w:tblLook w:val="04A0" w:firstRow="1" w:lastRow="0" w:firstColumn="1" w:lastColumn="0" w:noHBand="0" w:noVBand="1"/>
      </w:tblPr>
      <w:tblGrid>
        <w:gridCol w:w="7564"/>
        <w:gridCol w:w="7564"/>
      </w:tblGrid>
      <w:tr w:rsidR="00ED19B6" w:rsidRPr="008A11BB" w:rsidTr="00ED19B6">
        <w:tc>
          <w:tcPr>
            <w:tcW w:w="7564" w:type="dxa"/>
          </w:tcPr>
          <w:p w:rsidR="00ED19B6" w:rsidRPr="008A11BB" w:rsidRDefault="00274F2E" w:rsidP="008A11BB">
            <w:pPr>
              <w:spacing w:line="240" w:lineRule="auto"/>
              <w:jc w:val="center"/>
              <w:rPr>
                <w:rFonts w:ascii="Times New Roman" w:eastAsia="Times New Roman" w:hAnsi="Times New Roman" w:cs="Times New Roman"/>
                <w:b/>
                <w:i/>
                <w:color w:val="000000"/>
                <w:sz w:val="24"/>
                <w:szCs w:val="24"/>
              </w:rPr>
            </w:pPr>
            <w:r w:rsidRPr="008A11BB">
              <w:rPr>
                <w:rFonts w:ascii="Times New Roman" w:eastAsia="Times New Roman" w:hAnsi="Times New Roman" w:cs="Times New Roman"/>
                <w:b/>
                <w:i/>
                <w:color w:val="000000"/>
                <w:sz w:val="24"/>
                <w:szCs w:val="24"/>
              </w:rPr>
              <w:t>МЕТОДИКА</w:t>
            </w:r>
            <w:r w:rsidRPr="008A11BB">
              <w:rPr>
                <w:rFonts w:ascii="Times New Roman" w:eastAsia="Times New Roman" w:hAnsi="Times New Roman" w:cs="Times New Roman"/>
                <w:b/>
                <w:i/>
                <w:color w:val="000000"/>
                <w:sz w:val="24"/>
                <w:szCs w:val="24"/>
              </w:rPr>
              <w:br/>
              <w:t>ВИЗНАЧЕННЯ РОЗМІРІВ НОРМАТИВНИХ ТА ВИРОБНИЧО-ТЕХНОЛОГІЧНИХ ВТРАТ/ВИТРАТ ПРИРОДНОГО ГАЗУ ПРИ ЗДІЙСНЕННІ РОЗПОДІЛУ ПРИРОДНОГО ГАЗУ</w:t>
            </w:r>
          </w:p>
        </w:tc>
        <w:tc>
          <w:tcPr>
            <w:tcW w:w="7564" w:type="dxa"/>
          </w:tcPr>
          <w:p w:rsidR="00ED19B6" w:rsidRPr="008A11BB" w:rsidRDefault="00274F2E" w:rsidP="008A11BB">
            <w:pPr>
              <w:spacing w:line="240" w:lineRule="auto"/>
              <w:jc w:val="center"/>
              <w:rPr>
                <w:rFonts w:ascii="Times New Roman" w:eastAsia="Times New Roman" w:hAnsi="Times New Roman" w:cs="Times New Roman"/>
                <w:b/>
                <w:i/>
                <w:color w:val="000000"/>
                <w:sz w:val="24"/>
                <w:szCs w:val="24"/>
              </w:rPr>
            </w:pPr>
            <w:r w:rsidRPr="008A11BB">
              <w:rPr>
                <w:rFonts w:ascii="Times New Roman" w:eastAsia="Times New Roman" w:hAnsi="Times New Roman" w:cs="Times New Roman"/>
                <w:b/>
                <w:i/>
                <w:color w:val="000000"/>
                <w:sz w:val="24"/>
                <w:szCs w:val="24"/>
              </w:rPr>
              <w:t>ЗМІНИ ДО МЕТОДИКИ</w:t>
            </w:r>
            <w:r w:rsidRPr="008A11BB">
              <w:rPr>
                <w:rFonts w:ascii="Times New Roman" w:eastAsia="Times New Roman" w:hAnsi="Times New Roman" w:cs="Times New Roman"/>
                <w:b/>
                <w:i/>
                <w:color w:val="000000"/>
                <w:sz w:val="24"/>
                <w:szCs w:val="24"/>
              </w:rPr>
              <w:br/>
              <w:t>ВИЗНАЧЕННЯ РОЗМІРІВ НОРМАТИВНИХ ТА ВИРОБНИЧО-ТЕХНОЛОГІЧНИХ ВТРАТ/ВИТРАТ ПРИРОДНОГО ГАЗУ ПРИ ЗДІЙСНЕННІ РОЗПОДІЛУ ПРИРОДНОГО ГАЗУ</w:t>
            </w:r>
          </w:p>
        </w:tc>
      </w:tr>
      <w:tr w:rsidR="00ED19B6" w:rsidRPr="008A11BB" w:rsidTr="00ED19B6">
        <w:tc>
          <w:tcPr>
            <w:tcW w:w="7564" w:type="dxa"/>
          </w:tcPr>
          <w:p w:rsidR="00ED19B6" w:rsidRPr="008A11BB" w:rsidRDefault="00274F2E" w:rsidP="008A11BB">
            <w:pPr>
              <w:spacing w:line="240" w:lineRule="auto"/>
              <w:ind w:firstLine="709"/>
              <w:jc w:val="center"/>
              <w:rPr>
                <w:rFonts w:ascii="Times New Roman" w:hAnsi="Times New Roman" w:cs="Times New Roman"/>
                <w:b/>
                <w:color w:val="000000" w:themeColor="text1"/>
                <w:sz w:val="24"/>
                <w:szCs w:val="24"/>
              </w:rPr>
            </w:pPr>
            <w:r w:rsidRPr="008A11BB">
              <w:rPr>
                <w:rFonts w:ascii="Times New Roman" w:hAnsi="Times New Roman" w:cs="Times New Roman"/>
                <w:b/>
                <w:color w:val="000000" w:themeColor="text1"/>
                <w:sz w:val="24"/>
                <w:szCs w:val="24"/>
              </w:rPr>
              <w:t>6. Процедура встановлення розміру нормативних та виробничо-технологічних втрат/витрат природного газу</w:t>
            </w:r>
          </w:p>
        </w:tc>
        <w:tc>
          <w:tcPr>
            <w:tcW w:w="7564" w:type="dxa"/>
          </w:tcPr>
          <w:p w:rsidR="00ED19B6" w:rsidRPr="008A11BB" w:rsidRDefault="00274F2E" w:rsidP="008A11BB">
            <w:pPr>
              <w:spacing w:line="240" w:lineRule="auto"/>
              <w:ind w:firstLine="709"/>
              <w:jc w:val="center"/>
              <w:rPr>
                <w:rFonts w:ascii="Times New Roman" w:hAnsi="Times New Roman" w:cs="Times New Roman"/>
                <w:b/>
                <w:color w:val="000000" w:themeColor="text1"/>
                <w:sz w:val="24"/>
                <w:szCs w:val="24"/>
              </w:rPr>
            </w:pPr>
            <w:r w:rsidRPr="008A11BB">
              <w:rPr>
                <w:rFonts w:ascii="Times New Roman" w:hAnsi="Times New Roman" w:cs="Times New Roman"/>
                <w:b/>
                <w:color w:val="000000" w:themeColor="text1"/>
                <w:sz w:val="24"/>
                <w:szCs w:val="24"/>
              </w:rPr>
              <w:t>6. Процедура встановлення розміру нормативних та виробничо-технологічних втрат/витрат природного газу</w:t>
            </w:r>
          </w:p>
        </w:tc>
      </w:tr>
      <w:tr w:rsidR="00ED19B6" w:rsidRPr="008A11BB" w:rsidTr="00ED19B6">
        <w:tc>
          <w:tcPr>
            <w:tcW w:w="7564" w:type="dxa"/>
          </w:tcPr>
          <w:p w:rsidR="00663D85" w:rsidRPr="008A11BB" w:rsidRDefault="00663D85" w:rsidP="008A11BB">
            <w:pPr>
              <w:spacing w:line="240" w:lineRule="auto"/>
              <w:ind w:firstLine="709"/>
              <w:jc w:val="both"/>
              <w:rPr>
                <w:rFonts w:ascii="Times New Roman" w:hAnsi="Times New Roman" w:cs="Times New Roman"/>
                <w:sz w:val="24"/>
                <w:szCs w:val="24"/>
              </w:rPr>
            </w:pPr>
            <w:r w:rsidRPr="008A11BB">
              <w:rPr>
                <w:rFonts w:ascii="Times New Roman" w:hAnsi="Times New Roman" w:cs="Times New Roman"/>
                <w:color w:val="000000" w:themeColor="text1"/>
                <w:sz w:val="24"/>
                <w:szCs w:val="24"/>
              </w:rPr>
              <w:t xml:space="preserve">6.2. </w:t>
            </w:r>
            <w:r w:rsidR="00FD0699" w:rsidRPr="00FD0699">
              <w:rPr>
                <w:rFonts w:ascii="Times New Roman" w:hAnsi="Times New Roman" w:cs="Times New Roman"/>
                <w:color w:val="000000" w:themeColor="text1"/>
                <w:sz w:val="24"/>
                <w:szCs w:val="24"/>
              </w:rPr>
              <w:t>Для встановлення річного розміру нормативних втрат/витрат газу Оператор ГРМ подає до НКРЕКП розрахунки обсягів нормативних втрат/витрат газу, до яких додаються</w:t>
            </w:r>
            <w:r w:rsidRPr="008A11BB">
              <w:rPr>
                <w:rFonts w:ascii="Times New Roman" w:hAnsi="Times New Roman" w:cs="Times New Roman"/>
                <w:color w:val="000000" w:themeColor="text1"/>
                <w:sz w:val="24"/>
                <w:szCs w:val="24"/>
              </w:rPr>
              <w:t>:</w:t>
            </w:r>
            <w:r w:rsidRPr="008A11BB">
              <w:rPr>
                <w:rFonts w:ascii="Times New Roman" w:hAnsi="Times New Roman" w:cs="Times New Roman"/>
                <w:sz w:val="24"/>
                <w:szCs w:val="24"/>
              </w:rPr>
              <w:t xml:space="preserve"> </w:t>
            </w:r>
          </w:p>
          <w:p w:rsidR="00BA6D5C" w:rsidRPr="008A11BB" w:rsidRDefault="00BA6D5C" w:rsidP="008A11BB">
            <w:pPr>
              <w:spacing w:line="240" w:lineRule="auto"/>
              <w:ind w:firstLine="709"/>
              <w:jc w:val="both"/>
              <w:rPr>
                <w:rFonts w:ascii="Times New Roman" w:hAnsi="Times New Roman" w:cs="Times New Roman"/>
                <w:sz w:val="24"/>
                <w:szCs w:val="24"/>
              </w:rPr>
            </w:pPr>
            <w:r w:rsidRPr="008A11BB">
              <w:rPr>
                <w:rFonts w:ascii="Times New Roman" w:hAnsi="Times New Roman" w:cs="Times New Roman"/>
                <w:sz w:val="24"/>
                <w:szCs w:val="24"/>
              </w:rPr>
              <w:t>…</w:t>
            </w:r>
          </w:p>
          <w:p w:rsidR="00E04550" w:rsidRDefault="00FD0699" w:rsidP="008A11BB">
            <w:pPr>
              <w:spacing w:line="240" w:lineRule="auto"/>
              <w:ind w:firstLine="709"/>
              <w:rPr>
                <w:rFonts w:ascii="Times New Roman" w:hAnsi="Times New Roman" w:cs="Times New Roman"/>
                <w:color w:val="000000" w:themeColor="text1"/>
                <w:sz w:val="24"/>
                <w:szCs w:val="24"/>
              </w:rPr>
            </w:pPr>
            <w:r w:rsidRPr="00FD0699">
              <w:rPr>
                <w:rFonts w:ascii="Times New Roman" w:hAnsi="Times New Roman" w:cs="Times New Roman"/>
                <w:color w:val="000000" w:themeColor="text1"/>
                <w:sz w:val="24"/>
                <w:szCs w:val="24"/>
              </w:rPr>
              <w:t>Визначена цим пунктом інформація подається Оператором ГРМ разом із документами для встановлення тарифу на розподіл природного газу відповідно до Методики визначення та розрахунку тарифу на послуги розподілу природного газу, затвердженої постановою Національної комісії, що здійснює державне регулювання у сферах енергетики та комунальних послуг, від 25 лютого 2016 року № 236, зареєстрованої в Міністерстві юстиції України 03 листопада 2016 року за № 1434/29564</w:t>
            </w:r>
            <w:r>
              <w:rPr>
                <w:rFonts w:ascii="Times New Roman" w:hAnsi="Times New Roman" w:cs="Times New Roman"/>
                <w:color w:val="000000" w:themeColor="text1"/>
                <w:sz w:val="24"/>
                <w:szCs w:val="24"/>
              </w:rPr>
              <w:t>.</w:t>
            </w:r>
          </w:p>
          <w:p w:rsidR="00012D7C" w:rsidRPr="008A11BB" w:rsidRDefault="0032734A" w:rsidP="008A11BB">
            <w:pPr>
              <w:spacing w:line="240" w:lineRule="auto"/>
              <w:ind w:firstLine="709"/>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 xml:space="preserve">Положення </w:t>
            </w:r>
            <w:r w:rsidR="00012D7C" w:rsidRPr="008A11BB">
              <w:rPr>
                <w:rFonts w:ascii="Times New Roman" w:eastAsia="Times New Roman" w:hAnsi="Times New Roman" w:cs="Times New Roman"/>
                <w:b/>
                <w:color w:val="000000" w:themeColor="text1"/>
                <w:sz w:val="24"/>
                <w:szCs w:val="24"/>
              </w:rPr>
              <w:t>відсутн</w:t>
            </w:r>
            <w:r>
              <w:rPr>
                <w:rFonts w:ascii="Times New Roman" w:eastAsia="Times New Roman" w:hAnsi="Times New Roman" w:cs="Times New Roman"/>
                <w:b/>
                <w:color w:val="000000" w:themeColor="text1"/>
                <w:sz w:val="24"/>
                <w:szCs w:val="24"/>
              </w:rPr>
              <w:t>є</w:t>
            </w:r>
            <w:r w:rsidR="00FD0699">
              <w:rPr>
                <w:rFonts w:ascii="Times New Roman" w:eastAsia="Times New Roman" w:hAnsi="Times New Roman" w:cs="Times New Roman"/>
                <w:b/>
                <w:color w:val="000000" w:themeColor="text1"/>
                <w:sz w:val="24"/>
                <w:szCs w:val="24"/>
              </w:rPr>
              <w:t>.</w:t>
            </w:r>
          </w:p>
          <w:p w:rsidR="00012D7C" w:rsidRPr="00FD0699" w:rsidRDefault="00FD0699" w:rsidP="008A11BB">
            <w:pPr>
              <w:spacing w:line="240" w:lineRule="auto"/>
              <w:ind w:firstLine="709"/>
              <w:rPr>
                <w:rFonts w:ascii="Times New Roman" w:eastAsia="Times New Roman" w:hAnsi="Times New Roman" w:cs="Times New Roman"/>
                <w:color w:val="000000" w:themeColor="text1"/>
                <w:sz w:val="24"/>
                <w:szCs w:val="24"/>
              </w:rPr>
            </w:pPr>
            <w:r w:rsidRPr="00FD0699">
              <w:rPr>
                <w:rFonts w:ascii="Times New Roman" w:eastAsia="Times New Roman" w:hAnsi="Times New Roman" w:cs="Times New Roman"/>
                <w:color w:val="000000" w:themeColor="text1"/>
                <w:sz w:val="24"/>
                <w:szCs w:val="24"/>
              </w:rPr>
              <w:t>На вимогу НКРЕКП Оператор ГРМ протягом 10 робочих днів зобов’язаний подати до НКРЕКП документи, визначені цим пунктом. У разі ненадання Оператором ГРМ таких документів НКРЕКП для встановлення річного розміру нормативних втрат/витрат газу застосовує пункт 6.9 цієї глави</w:t>
            </w:r>
          </w:p>
          <w:p w:rsidR="005A6B92" w:rsidRPr="008A11BB" w:rsidRDefault="005A6B92" w:rsidP="005A6B92">
            <w:pPr>
              <w:spacing w:line="240" w:lineRule="auto"/>
              <w:ind w:firstLine="709"/>
              <w:jc w:val="both"/>
              <w:rPr>
                <w:rFonts w:ascii="Times New Roman" w:hAnsi="Times New Roman" w:cs="Times New Roman"/>
                <w:sz w:val="24"/>
                <w:szCs w:val="24"/>
              </w:rPr>
            </w:pPr>
            <w:r w:rsidRPr="008A11BB">
              <w:rPr>
                <w:rFonts w:ascii="Times New Roman" w:hAnsi="Times New Roman" w:cs="Times New Roman"/>
                <w:sz w:val="24"/>
                <w:szCs w:val="24"/>
              </w:rPr>
              <w:t>…</w:t>
            </w:r>
          </w:p>
          <w:p w:rsidR="00012D7C" w:rsidRPr="008A11BB" w:rsidRDefault="00012D7C" w:rsidP="008A11BB">
            <w:pPr>
              <w:spacing w:line="240" w:lineRule="auto"/>
              <w:ind w:firstLine="709"/>
              <w:jc w:val="both"/>
              <w:rPr>
                <w:rFonts w:ascii="Times New Roman" w:hAnsi="Times New Roman" w:cs="Times New Roman"/>
                <w:sz w:val="24"/>
                <w:szCs w:val="24"/>
              </w:rPr>
            </w:pPr>
          </w:p>
        </w:tc>
        <w:tc>
          <w:tcPr>
            <w:tcW w:w="7564" w:type="dxa"/>
          </w:tcPr>
          <w:p w:rsidR="00ED19B6" w:rsidRPr="008A11BB" w:rsidRDefault="00BA6D5C" w:rsidP="008A11BB">
            <w:pPr>
              <w:spacing w:line="240" w:lineRule="auto"/>
              <w:ind w:firstLine="709"/>
              <w:jc w:val="both"/>
              <w:rPr>
                <w:rFonts w:ascii="Times New Roman" w:hAnsi="Times New Roman" w:cs="Times New Roman"/>
                <w:color w:val="000000" w:themeColor="text1"/>
                <w:sz w:val="24"/>
                <w:szCs w:val="24"/>
              </w:rPr>
            </w:pPr>
            <w:r w:rsidRPr="008A11BB">
              <w:rPr>
                <w:rFonts w:ascii="Times New Roman" w:hAnsi="Times New Roman" w:cs="Times New Roman"/>
                <w:color w:val="000000" w:themeColor="text1"/>
                <w:sz w:val="24"/>
                <w:szCs w:val="24"/>
              </w:rPr>
              <w:t xml:space="preserve">6.2. </w:t>
            </w:r>
            <w:r w:rsidR="00FD0699" w:rsidRPr="00FD0699">
              <w:rPr>
                <w:rFonts w:ascii="Times New Roman" w:hAnsi="Times New Roman" w:cs="Times New Roman"/>
                <w:color w:val="000000" w:themeColor="text1"/>
                <w:sz w:val="24"/>
                <w:szCs w:val="24"/>
              </w:rPr>
              <w:t>Для встановлення річного розміру нормативних втрат/витрат газу Оператор ГРМ подає до НКРЕКП розрахунки обсягів нормативних втрат/витрат газу, до яких додаються</w:t>
            </w:r>
            <w:r w:rsidRPr="008A11BB">
              <w:rPr>
                <w:rFonts w:ascii="Times New Roman" w:hAnsi="Times New Roman" w:cs="Times New Roman"/>
                <w:color w:val="000000" w:themeColor="text1"/>
                <w:sz w:val="24"/>
                <w:szCs w:val="24"/>
              </w:rPr>
              <w:t>:</w:t>
            </w:r>
          </w:p>
          <w:p w:rsidR="00BA6D5C" w:rsidRPr="008A11BB" w:rsidRDefault="00BA6D5C" w:rsidP="008A11BB">
            <w:pPr>
              <w:spacing w:line="240" w:lineRule="auto"/>
              <w:ind w:firstLine="709"/>
              <w:jc w:val="both"/>
              <w:rPr>
                <w:rFonts w:ascii="Times New Roman" w:hAnsi="Times New Roman" w:cs="Times New Roman"/>
                <w:sz w:val="24"/>
                <w:szCs w:val="24"/>
              </w:rPr>
            </w:pPr>
            <w:r w:rsidRPr="008A11BB">
              <w:rPr>
                <w:rFonts w:ascii="Times New Roman" w:hAnsi="Times New Roman" w:cs="Times New Roman"/>
                <w:sz w:val="24"/>
                <w:szCs w:val="24"/>
              </w:rPr>
              <w:t>…</w:t>
            </w:r>
          </w:p>
          <w:p w:rsidR="00FD0699" w:rsidRPr="00FD0699" w:rsidRDefault="00FD0699" w:rsidP="008A11BB">
            <w:pPr>
              <w:pStyle w:val="rvps2"/>
              <w:tabs>
                <w:tab w:val="left" w:pos="426"/>
              </w:tabs>
              <w:spacing w:before="0" w:beforeAutospacing="0" w:after="0" w:afterAutospacing="0"/>
              <w:ind w:firstLine="567"/>
              <w:jc w:val="both"/>
              <w:textAlignment w:val="baseline"/>
            </w:pPr>
            <w:r w:rsidRPr="00FD0699">
              <w:t>Визначена цим пунктом інформація подається Оператором ГРМ разом із документами для встановлення тарифу на розподіл природного газу відповідно до Методики визначення та розрахунку тарифу на послуги розподілу природного газу, затвердженої постановою Національної комісії, що здійснює державне регулювання у сферах енергетики та комунальних послуг, від 25 лютого 2016 року № 236, зареєстрованої в Міністерстві юстиції України 03 листопада 2016 року за № 1434/29564</w:t>
            </w:r>
            <w:r>
              <w:t>.</w:t>
            </w:r>
          </w:p>
          <w:p w:rsidR="00012D7C" w:rsidRDefault="005A6B92" w:rsidP="008A11BB">
            <w:pPr>
              <w:pStyle w:val="rvps2"/>
              <w:tabs>
                <w:tab w:val="left" w:pos="426"/>
              </w:tabs>
              <w:spacing w:before="0" w:beforeAutospacing="0" w:after="0" w:afterAutospacing="0"/>
              <w:ind w:firstLine="567"/>
              <w:jc w:val="both"/>
              <w:textAlignment w:val="baseline"/>
              <w:rPr>
                <w:b/>
              </w:rPr>
            </w:pPr>
            <w:r w:rsidRPr="005A6B92">
              <w:rPr>
                <w:b/>
              </w:rPr>
              <w:t>НКРЕКП не здійснює перегляд річного розміру нормативних втрат/витрат газу, якщо тариф на послуги розподілу природного газу не переглядається, крім випадків, визначених пунктом 6.11 цієї Методики.</w:t>
            </w:r>
          </w:p>
          <w:p w:rsidR="00FD0699" w:rsidRPr="008A11BB" w:rsidRDefault="00FD0699" w:rsidP="008A11BB">
            <w:pPr>
              <w:pStyle w:val="rvps2"/>
              <w:tabs>
                <w:tab w:val="left" w:pos="426"/>
              </w:tabs>
              <w:spacing w:before="0" w:beforeAutospacing="0" w:after="0" w:afterAutospacing="0"/>
              <w:ind w:firstLine="567"/>
              <w:jc w:val="both"/>
              <w:textAlignment w:val="baseline"/>
            </w:pPr>
            <w:r w:rsidRPr="00FD0699">
              <w:t>На вимогу НКРЕКП Оператор ГРМ протягом 10 робочих днів зобов’язаний подати до НКРЕКП документи, визначені цим пунктом. У разі ненадання Оператором ГРМ таких документів НКРЕКП для встановлення річного розміру нормативних втрат/витрат газу застосовує пункт 6.9 цієї глави</w:t>
            </w:r>
          </w:p>
        </w:tc>
      </w:tr>
      <w:tr w:rsidR="00ED19B6" w:rsidRPr="008A11BB" w:rsidTr="00ED19B6">
        <w:tc>
          <w:tcPr>
            <w:tcW w:w="7564" w:type="dxa"/>
          </w:tcPr>
          <w:p w:rsidR="00910165" w:rsidRDefault="00012D7C" w:rsidP="008A11BB">
            <w:pPr>
              <w:spacing w:line="240" w:lineRule="auto"/>
              <w:ind w:firstLine="709"/>
              <w:jc w:val="both"/>
              <w:rPr>
                <w:rFonts w:ascii="Times New Roman" w:hAnsi="Times New Roman" w:cs="Times New Roman"/>
                <w:color w:val="000000" w:themeColor="text1"/>
                <w:sz w:val="24"/>
                <w:szCs w:val="24"/>
              </w:rPr>
            </w:pPr>
            <w:r w:rsidRPr="008A11BB">
              <w:rPr>
                <w:rFonts w:ascii="Times New Roman" w:hAnsi="Times New Roman" w:cs="Times New Roman"/>
                <w:color w:val="000000" w:themeColor="text1"/>
                <w:sz w:val="24"/>
                <w:szCs w:val="24"/>
              </w:rPr>
              <w:t xml:space="preserve">6.10. </w:t>
            </w:r>
            <w:r w:rsidR="0032734A" w:rsidRPr="0032734A">
              <w:rPr>
                <w:rFonts w:ascii="Times New Roman" w:hAnsi="Times New Roman" w:cs="Times New Roman"/>
                <w:color w:val="000000" w:themeColor="text1"/>
                <w:sz w:val="24"/>
                <w:szCs w:val="24"/>
              </w:rPr>
              <w:t xml:space="preserve">НКРЕКП при встановленні розмірів нормативних </w:t>
            </w:r>
            <w:r w:rsidR="0032734A" w:rsidRPr="0032734A">
              <w:rPr>
                <w:rFonts w:ascii="Times New Roman" w:hAnsi="Times New Roman" w:cs="Times New Roman"/>
                <w:color w:val="000000" w:themeColor="text1"/>
                <w:sz w:val="24"/>
                <w:szCs w:val="24"/>
              </w:rPr>
              <w:lastRenderedPageBreak/>
              <w:t xml:space="preserve">втрат/витрат природного газу на наступний планований період враховує, що обсяг нормативних втрат/витрат природного газу на наступний період не може перевищувати </w:t>
            </w:r>
            <w:r w:rsidR="0032734A" w:rsidRPr="0032734A">
              <w:rPr>
                <w:rFonts w:ascii="Times New Roman" w:hAnsi="Times New Roman" w:cs="Times New Roman"/>
                <w:b/>
                <w:strike/>
                <w:color w:val="000000" w:themeColor="text1"/>
                <w:sz w:val="24"/>
                <w:szCs w:val="24"/>
              </w:rPr>
              <w:t>середньоарифметичне значення обсягів фактичних втрат/витрат газу за останні повних п’ять календарних років, у межах місць провадження господарської діяльності відповідного Оператора ГРМ (крім випадків збільшення території місць провадження господарської діяльності)</w:t>
            </w:r>
            <w:r w:rsidR="0032734A">
              <w:rPr>
                <w:rFonts w:ascii="Times New Roman" w:hAnsi="Times New Roman" w:cs="Times New Roman"/>
                <w:color w:val="000000" w:themeColor="text1"/>
                <w:sz w:val="24"/>
                <w:szCs w:val="24"/>
              </w:rPr>
              <w:t>.</w:t>
            </w:r>
          </w:p>
          <w:p w:rsidR="0032734A" w:rsidRPr="008A11BB" w:rsidRDefault="0032734A" w:rsidP="008A11BB">
            <w:pPr>
              <w:spacing w:line="240" w:lineRule="auto"/>
              <w:ind w:firstLine="709"/>
              <w:jc w:val="both"/>
              <w:rPr>
                <w:rFonts w:ascii="Times New Roman" w:hAnsi="Times New Roman" w:cs="Times New Roman"/>
                <w:color w:val="000000" w:themeColor="text1"/>
                <w:sz w:val="24"/>
                <w:szCs w:val="24"/>
              </w:rPr>
            </w:pPr>
            <w:r>
              <w:rPr>
                <w:rFonts w:ascii="Times New Roman" w:eastAsia="Times New Roman" w:hAnsi="Times New Roman" w:cs="Times New Roman"/>
                <w:b/>
                <w:color w:val="000000" w:themeColor="text1"/>
                <w:sz w:val="24"/>
                <w:szCs w:val="24"/>
              </w:rPr>
              <w:t xml:space="preserve">Положення </w:t>
            </w:r>
            <w:r w:rsidRPr="008A11BB">
              <w:rPr>
                <w:rFonts w:ascii="Times New Roman" w:eastAsia="Times New Roman" w:hAnsi="Times New Roman" w:cs="Times New Roman"/>
                <w:b/>
                <w:color w:val="000000" w:themeColor="text1"/>
                <w:sz w:val="24"/>
                <w:szCs w:val="24"/>
              </w:rPr>
              <w:t>відсутн</w:t>
            </w:r>
            <w:r>
              <w:rPr>
                <w:rFonts w:ascii="Times New Roman" w:eastAsia="Times New Roman" w:hAnsi="Times New Roman" w:cs="Times New Roman"/>
                <w:b/>
                <w:color w:val="000000" w:themeColor="text1"/>
                <w:sz w:val="24"/>
                <w:szCs w:val="24"/>
              </w:rPr>
              <w:t>є.</w:t>
            </w:r>
          </w:p>
        </w:tc>
        <w:tc>
          <w:tcPr>
            <w:tcW w:w="7564" w:type="dxa"/>
          </w:tcPr>
          <w:p w:rsidR="0032734A" w:rsidRPr="0032734A" w:rsidRDefault="00012D7C" w:rsidP="0032734A">
            <w:pPr>
              <w:spacing w:line="240" w:lineRule="auto"/>
              <w:ind w:firstLine="709"/>
              <w:jc w:val="both"/>
              <w:rPr>
                <w:rFonts w:ascii="Times New Roman" w:hAnsi="Times New Roman" w:cs="Times New Roman"/>
                <w:b/>
                <w:color w:val="000000" w:themeColor="text1"/>
                <w:sz w:val="24"/>
                <w:szCs w:val="24"/>
              </w:rPr>
            </w:pPr>
            <w:r w:rsidRPr="008A11BB">
              <w:rPr>
                <w:rFonts w:ascii="Times New Roman" w:hAnsi="Times New Roman" w:cs="Times New Roman"/>
                <w:color w:val="000000" w:themeColor="text1"/>
                <w:sz w:val="24"/>
                <w:szCs w:val="24"/>
              </w:rPr>
              <w:lastRenderedPageBreak/>
              <w:t xml:space="preserve">6.10. </w:t>
            </w:r>
            <w:r w:rsidR="0032734A" w:rsidRPr="0032734A">
              <w:rPr>
                <w:rFonts w:ascii="Times New Roman" w:hAnsi="Times New Roman" w:cs="Times New Roman"/>
                <w:color w:val="000000" w:themeColor="text1"/>
                <w:sz w:val="24"/>
                <w:szCs w:val="24"/>
              </w:rPr>
              <w:t xml:space="preserve">НКРЕКП при встановленні розмірів нормативних </w:t>
            </w:r>
            <w:r w:rsidR="0032734A" w:rsidRPr="0032734A">
              <w:rPr>
                <w:rFonts w:ascii="Times New Roman" w:hAnsi="Times New Roman" w:cs="Times New Roman"/>
                <w:color w:val="000000" w:themeColor="text1"/>
                <w:sz w:val="24"/>
                <w:szCs w:val="24"/>
              </w:rPr>
              <w:lastRenderedPageBreak/>
              <w:t xml:space="preserve">втрат/витрат природного газу на наступний планований період враховує, що обсяг нормативних втрат/витрат природного газу на наступний період не може перевищувати </w:t>
            </w:r>
            <w:r w:rsidR="0032734A" w:rsidRPr="0032734A">
              <w:rPr>
                <w:rFonts w:ascii="Times New Roman" w:hAnsi="Times New Roman" w:cs="Times New Roman"/>
                <w:b/>
                <w:color w:val="000000" w:themeColor="text1"/>
                <w:sz w:val="24"/>
                <w:szCs w:val="24"/>
              </w:rPr>
              <w:t>значення фактичних втрат/витрат газу у межах місць провадження господарської діяльності відповідного Оператора ГРМ, яке є найменшим з таких значень:</w:t>
            </w:r>
          </w:p>
          <w:p w:rsidR="0032734A" w:rsidRPr="0032734A" w:rsidRDefault="0032734A" w:rsidP="0032734A">
            <w:pPr>
              <w:spacing w:line="240" w:lineRule="auto"/>
              <w:ind w:firstLine="709"/>
              <w:jc w:val="both"/>
              <w:rPr>
                <w:rFonts w:ascii="Times New Roman" w:hAnsi="Times New Roman" w:cs="Times New Roman"/>
                <w:b/>
                <w:color w:val="000000" w:themeColor="text1"/>
                <w:sz w:val="24"/>
                <w:szCs w:val="24"/>
              </w:rPr>
            </w:pPr>
            <w:r w:rsidRPr="0032734A">
              <w:rPr>
                <w:rFonts w:ascii="Times New Roman" w:hAnsi="Times New Roman" w:cs="Times New Roman"/>
                <w:b/>
                <w:color w:val="000000" w:themeColor="text1"/>
                <w:sz w:val="24"/>
                <w:szCs w:val="24"/>
              </w:rPr>
              <w:t>обсягу фактичних втрат/витрат газу за попередній рік;</w:t>
            </w:r>
          </w:p>
          <w:p w:rsidR="0032734A" w:rsidRPr="0032734A" w:rsidRDefault="0032734A" w:rsidP="0032734A">
            <w:pPr>
              <w:spacing w:line="240" w:lineRule="auto"/>
              <w:ind w:firstLine="709"/>
              <w:jc w:val="both"/>
              <w:rPr>
                <w:rFonts w:ascii="Times New Roman" w:hAnsi="Times New Roman" w:cs="Times New Roman"/>
                <w:b/>
                <w:color w:val="000000" w:themeColor="text1"/>
                <w:sz w:val="24"/>
                <w:szCs w:val="24"/>
              </w:rPr>
            </w:pPr>
            <w:r w:rsidRPr="0032734A">
              <w:rPr>
                <w:rFonts w:ascii="Times New Roman" w:hAnsi="Times New Roman" w:cs="Times New Roman"/>
                <w:b/>
                <w:color w:val="000000" w:themeColor="text1"/>
                <w:sz w:val="24"/>
                <w:szCs w:val="24"/>
              </w:rPr>
              <w:t>середньоарифметичного обсягу фактичних втрат/витрат газу за останні повних п’ять календарних років.</w:t>
            </w:r>
          </w:p>
          <w:p w:rsidR="00910165" w:rsidRPr="0032734A" w:rsidRDefault="0032734A" w:rsidP="0032734A">
            <w:pPr>
              <w:spacing w:line="240" w:lineRule="auto"/>
              <w:ind w:firstLine="709"/>
              <w:jc w:val="both"/>
              <w:rPr>
                <w:rFonts w:ascii="Times New Roman" w:hAnsi="Times New Roman" w:cs="Times New Roman"/>
                <w:b/>
                <w:color w:val="000000" w:themeColor="text1"/>
                <w:sz w:val="24"/>
                <w:szCs w:val="24"/>
              </w:rPr>
            </w:pPr>
            <w:r w:rsidRPr="0032734A">
              <w:rPr>
                <w:rFonts w:ascii="Times New Roman" w:hAnsi="Times New Roman" w:cs="Times New Roman"/>
                <w:b/>
                <w:color w:val="000000" w:themeColor="text1"/>
                <w:sz w:val="24"/>
                <w:szCs w:val="24"/>
              </w:rPr>
              <w:t>У випадках збільшення території місць провадження господарської діяльності враховуються обсяги фактичних втрат/витрат газу в газорозподільних мережах на територіях місць провадження господарської діяльності з розподілу природного газу, які було збільшено у відповідного Оператора ГРМ.</w:t>
            </w:r>
          </w:p>
        </w:tc>
      </w:tr>
      <w:tr w:rsidR="00346367" w:rsidRPr="008A11BB" w:rsidTr="00ED19B6">
        <w:tc>
          <w:tcPr>
            <w:tcW w:w="7564" w:type="dxa"/>
          </w:tcPr>
          <w:p w:rsidR="00346367" w:rsidRPr="0074618B" w:rsidRDefault="0032734A" w:rsidP="0032734A">
            <w:pPr>
              <w:spacing w:line="240" w:lineRule="auto"/>
              <w:ind w:firstLine="709"/>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lastRenderedPageBreak/>
              <w:t xml:space="preserve">Положення </w:t>
            </w:r>
            <w:r w:rsidRPr="008A11BB">
              <w:rPr>
                <w:rFonts w:ascii="Times New Roman" w:eastAsia="Times New Roman" w:hAnsi="Times New Roman" w:cs="Times New Roman"/>
                <w:b/>
                <w:color w:val="000000" w:themeColor="text1"/>
                <w:sz w:val="24"/>
                <w:szCs w:val="24"/>
              </w:rPr>
              <w:t>відсутн</w:t>
            </w:r>
            <w:r>
              <w:rPr>
                <w:rFonts w:ascii="Times New Roman" w:eastAsia="Times New Roman" w:hAnsi="Times New Roman" w:cs="Times New Roman"/>
                <w:b/>
                <w:color w:val="000000" w:themeColor="text1"/>
                <w:sz w:val="24"/>
                <w:szCs w:val="24"/>
              </w:rPr>
              <w:t>є.</w:t>
            </w:r>
          </w:p>
        </w:tc>
        <w:tc>
          <w:tcPr>
            <w:tcW w:w="7564" w:type="dxa"/>
          </w:tcPr>
          <w:p w:rsidR="0032734A" w:rsidRPr="0032734A" w:rsidRDefault="0032734A" w:rsidP="0032734A">
            <w:pPr>
              <w:spacing w:line="240" w:lineRule="auto"/>
              <w:ind w:firstLine="709"/>
              <w:jc w:val="both"/>
              <w:rPr>
                <w:rFonts w:ascii="Times New Roman" w:hAnsi="Times New Roman" w:cs="Times New Roman"/>
                <w:color w:val="000000" w:themeColor="text1"/>
                <w:sz w:val="24"/>
                <w:szCs w:val="24"/>
              </w:rPr>
            </w:pPr>
            <w:r w:rsidRPr="0032734A">
              <w:rPr>
                <w:rFonts w:ascii="Times New Roman" w:hAnsi="Times New Roman" w:cs="Times New Roman"/>
                <w:color w:val="000000" w:themeColor="text1"/>
                <w:sz w:val="24"/>
                <w:szCs w:val="24"/>
              </w:rPr>
              <w:t>6.11. За результатами моніторингу або перевірки дотримання оператором газорозподільних систем ліцензійних умов з розподілу природного газу, розгляду рекомендацій органів державної влади або інших органів, утворених при таких органах державної влади,  з питань вжиття заходів із попередження або врегулювання наслідків кризової ситуації на ринку природного газу НКРЕКП має право переглянути встановлені нормативні втрати/витрати природного газу на окремий період (до його завершення).</w:t>
            </w:r>
          </w:p>
          <w:p w:rsidR="0032734A" w:rsidRPr="0032734A" w:rsidRDefault="0032734A" w:rsidP="0032734A">
            <w:pPr>
              <w:spacing w:line="240" w:lineRule="auto"/>
              <w:ind w:firstLine="709"/>
              <w:jc w:val="both"/>
              <w:rPr>
                <w:rFonts w:ascii="Times New Roman" w:hAnsi="Times New Roman" w:cs="Times New Roman"/>
                <w:color w:val="000000" w:themeColor="text1"/>
                <w:sz w:val="24"/>
                <w:szCs w:val="24"/>
              </w:rPr>
            </w:pPr>
            <w:r w:rsidRPr="0032734A">
              <w:rPr>
                <w:rFonts w:ascii="Times New Roman" w:hAnsi="Times New Roman" w:cs="Times New Roman"/>
                <w:color w:val="000000" w:themeColor="text1"/>
                <w:sz w:val="24"/>
                <w:szCs w:val="24"/>
              </w:rPr>
              <w:t>Перегляд встановлених нормативних втрат/витрат природного газу в сторону збільшення здійснюється, якщо виконуються такі умови:</w:t>
            </w:r>
          </w:p>
          <w:p w:rsidR="0032734A" w:rsidRPr="0032734A" w:rsidRDefault="0032734A" w:rsidP="0032734A">
            <w:pPr>
              <w:spacing w:line="240" w:lineRule="auto"/>
              <w:ind w:firstLine="709"/>
              <w:jc w:val="both"/>
              <w:rPr>
                <w:rFonts w:ascii="Times New Roman" w:hAnsi="Times New Roman" w:cs="Times New Roman"/>
                <w:color w:val="000000" w:themeColor="text1"/>
                <w:sz w:val="24"/>
                <w:szCs w:val="24"/>
              </w:rPr>
            </w:pPr>
            <w:r w:rsidRPr="0032734A">
              <w:rPr>
                <w:rFonts w:ascii="Times New Roman" w:hAnsi="Times New Roman" w:cs="Times New Roman"/>
                <w:color w:val="000000" w:themeColor="text1"/>
                <w:sz w:val="24"/>
                <w:szCs w:val="24"/>
              </w:rPr>
              <w:t>у першому півріччі поточного періоду оператор газорозподільних систем використав не менше ніж 70</w:t>
            </w:r>
            <w:r w:rsidR="00AF63FB">
              <w:rPr>
                <w:rFonts w:ascii="Times New Roman" w:hAnsi="Times New Roman" w:cs="Times New Roman"/>
                <w:color w:val="000000" w:themeColor="text1"/>
                <w:sz w:val="24"/>
                <w:szCs w:val="24"/>
              </w:rPr>
              <w:t> </w:t>
            </w:r>
            <w:r w:rsidRPr="0032734A">
              <w:rPr>
                <w:rFonts w:ascii="Times New Roman" w:hAnsi="Times New Roman" w:cs="Times New Roman"/>
                <w:color w:val="000000" w:themeColor="text1"/>
                <w:sz w:val="24"/>
                <w:szCs w:val="24"/>
              </w:rPr>
              <w:t>% встановлених обсягів нормативних втрат/витрат природного газу;</w:t>
            </w:r>
          </w:p>
          <w:p w:rsidR="0032734A" w:rsidRPr="0032734A" w:rsidRDefault="0032734A" w:rsidP="0032734A">
            <w:pPr>
              <w:spacing w:line="240" w:lineRule="auto"/>
              <w:ind w:firstLine="709"/>
              <w:jc w:val="both"/>
              <w:rPr>
                <w:rFonts w:ascii="Times New Roman" w:hAnsi="Times New Roman" w:cs="Times New Roman"/>
                <w:color w:val="000000" w:themeColor="text1"/>
                <w:sz w:val="24"/>
                <w:szCs w:val="24"/>
              </w:rPr>
            </w:pPr>
            <w:r w:rsidRPr="0032734A">
              <w:rPr>
                <w:rFonts w:ascii="Times New Roman" w:hAnsi="Times New Roman" w:cs="Times New Roman"/>
                <w:color w:val="000000" w:themeColor="text1"/>
                <w:sz w:val="24"/>
                <w:szCs w:val="24"/>
              </w:rPr>
              <w:t>оператор газорозподільних систем звернувся до НКРЕКП з належним обґрунтуванням щодо причин зростання обсягів фактичних втрат і витрат природного газу у порівнянні з нормативними втратами/витратами природного газ, встановленими у поточному періоді;</w:t>
            </w:r>
          </w:p>
          <w:p w:rsidR="0032734A" w:rsidRPr="0032734A" w:rsidRDefault="0032734A" w:rsidP="0032734A">
            <w:pPr>
              <w:spacing w:line="240" w:lineRule="auto"/>
              <w:ind w:firstLine="709"/>
              <w:jc w:val="both"/>
              <w:rPr>
                <w:rFonts w:ascii="Times New Roman" w:hAnsi="Times New Roman" w:cs="Times New Roman"/>
                <w:color w:val="000000" w:themeColor="text1"/>
                <w:sz w:val="24"/>
                <w:szCs w:val="24"/>
              </w:rPr>
            </w:pPr>
            <w:r w:rsidRPr="0032734A">
              <w:rPr>
                <w:rFonts w:ascii="Times New Roman" w:hAnsi="Times New Roman" w:cs="Times New Roman"/>
                <w:color w:val="000000" w:themeColor="text1"/>
                <w:sz w:val="24"/>
                <w:szCs w:val="24"/>
              </w:rPr>
              <w:lastRenderedPageBreak/>
              <w:t>збільшення обсягів нормативних втрат/витрат природного газу не потребує перегляду тарифу на послуги розподілу природного газу в сторону збільшення.</w:t>
            </w:r>
          </w:p>
          <w:p w:rsidR="0032734A" w:rsidRPr="0032734A" w:rsidRDefault="0032734A" w:rsidP="0032734A">
            <w:pPr>
              <w:spacing w:line="240" w:lineRule="auto"/>
              <w:ind w:firstLine="709"/>
              <w:jc w:val="both"/>
              <w:rPr>
                <w:rFonts w:ascii="Times New Roman" w:hAnsi="Times New Roman" w:cs="Times New Roman"/>
                <w:color w:val="000000" w:themeColor="text1"/>
                <w:sz w:val="24"/>
                <w:szCs w:val="24"/>
              </w:rPr>
            </w:pPr>
            <w:r w:rsidRPr="0032734A">
              <w:rPr>
                <w:rFonts w:ascii="Times New Roman" w:hAnsi="Times New Roman" w:cs="Times New Roman"/>
                <w:color w:val="000000" w:themeColor="text1"/>
                <w:sz w:val="24"/>
                <w:szCs w:val="24"/>
              </w:rPr>
              <w:t>Якщо за результатами перевірки дотримання оператором газорозподільних систем ліцензійних умов з розподілу природного газу за попередній період встановлено економію витрат, пов’язаних з використанням природного газу на нормативні та виробничо-технологічні втрати/витрати в обсягах менших ніж затверджені НКРЕКП, або наявність додатково отриманого доходу від здійснення діяльності з розподілу природного газу, Оператор ГРМ (за погодженням НКРЕКП) направляє суму такої економії для закупівлі обсягів нормативних та виробничо-технологічних втрат/витрат природного газу у періоді та на обсяги, на які НКРЕКП збільшено нормативні втрати/витрати природного газу.</w:t>
            </w:r>
          </w:p>
          <w:p w:rsidR="0032734A" w:rsidRPr="0032734A" w:rsidRDefault="0032734A" w:rsidP="0032734A">
            <w:pPr>
              <w:spacing w:line="240" w:lineRule="auto"/>
              <w:ind w:firstLine="709"/>
              <w:jc w:val="both"/>
              <w:rPr>
                <w:rFonts w:ascii="Times New Roman" w:hAnsi="Times New Roman" w:cs="Times New Roman"/>
                <w:color w:val="000000" w:themeColor="text1"/>
                <w:sz w:val="24"/>
                <w:szCs w:val="24"/>
              </w:rPr>
            </w:pPr>
            <w:r w:rsidRPr="0032734A">
              <w:rPr>
                <w:rFonts w:ascii="Times New Roman" w:hAnsi="Times New Roman" w:cs="Times New Roman"/>
                <w:color w:val="000000" w:themeColor="text1"/>
                <w:sz w:val="24"/>
                <w:szCs w:val="24"/>
              </w:rPr>
              <w:t>Обсяг нормативних втрат/витрат природного газу може бути збільшений НКРЕКП у поточному періоді відповідно до цього пункту не більше ніж до найбільшого значення обсягів, визначених пунктом 6.10 цієї Методики. При цьому при застосуванні пункту 6.10 цієї Методики для цілей цього пункту застосовуються періоди, які визначались при попередньому встановленні НКРЕКП нормативних втрат/витрат природного газу.</w:t>
            </w:r>
          </w:p>
          <w:p w:rsidR="00346367" w:rsidRPr="008A11BB" w:rsidRDefault="0032734A" w:rsidP="0032734A">
            <w:pPr>
              <w:spacing w:line="240" w:lineRule="auto"/>
              <w:ind w:firstLine="709"/>
              <w:jc w:val="both"/>
              <w:rPr>
                <w:rFonts w:ascii="Times New Roman" w:hAnsi="Times New Roman" w:cs="Times New Roman"/>
                <w:color w:val="000000" w:themeColor="text1"/>
                <w:sz w:val="24"/>
                <w:szCs w:val="24"/>
              </w:rPr>
            </w:pPr>
            <w:r w:rsidRPr="0032734A">
              <w:rPr>
                <w:rFonts w:ascii="Times New Roman" w:hAnsi="Times New Roman" w:cs="Times New Roman"/>
                <w:color w:val="000000" w:themeColor="text1"/>
                <w:sz w:val="24"/>
                <w:szCs w:val="24"/>
              </w:rPr>
              <w:t>Дія цього пункту не поширюється на обсяги нормативних втрат/витрат природного газу, які були встановлені НКРЕКП без застосування обмежень щодо найменших значень, визначених пунктом 6.10 цієї Методики</w:t>
            </w:r>
            <w:r>
              <w:rPr>
                <w:rFonts w:ascii="Times New Roman" w:hAnsi="Times New Roman" w:cs="Times New Roman"/>
                <w:color w:val="000000" w:themeColor="text1"/>
                <w:sz w:val="24"/>
                <w:szCs w:val="24"/>
              </w:rPr>
              <w:t>.</w:t>
            </w:r>
          </w:p>
        </w:tc>
      </w:tr>
      <w:tr w:rsidR="00346367" w:rsidRPr="008A11BB" w:rsidTr="00ED19B6">
        <w:tc>
          <w:tcPr>
            <w:tcW w:w="7564" w:type="dxa"/>
          </w:tcPr>
          <w:p w:rsidR="00346367" w:rsidRPr="008A11BB" w:rsidRDefault="005D7316" w:rsidP="008A11BB">
            <w:pPr>
              <w:spacing w:line="240" w:lineRule="auto"/>
              <w:ind w:firstLine="709"/>
              <w:jc w:val="both"/>
              <w:rPr>
                <w:rFonts w:ascii="Times New Roman" w:hAnsi="Times New Roman" w:cs="Times New Roman"/>
                <w:color w:val="000000" w:themeColor="text1"/>
                <w:sz w:val="24"/>
                <w:szCs w:val="24"/>
              </w:rPr>
            </w:pPr>
            <w:r w:rsidRPr="005D7316">
              <w:rPr>
                <w:rFonts w:ascii="Times New Roman" w:hAnsi="Times New Roman" w:cs="Times New Roman"/>
                <w:color w:val="000000" w:themeColor="text1"/>
                <w:sz w:val="24"/>
                <w:szCs w:val="24"/>
              </w:rPr>
              <w:lastRenderedPageBreak/>
              <w:t>6.11. Щороку до 25 лютого Оператори ГРМ подають до НКРЕКП звітну інформацію щодо технічного стану газорозподільної системи станом на початок року згідно з додатками 46-48 до цієї Методики</w:t>
            </w:r>
            <w:r w:rsidR="001D2ED9">
              <w:rPr>
                <w:rFonts w:ascii="Times New Roman" w:hAnsi="Times New Roman" w:cs="Times New Roman"/>
                <w:color w:val="000000" w:themeColor="text1"/>
                <w:sz w:val="24"/>
                <w:szCs w:val="24"/>
              </w:rPr>
              <w:t>.</w:t>
            </w:r>
          </w:p>
        </w:tc>
        <w:tc>
          <w:tcPr>
            <w:tcW w:w="7564" w:type="dxa"/>
          </w:tcPr>
          <w:p w:rsidR="00346367" w:rsidRPr="008A11BB" w:rsidRDefault="005D7316" w:rsidP="008A11BB">
            <w:pPr>
              <w:spacing w:line="240" w:lineRule="auto"/>
              <w:ind w:firstLine="709"/>
              <w:jc w:val="both"/>
              <w:rPr>
                <w:rFonts w:ascii="Times New Roman" w:hAnsi="Times New Roman" w:cs="Times New Roman"/>
                <w:color w:val="000000" w:themeColor="text1"/>
                <w:sz w:val="24"/>
                <w:szCs w:val="24"/>
              </w:rPr>
            </w:pPr>
            <w:r w:rsidRPr="005D7316">
              <w:rPr>
                <w:rFonts w:ascii="Times New Roman" w:hAnsi="Times New Roman" w:cs="Times New Roman"/>
                <w:b/>
                <w:color w:val="000000" w:themeColor="text1"/>
                <w:sz w:val="24"/>
                <w:szCs w:val="24"/>
              </w:rPr>
              <w:t>6.12</w:t>
            </w:r>
            <w:r w:rsidRPr="005D7316">
              <w:rPr>
                <w:rFonts w:ascii="Times New Roman" w:hAnsi="Times New Roman" w:cs="Times New Roman"/>
                <w:color w:val="000000" w:themeColor="text1"/>
                <w:sz w:val="24"/>
                <w:szCs w:val="24"/>
              </w:rPr>
              <w:t>. Щороку до 25 лютого Оператори ГРМ подають до НКРЕКП звітну інформацію щодо технічного стану газорозподільної системи станом на початок року згідно з додатками 46-48 до цієї Методики</w:t>
            </w:r>
            <w:r w:rsidR="001D2ED9">
              <w:rPr>
                <w:rFonts w:ascii="Times New Roman" w:hAnsi="Times New Roman" w:cs="Times New Roman"/>
                <w:color w:val="000000" w:themeColor="text1"/>
                <w:sz w:val="24"/>
                <w:szCs w:val="24"/>
              </w:rPr>
              <w:t>.</w:t>
            </w:r>
          </w:p>
        </w:tc>
      </w:tr>
    </w:tbl>
    <w:p w:rsidR="00910165" w:rsidRPr="008A11BB" w:rsidRDefault="00910165" w:rsidP="008A11BB">
      <w:pPr>
        <w:spacing w:after="0" w:line="240" w:lineRule="auto"/>
        <w:rPr>
          <w:rFonts w:ascii="Times New Roman" w:eastAsia="Times New Roman" w:hAnsi="Times New Roman" w:cs="Times New Roman"/>
          <w:b/>
          <w:bCs/>
          <w:color w:val="000000"/>
          <w:sz w:val="24"/>
          <w:szCs w:val="24"/>
        </w:rPr>
      </w:pPr>
      <w:bookmarkStart w:id="0" w:name="_GoBack"/>
      <w:bookmarkEnd w:id="0"/>
    </w:p>
    <w:sectPr w:rsidR="00910165" w:rsidRPr="008A11BB" w:rsidSect="00DA2AC6">
      <w:footerReference w:type="default" r:id="rId6"/>
      <w:pgSz w:w="16838" w:h="11906" w:orient="landscape"/>
      <w:pgMar w:top="1134" w:right="850" w:bottom="1418" w:left="85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0A09" w:rsidRDefault="00EE0A09" w:rsidP="00C24EEB">
      <w:pPr>
        <w:spacing w:after="0" w:line="240" w:lineRule="auto"/>
      </w:pPr>
      <w:r>
        <w:separator/>
      </w:r>
    </w:p>
  </w:endnote>
  <w:endnote w:type="continuationSeparator" w:id="0">
    <w:p w:rsidR="00EE0A09" w:rsidRDefault="00EE0A09" w:rsidP="00C24E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72505"/>
      <w:docPartObj>
        <w:docPartGallery w:val="Page Numbers (Bottom of Page)"/>
        <w:docPartUnique/>
      </w:docPartObj>
    </w:sdtPr>
    <w:sdtEndPr/>
    <w:sdtContent>
      <w:p w:rsidR="00C24EEB" w:rsidRDefault="00414566">
        <w:pPr>
          <w:pStyle w:val="a7"/>
          <w:jc w:val="right"/>
        </w:pPr>
        <w:r>
          <w:fldChar w:fldCharType="begin"/>
        </w:r>
        <w:r w:rsidR="00C24EEB">
          <w:instrText>PAGE   \* MERGEFORMAT</w:instrText>
        </w:r>
        <w:r>
          <w:fldChar w:fldCharType="separate"/>
        </w:r>
        <w:r w:rsidR="00910165">
          <w:rPr>
            <w:noProof/>
          </w:rPr>
          <w:t>4</w:t>
        </w:r>
        <w:r>
          <w:fldChar w:fldCharType="end"/>
        </w:r>
      </w:p>
    </w:sdtContent>
  </w:sdt>
  <w:p w:rsidR="00C24EEB" w:rsidRDefault="00C24EE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0A09" w:rsidRDefault="00EE0A09" w:rsidP="00C24EEB">
      <w:pPr>
        <w:spacing w:after="0" w:line="240" w:lineRule="auto"/>
      </w:pPr>
      <w:r>
        <w:separator/>
      </w:r>
    </w:p>
  </w:footnote>
  <w:footnote w:type="continuationSeparator" w:id="0">
    <w:p w:rsidR="00EE0A09" w:rsidRDefault="00EE0A09" w:rsidP="00C24EE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C04DE"/>
    <w:rsid w:val="00012D7C"/>
    <w:rsid w:val="00036AA4"/>
    <w:rsid w:val="00047134"/>
    <w:rsid w:val="00063088"/>
    <w:rsid w:val="00082CB1"/>
    <w:rsid w:val="000A36AE"/>
    <w:rsid w:val="000A512C"/>
    <w:rsid w:val="000C04DE"/>
    <w:rsid w:val="001016BD"/>
    <w:rsid w:val="00125869"/>
    <w:rsid w:val="00147EC0"/>
    <w:rsid w:val="001A3639"/>
    <w:rsid w:val="001C0914"/>
    <w:rsid w:val="001D2ED9"/>
    <w:rsid w:val="00211F06"/>
    <w:rsid w:val="00212480"/>
    <w:rsid w:val="00231724"/>
    <w:rsid w:val="002522C5"/>
    <w:rsid w:val="00260DFD"/>
    <w:rsid w:val="00272BD8"/>
    <w:rsid w:val="00274F2E"/>
    <w:rsid w:val="00283D58"/>
    <w:rsid w:val="002E498B"/>
    <w:rsid w:val="002F0892"/>
    <w:rsid w:val="0030166B"/>
    <w:rsid w:val="00316BA2"/>
    <w:rsid w:val="0032734A"/>
    <w:rsid w:val="00331417"/>
    <w:rsid w:val="00346367"/>
    <w:rsid w:val="00356F27"/>
    <w:rsid w:val="00357AE4"/>
    <w:rsid w:val="003A5CE3"/>
    <w:rsid w:val="003B1F75"/>
    <w:rsid w:val="00402203"/>
    <w:rsid w:val="004057C9"/>
    <w:rsid w:val="00405984"/>
    <w:rsid w:val="00414566"/>
    <w:rsid w:val="00420C2B"/>
    <w:rsid w:val="00422F21"/>
    <w:rsid w:val="004565D3"/>
    <w:rsid w:val="0047565F"/>
    <w:rsid w:val="004824DF"/>
    <w:rsid w:val="004A0E03"/>
    <w:rsid w:val="004B3BF5"/>
    <w:rsid w:val="004F37B6"/>
    <w:rsid w:val="00503489"/>
    <w:rsid w:val="00527563"/>
    <w:rsid w:val="0053082B"/>
    <w:rsid w:val="0056452B"/>
    <w:rsid w:val="005A2ECE"/>
    <w:rsid w:val="005A6B92"/>
    <w:rsid w:val="005D7316"/>
    <w:rsid w:val="00600105"/>
    <w:rsid w:val="006528D2"/>
    <w:rsid w:val="00663D85"/>
    <w:rsid w:val="0068294B"/>
    <w:rsid w:val="006B6535"/>
    <w:rsid w:val="006E41CC"/>
    <w:rsid w:val="006E45DA"/>
    <w:rsid w:val="0074618B"/>
    <w:rsid w:val="00770C34"/>
    <w:rsid w:val="00771EF7"/>
    <w:rsid w:val="0078296D"/>
    <w:rsid w:val="007B4790"/>
    <w:rsid w:val="007C2486"/>
    <w:rsid w:val="00836BB9"/>
    <w:rsid w:val="008A11BB"/>
    <w:rsid w:val="008B5F29"/>
    <w:rsid w:val="008D7E0F"/>
    <w:rsid w:val="00910165"/>
    <w:rsid w:val="009372D8"/>
    <w:rsid w:val="00976C3B"/>
    <w:rsid w:val="009D4461"/>
    <w:rsid w:val="00A02F89"/>
    <w:rsid w:val="00A03204"/>
    <w:rsid w:val="00A51DD6"/>
    <w:rsid w:val="00A6250F"/>
    <w:rsid w:val="00A83B96"/>
    <w:rsid w:val="00A96938"/>
    <w:rsid w:val="00AE67F1"/>
    <w:rsid w:val="00AF2B6A"/>
    <w:rsid w:val="00AF63FB"/>
    <w:rsid w:val="00B203B3"/>
    <w:rsid w:val="00BA6D5C"/>
    <w:rsid w:val="00BC110C"/>
    <w:rsid w:val="00BC4A82"/>
    <w:rsid w:val="00BC72BA"/>
    <w:rsid w:val="00BD6FCF"/>
    <w:rsid w:val="00C24EEB"/>
    <w:rsid w:val="00C36233"/>
    <w:rsid w:val="00C50845"/>
    <w:rsid w:val="00C63FDD"/>
    <w:rsid w:val="00C74DAB"/>
    <w:rsid w:val="00CD48EB"/>
    <w:rsid w:val="00CF083D"/>
    <w:rsid w:val="00CF17AC"/>
    <w:rsid w:val="00D30967"/>
    <w:rsid w:val="00D34802"/>
    <w:rsid w:val="00D4635D"/>
    <w:rsid w:val="00D63653"/>
    <w:rsid w:val="00D86447"/>
    <w:rsid w:val="00DA2AC6"/>
    <w:rsid w:val="00DB0B27"/>
    <w:rsid w:val="00DB716D"/>
    <w:rsid w:val="00E0217A"/>
    <w:rsid w:val="00E04550"/>
    <w:rsid w:val="00E1087A"/>
    <w:rsid w:val="00E57B04"/>
    <w:rsid w:val="00E8139B"/>
    <w:rsid w:val="00EA1EDF"/>
    <w:rsid w:val="00EB0495"/>
    <w:rsid w:val="00EB37FE"/>
    <w:rsid w:val="00EC693E"/>
    <w:rsid w:val="00ED19B6"/>
    <w:rsid w:val="00ED7EDD"/>
    <w:rsid w:val="00EE0A09"/>
    <w:rsid w:val="00EF625A"/>
    <w:rsid w:val="00F51617"/>
    <w:rsid w:val="00F85499"/>
    <w:rsid w:val="00FD06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D7BC8B-D7B4-43F3-878F-75BB34C95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D19B6"/>
    <w:pPr>
      <w:spacing w:line="256" w:lineRule="auto"/>
    </w:pPr>
    <w:rPr>
      <w:rFonts w:ascii="Calibri" w:eastAsia="Calibri" w:hAnsi="Calibri" w:cs="Calibri"/>
      <w:lang w:eastAsia="uk-UA"/>
    </w:rPr>
  </w:style>
  <w:style w:type="paragraph" w:styleId="3">
    <w:name w:val="heading 3"/>
    <w:basedOn w:val="a"/>
    <w:next w:val="a"/>
    <w:link w:val="30"/>
    <w:uiPriority w:val="9"/>
    <w:semiHidden/>
    <w:unhideWhenUsed/>
    <w:qFormat/>
    <w:rsid w:val="00A96938"/>
    <w:pPr>
      <w:keepNext/>
      <w:keepLines/>
      <w:spacing w:before="160" w:after="80" w:line="276" w:lineRule="auto"/>
      <w:outlineLvl w:val="2"/>
    </w:pPr>
    <w:rPr>
      <w:rFonts w:eastAsiaTheme="majorEastAsia" w:cstheme="majorBidi"/>
      <w:color w:val="2F5496" w:themeColor="accent1" w:themeShade="BF"/>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D19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47565F"/>
    <w:rPr>
      <w:color w:val="0563C1" w:themeColor="hyperlink"/>
      <w:u w:val="single"/>
    </w:rPr>
  </w:style>
  <w:style w:type="paragraph" w:customStyle="1" w:styleId="rvps2">
    <w:name w:val="rvps2"/>
    <w:basedOn w:val="a"/>
    <w:rsid w:val="00D34802"/>
    <w:pPr>
      <w:spacing w:before="100" w:beforeAutospacing="1" w:after="100" w:afterAutospacing="1" w:line="240" w:lineRule="auto"/>
    </w:pPr>
    <w:rPr>
      <w:rFonts w:ascii="Times New Roman" w:hAnsi="Times New Roman" w:cs="Times New Roman"/>
      <w:sz w:val="24"/>
      <w:szCs w:val="24"/>
    </w:rPr>
  </w:style>
  <w:style w:type="character" w:customStyle="1" w:styleId="30">
    <w:name w:val="Заголовок 3 Знак"/>
    <w:basedOn w:val="a0"/>
    <w:link w:val="3"/>
    <w:uiPriority w:val="9"/>
    <w:semiHidden/>
    <w:rsid w:val="00A96938"/>
    <w:rPr>
      <w:rFonts w:ascii="Calibri" w:eastAsiaTheme="majorEastAsia" w:hAnsi="Calibri" w:cstheme="majorBidi"/>
      <w:color w:val="2F5496" w:themeColor="accent1" w:themeShade="BF"/>
      <w:sz w:val="28"/>
      <w:szCs w:val="28"/>
    </w:rPr>
  </w:style>
  <w:style w:type="paragraph" w:styleId="a5">
    <w:name w:val="header"/>
    <w:basedOn w:val="a"/>
    <w:link w:val="a6"/>
    <w:uiPriority w:val="99"/>
    <w:unhideWhenUsed/>
    <w:rsid w:val="00C24EEB"/>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C24EEB"/>
    <w:rPr>
      <w:rFonts w:ascii="Calibri" w:eastAsia="Calibri" w:hAnsi="Calibri" w:cs="Calibri"/>
      <w:lang w:eastAsia="uk-UA"/>
    </w:rPr>
  </w:style>
  <w:style w:type="paragraph" w:styleId="a7">
    <w:name w:val="footer"/>
    <w:basedOn w:val="a"/>
    <w:link w:val="a8"/>
    <w:uiPriority w:val="99"/>
    <w:unhideWhenUsed/>
    <w:rsid w:val="00C24EEB"/>
    <w:pPr>
      <w:tabs>
        <w:tab w:val="center" w:pos="4819"/>
        <w:tab w:val="right" w:pos="9639"/>
      </w:tabs>
      <w:spacing w:after="0" w:line="240" w:lineRule="auto"/>
    </w:pPr>
  </w:style>
  <w:style w:type="character" w:customStyle="1" w:styleId="a8">
    <w:name w:val="Нижній колонтитул Знак"/>
    <w:basedOn w:val="a0"/>
    <w:link w:val="a7"/>
    <w:uiPriority w:val="99"/>
    <w:rsid w:val="00C24EEB"/>
    <w:rPr>
      <w:rFonts w:ascii="Calibri" w:eastAsia="Calibri" w:hAnsi="Calibri" w:cs="Calibri"/>
      <w:lang w:eastAsia="uk-UA"/>
    </w:rPr>
  </w:style>
  <w:style w:type="character" w:customStyle="1" w:styleId="rvts23">
    <w:name w:val="rvts23"/>
    <w:basedOn w:val="a0"/>
    <w:rsid w:val="00274F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377">
      <w:bodyDiv w:val="1"/>
      <w:marLeft w:val="0"/>
      <w:marRight w:val="0"/>
      <w:marTop w:val="0"/>
      <w:marBottom w:val="0"/>
      <w:divBdr>
        <w:top w:val="none" w:sz="0" w:space="0" w:color="auto"/>
        <w:left w:val="none" w:sz="0" w:space="0" w:color="auto"/>
        <w:bottom w:val="none" w:sz="0" w:space="0" w:color="auto"/>
        <w:right w:val="none" w:sz="0" w:space="0" w:color="auto"/>
      </w:divBdr>
    </w:div>
    <w:div w:id="85197465">
      <w:bodyDiv w:val="1"/>
      <w:marLeft w:val="0"/>
      <w:marRight w:val="0"/>
      <w:marTop w:val="0"/>
      <w:marBottom w:val="0"/>
      <w:divBdr>
        <w:top w:val="none" w:sz="0" w:space="0" w:color="auto"/>
        <w:left w:val="none" w:sz="0" w:space="0" w:color="auto"/>
        <w:bottom w:val="none" w:sz="0" w:space="0" w:color="auto"/>
        <w:right w:val="none" w:sz="0" w:space="0" w:color="auto"/>
      </w:divBdr>
    </w:div>
    <w:div w:id="287513260">
      <w:bodyDiv w:val="1"/>
      <w:marLeft w:val="0"/>
      <w:marRight w:val="0"/>
      <w:marTop w:val="0"/>
      <w:marBottom w:val="0"/>
      <w:divBdr>
        <w:top w:val="none" w:sz="0" w:space="0" w:color="auto"/>
        <w:left w:val="none" w:sz="0" w:space="0" w:color="auto"/>
        <w:bottom w:val="none" w:sz="0" w:space="0" w:color="auto"/>
        <w:right w:val="none" w:sz="0" w:space="0" w:color="auto"/>
      </w:divBdr>
    </w:div>
    <w:div w:id="488250880">
      <w:bodyDiv w:val="1"/>
      <w:marLeft w:val="0"/>
      <w:marRight w:val="0"/>
      <w:marTop w:val="0"/>
      <w:marBottom w:val="0"/>
      <w:divBdr>
        <w:top w:val="none" w:sz="0" w:space="0" w:color="auto"/>
        <w:left w:val="none" w:sz="0" w:space="0" w:color="auto"/>
        <w:bottom w:val="none" w:sz="0" w:space="0" w:color="auto"/>
        <w:right w:val="none" w:sz="0" w:space="0" w:color="auto"/>
      </w:divBdr>
    </w:div>
    <w:div w:id="493109483">
      <w:bodyDiv w:val="1"/>
      <w:marLeft w:val="0"/>
      <w:marRight w:val="0"/>
      <w:marTop w:val="0"/>
      <w:marBottom w:val="0"/>
      <w:divBdr>
        <w:top w:val="none" w:sz="0" w:space="0" w:color="auto"/>
        <w:left w:val="none" w:sz="0" w:space="0" w:color="auto"/>
        <w:bottom w:val="none" w:sz="0" w:space="0" w:color="auto"/>
        <w:right w:val="none" w:sz="0" w:space="0" w:color="auto"/>
      </w:divBdr>
    </w:div>
    <w:div w:id="594827627">
      <w:bodyDiv w:val="1"/>
      <w:marLeft w:val="0"/>
      <w:marRight w:val="0"/>
      <w:marTop w:val="0"/>
      <w:marBottom w:val="0"/>
      <w:divBdr>
        <w:top w:val="none" w:sz="0" w:space="0" w:color="auto"/>
        <w:left w:val="none" w:sz="0" w:space="0" w:color="auto"/>
        <w:bottom w:val="none" w:sz="0" w:space="0" w:color="auto"/>
        <w:right w:val="none" w:sz="0" w:space="0" w:color="auto"/>
      </w:divBdr>
    </w:div>
    <w:div w:id="626670144">
      <w:bodyDiv w:val="1"/>
      <w:marLeft w:val="0"/>
      <w:marRight w:val="0"/>
      <w:marTop w:val="0"/>
      <w:marBottom w:val="0"/>
      <w:divBdr>
        <w:top w:val="none" w:sz="0" w:space="0" w:color="auto"/>
        <w:left w:val="none" w:sz="0" w:space="0" w:color="auto"/>
        <w:bottom w:val="none" w:sz="0" w:space="0" w:color="auto"/>
        <w:right w:val="none" w:sz="0" w:space="0" w:color="auto"/>
      </w:divBdr>
    </w:div>
    <w:div w:id="796026392">
      <w:bodyDiv w:val="1"/>
      <w:marLeft w:val="0"/>
      <w:marRight w:val="0"/>
      <w:marTop w:val="0"/>
      <w:marBottom w:val="0"/>
      <w:divBdr>
        <w:top w:val="none" w:sz="0" w:space="0" w:color="auto"/>
        <w:left w:val="none" w:sz="0" w:space="0" w:color="auto"/>
        <w:bottom w:val="none" w:sz="0" w:space="0" w:color="auto"/>
        <w:right w:val="none" w:sz="0" w:space="0" w:color="auto"/>
      </w:divBdr>
    </w:div>
    <w:div w:id="862674469">
      <w:bodyDiv w:val="1"/>
      <w:marLeft w:val="0"/>
      <w:marRight w:val="0"/>
      <w:marTop w:val="0"/>
      <w:marBottom w:val="0"/>
      <w:divBdr>
        <w:top w:val="none" w:sz="0" w:space="0" w:color="auto"/>
        <w:left w:val="none" w:sz="0" w:space="0" w:color="auto"/>
        <w:bottom w:val="none" w:sz="0" w:space="0" w:color="auto"/>
        <w:right w:val="none" w:sz="0" w:space="0" w:color="auto"/>
      </w:divBdr>
    </w:div>
    <w:div w:id="877469618">
      <w:bodyDiv w:val="1"/>
      <w:marLeft w:val="0"/>
      <w:marRight w:val="0"/>
      <w:marTop w:val="0"/>
      <w:marBottom w:val="0"/>
      <w:divBdr>
        <w:top w:val="none" w:sz="0" w:space="0" w:color="auto"/>
        <w:left w:val="none" w:sz="0" w:space="0" w:color="auto"/>
        <w:bottom w:val="none" w:sz="0" w:space="0" w:color="auto"/>
        <w:right w:val="none" w:sz="0" w:space="0" w:color="auto"/>
      </w:divBdr>
    </w:div>
    <w:div w:id="948124544">
      <w:bodyDiv w:val="1"/>
      <w:marLeft w:val="0"/>
      <w:marRight w:val="0"/>
      <w:marTop w:val="0"/>
      <w:marBottom w:val="0"/>
      <w:divBdr>
        <w:top w:val="none" w:sz="0" w:space="0" w:color="auto"/>
        <w:left w:val="none" w:sz="0" w:space="0" w:color="auto"/>
        <w:bottom w:val="none" w:sz="0" w:space="0" w:color="auto"/>
        <w:right w:val="none" w:sz="0" w:space="0" w:color="auto"/>
      </w:divBdr>
    </w:div>
    <w:div w:id="1026057994">
      <w:bodyDiv w:val="1"/>
      <w:marLeft w:val="0"/>
      <w:marRight w:val="0"/>
      <w:marTop w:val="0"/>
      <w:marBottom w:val="0"/>
      <w:divBdr>
        <w:top w:val="none" w:sz="0" w:space="0" w:color="auto"/>
        <w:left w:val="none" w:sz="0" w:space="0" w:color="auto"/>
        <w:bottom w:val="none" w:sz="0" w:space="0" w:color="auto"/>
        <w:right w:val="none" w:sz="0" w:space="0" w:color="auto"/>
      </w:divBdr>
    </w:div>
    <w:div w:id="1164783194">
      <w:bodyDiv w:val="1"/>
      <w:marLeft w:val="0"/>
      <w:marRight w:val="0"/>
      <w:marTop w:val="0"/>
      <w:marBottom w:val="0"/>
      <w:divBdr>
        <w:top w:val="none" w:sz="0" w:space="0" w:color="auto"/>
        <w:left w:val="none" w:sz="0" w:space="0" w:color="auto"/>
        <w:bottom w:val="none" w:sz="0" w:space="0" w:color="auto"/>
        <w:right w:val="none" w:sz="0" w:space="0" w:color="auto"/>
      </w:divBdr>
    </w:div>
    <w:div w:id="1306280662">
      <w:bodyDiv w:val="1"/>
      <w:marLeft w:val="0"/>
      <w:marRight w:val="0"/>
      <w:marTop w:val="0"/>
      <w:marBottom w:val="0"/>
      <w:divBdr>
        <w:top w:val="none" w:sz="0" w:space="0" w:color="auto"/>
        <w:left w:val="none" w:sz="0" w:space="0" w:color="auto"/>
        <w:bottom w:val="none" w:sz="0" w:space="0" w:color="auto"/>
        <w:right w:val="none" w:sz="0" w:space="0" w:color="auto"/>
      </w:divBdr>
    </w:div>
    <w:div w:id="1542551205">
      <w:bodyDiv w:val="1"/>
      <w:marLeft w:val="0"/>
      <w:marRight w:val="0"/>
      <w:marTop w:val="0"/>
      <w:marBottom w:val="0"/>
      <w:divBdr>
        <w:top w:val="none" w:sz="0" w:space="0" w:color="auto"/>
        <w:left w:val="none" w:sz="0" w:space="0" w:color="auto"/>
        <w:bottom w:val="none" w:sz="0" w:space="0" w:color="auto"/>
        <w:right w:val="none" w:sz="0" w:space="0" w:color="auto"/>
      </w:divBdr>
    </w:div>
    <w:div w:id="1851799517">
      <w:bodyDiv w:val="1"/>
      <w:marLeft w:val="0"/>
      <w:marRight w:val="0"/>
      <w:marTop w:val="0"/>
      <w:marBottom w:val="0"/>
      <w:divBdr>
        <w:top w:val="none" w:sz="0" w:space="0" w:color="auto"/>
        <w:left w:val="none" w:sz="0" w:space="0" w:color="auto"/>
        <w:bottom w:val="none" w:sz="0" w:space="0" w:color="auto"/>
        <w:right w:val="none" w:sz="0" w:space="0" w:color="auto"/>
      </w:divBdr>
    </w:div>
    <w:div w:id="1879464020">
      <w:bodyDiv w:val="1"/>
      <w:marLeft w:val="0"/>
      <w:marRight w:val="0"/>
      <w:marTop w:val="0"/>
      <w:marBottom w:val="0"/>
      <w:divBdr>
        <w:top w:val="none" w:sz="0" w:space="0" w:color="auto"/>
        <w:left w:val="none" w:sz="0" w:space="0" w:color="auto"/>
        <w:bottom w:val="none" w:sz="0" w:space="0" w:color="auto"/>
        <w:right w:val="none" w:sz="0" w:space="0" w:color="auto"/>
      </w:divBdr>
    </w:div>
    <w:div w:id="1956866280">
      <w:bodyDiv w:val="1"/>
      <w:marLeft w:val="0"/>
      <w:marRight w:val="0"/>
      <w:marTop w:val="0"/>
      <w:marBottom w:val="0"/>
      <w:divBdr>
        <w:top w:val="none" w:sz="0" w:space="0" w:color="auto"/>
        <w:left w:val="none" w:sz="0" w:space="0" w:color="auto"/>
        <w:bottom w:val="none" w:sz="0" w:space="0" w:color="auto"/>
        <w:right w:val="none" w:sz="0" w:space="0" w:color="auto"/>
      </w:divBdr>
    </w:div>
    <w:div w:id="2122071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3</Pages>
  <Words>4390</Words>
  <Characters>2503</Characters>
  <Application>Microsoft Office Word</Application>
  <DocSecurity>0</DocSecurity>
  <Lines>20</Lines>
  <Paragraphs>13</Paragraphs>
  <ScaleCrop>false</ScaleCrop>
  <HeadingPairs>
    <vt:vector size="2" baseType="variant">
      <vt:variant>
        <vt:lpstr>Назва</vt:lpstr>
      </vt:variant>
      <vt:variant>
        <vt:i4>1</vt:i4>
      </vt:variant>
    </vt:vector>
  </HeadingPairs>
  <TitlesOfParts>
    <vt:vector size="1" baseType="lpstr">
      <vt:lpstr/>
    </vt:vector>
  </TitlesOfParts>
  <Company>NERC</Company>
  <LinksUpToDate>false</LinksUpToDate>
  <CharactersWithSpaces>6880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 Кулаковська</dc:creator>
  <cp:lastModifiedBy>Євген Трикіша</cp:lastModifiedBy>
  <cp:revision>28</cp:revision>
  <dcterms:created xsi:type="dcterms:W3CDTF">2025-06-02T07:30:00Z</dcterms:created>
  <dcterms:modified xsi:type="dcterms:W3CDTF">2026-06-02T12:45:00Z</dcterms:modified>
</cp:coreProperties>
</file>