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0733" w:rsidRPr="00651365" w:rsidRDefault="00690733" w:rsidP="00D10E75">
      <w:pPr>
        <w:ind w:right="-30"/>
        <w:jc w:val="center"/>
        <w:rPr>
          <w:rFonts w:ascii="Times New Roman" w:hAnsi="Times New Roman" w:cs="Times New Roman"/>
          <w:b/>
          <w:sz w:val="28"/>
          <w:szCs w:val="28"/>
        </w:rPr>
      </w:pPr>
      <w:r w:rsidRPr="00651365">
        <w:rPr>
          <w:rFonts w:ascii="Times New Roman" w:hAnsi="Times New Roman" w:cs="Times New Roman"/>
          <w:b/>
          <w:sz w:val="28"/>
          <w:szCs w:val="28"/>
        </w:rPr>
        <w:t xml:space="preserve">Порівняльна таблиця до проєкту постанови НКРЕКП </w:t>
      </w:r>
      <w:r w:rsidR="00BE735D">
        <w:rPr>
          <w:rFonts w:ascii="Times New Roman" w:hAnsi="Times New Roman" w:cs="Times New Roman"/>
          <w:b/>
          <w:sz w:val="28"/>
          <w:szCs w:val="28"/>
        </w:rPr>
        <w:t>«</w:t>
      </w:r>
      <w:r w:rsidR="00D012B4" w:rsidRPr="00651365">
        <w:rPr>
          <w:rFonts w:ascii="Times New Roman" w:hAnsi="Times New Roman" w:cs="Times New Roman"/>
          <w:b/>
          <w:sz w:val="28"/>
          <w:szCs w:val="28"/>
        </w:rPr>
        <w:t xml:space="preserve">Про </w:t>
      </w:r>
      <w:r w:rsidR="00281235" w:rsidRPr="00651365">
        <w:rPr>
          <w:rFonts w:ascii="Times New Roman" w:hAnsi="Times New Roman" w:cs="Times New Roman"/>
          <w:b/>
          <w:sz w:val="28"/>
          <w:szCs w:val="28"/>
        </w:rPr>
        <w:t>затвердження Змін</w:t>
      </w:r>
      <w:r w:rsidR="00D012B4" w:rsidRPr="00651365">
        <w:rPr>
          <w:rFonts w:ascii="Times New Roman" w:hAnsi="Times New Roman" w:cs="Times New Roman"/>
          <w:b/>
          <w:sz w:val="28"/>
          <w:szCs w:val="28"/>
        </w:rPr>
        <w:t xml:space="preserve"> до </w:t>
      </w:r>
      <w:r w:rsidR="00D10E75" w:rsidRPr="00651365">
        <w:rPr>
          <w:rFonts w:ascii="Times New Roman" w:hAnsi="Times New Roman" w:cs="Times New Roman"/>
          <w:b/>
          <w:sz w:val="28"/>
          <w:szCs w:val="28"/>
        </w:rPr>
        <w:t>М</w:t>
      </w:r>
      <w:r w:rsidR="00281235" w:rsidRPr="00651365">
        <w:rPr>
          <w:rFonts w:ascii="Times New Roman" w:hAnsi="Times New Roman" w:cs="Times New Roman"/>
          <w:b/>
          <w:sz w:val="28"/>
          <w:szCs w:val="28"/>
        </w:rPr>
        <w:t>етодики</w:t>
      </w:r>
      <w:r w:rsidR="00D10E75" w:rsidRPr="00651365">
        <w:rPr>
          <w:rFonts w:ascii="Times New Roman" w:hAnsi="Times New Roman" w:cs="Times New Roman"/>
          <w:b/>
          <w:sz w:val="28"/>
          <w:szCs w:val="28"/>
        </w:rPr>
        <w:t xml:space="preserve"> (</w:t>
      </w:r>
      <w:r w:rsidR="00281235" w:rsidRPr="00651365">
        <w:rPr>
          <w:rFonts w:ascii="Times New Roman" w:hAnsi="Times New Roman" w:cs="Times New Roman"/>
          <w:b/>
          <w:sz w:val="28"/>
          <w:szCs w:val="28"/>
        </w:rPr>
        <w:t>порядку</w:t>
      </w:r>
      <w:r w:rsidR="00D10E75" w:rsidRPr="00651365">
        <w:rPr>
          <w:rFonts w:ascii="Times New Roman" w:hAnsi="Times New Roman" w:cs="Times New Roman"/>
          <w:b/>
          <w:sz w:val="28"/>
          <w:szCs w:val="28"/>
        </w:rPr>
        <w:t>)</w:t>
      </w:r>
      <w:r w:rsidR="00281235" w:rsidRPr="00651365">
        <w:rPr>
          <w:rFonts w:ascii="Times New Roman" w:hAnsi="Times New Roman" w:cs="Times New Roman"/>
          <w:b/>
          <w:sz w:val="28"/>
          <w:szCs w:val="28"/>
        </w:rPr>
        <w:t xml:space="preserve"> </w:t>
      </w:r>
      <w:r w:rsidR="00D10E75" w:rsidRPr="00651365">
        <w:rPr>
          <w:rFonts w:ascii="Times New Roman" w:hAnsi="Times New Roman" w:cs="Times New Roman"/>
          <w:b/>
          <w:sz w:val="28"/>
          <w:szCs w:val="28"/>
        </w:rPr>
        <w:t>формування плати за приєднання до системи передачі та системи розподілу</w:t>
      </w:r>
      <w:r w:rsidR="00BE735D">
        <w:rPr>
          <w:rFonts w:ascii="Times New Roman" w:hAnsi="Times New Roman" w:cs="Times New Roman"/>
          <w:b/>
          <w:sz w:val="28"/>
          <w:szCs w:val="28"/>
        </w:rPr>
        <w:t>»</w:t>
      </w:r>
    </w:p>
    <w:tbl>
      <w:tblPr>
        <w:tblStyle w:val="a3"/>
        <w:tblW w:w="15877" w:type="dxa"/>
        <w:tblInd w:w="-289" w:type="dxa"/>
        <w:tblLook w:val="04A0" w:firstRow="1" w:lastRow="0" w:firstColumn="1" w:lastColumn="0" w:noHBand="0" w:noVBand="1"/>
      </w:tblPr>
      <w:tblGrid>
        <w:gridCol w:w="7938"/>
        <w:gridCol w:w="7939"/>
      </w:tblGrid>
      <w:tr w:rsidR="00651365" w:rsidRPr="00651365" w:rsidTr="003C613E">
        <w:tc>
          <w:tcPr>
            <w:tcW w:w="7938" w:type="dxa"/>
          </w:tcPr>
          <w:p w:rsidR="00690733" w:rsidRPr="00651365" w:rsidRDefault="00690733" w:rsidP="002C2E91">
            <w:pPr>
              <w:pStyle w:val="3"/>
              <w:ind w:firstLine="606"/>
              <w:jc w:val="center"/>
              <w:outlineLvl w:val="2"/>
              <w:rPr>
                <w:rFonts w:eastAsia="Times New Roman"/>
                <w:b w:val="0"/>
                <w:sz w:val="28"/>
              </w:rPr>
            </w:pPr>
            <w:r w:rsidRPr="00651365">
              <w:rPr>
                <w:rFonts w:eastAsia="Times New Roman"/>
                <w:b w:val="0"/>
                <w:sz w:val="28"/>
              </w:rPr>
              <w:t>Положення діючої редакції</w:t>
            </w:r>
          </w:p>
        </w:tc>
        <w:tc>
          <w:tcPr>
            <w:tcW w:w="7939" w:type="dxa"/>
          </w:tcPr>
          <w:p w:rsidR="00690733" w:rsidRPr="00651365" w:rsidRDefault="00690733" w:rsidP="00ED5210">
            <w:pPr>
              <w:pStyle w:val="3"/>
              <w:jc w:val="center"/>
              <w:outlineLvl w:val="2"/>
              <w:rPr>
                <w:rFonts w:eastAsia="Times New Roman"/>
                <w:b w:val="0"/>
                <w:sz w:val="28"/>
              </w:rPr>
            </w:pPr>
            <w:r w:rsidRPr="00651365">
              <w:rPr>
                <w:rFonts w:eastAsia="Times New Roman"/>
                <w:b w:val="0"/>
                <w:sz w:val="28"/>
              </w:rPr>
              <w:t>Зміст положень проєкту постанови</w:t>
            </w:r>
          </w:p>
        </w:tc>
      </w:tr>
      <w:tr w:rsidR="00651365" w:rsidRPr="00651365" w:rsidTr="00D426BB">
        <w:tc>
          <w:tcPr>
            <w:tcW w:w="15877" w:type="dxa"/>
            <w:gridSpan w:val="2"/>
          </w:tcPr>
          <w:p w:rsidR="00690733" w:rsidRPr="00651365" w:rsidRDefault="00690733" w:rsidP="002C2E91">
            <w:pPr>
              <w:pStyle w:val="3"/>
              <w:ind w:firstLine="606"/>
              <w:jc w:val="center"/>
              <w:outlineLvl w:val="2"/>
              <w:rPr>
                <w:rFonts w:eastAsia="Times New Roman"/>
                <w:sz w:val="28"/>
              </w:rPr>
            </w:pPr>
            <w:r w:rsidRPr="00651365">
              <w:rPr>
                <w:sz w:val="28"/>
                <w:szCs w:val="28"/>
              </w:rPr>
              <w:t>Методика (порядок) формування плати за приєднання до системи передачі та системи розподілу</w:t>
            </w:r>
          </w:p>
        </w:tc>
      </w:tr>
      <w:tr w:rsidR="00651365" w:rsidRPr="00651365" w:rsidTr="00D426BB">
        <w:trPr>
          <w:trHeight w:val="393"/>
        </w:trPr>
        <w:tc>
          <w:tcPr>
            <w:tcW w:w="15877" w:type="dxa"/>
            <w:gridSpan w:val="2"/>
          </w:tcPr>
          <w:p w:rsidR="00A11C96" w:rsidRPr="00651365" w:rsidRDefault="00840040" w:rsidP="002C2E91">
            <w:pPr>
              <w:pStyle w:val="3"/>
              <w:spacing w:before="0" w:beforeAutospacing="0" w:after="0" w:afterAutospacing="0"/>
              <w:ind w:firstLine="606"/>
              <w:jc w:val="center"/>
              <w:outlineLvl w:val="2"/>
              <w:rPr>
                <w:sz w:val="24"/>
                <w:szCs w:val="20"/>
              </w:rPr>
            </w:pPr>
            <w:r w:rsidRPr="00651365">
              <w:rPr>
                <w:sz w:val="24"/>
                <w:szCs w:val="20"/>
              </w:rPr>
              <w:t>1. Загальні положення</w:t>
            </w:r>
          </w:p>
        </w:tc>
      </w:tr>
      <w:tr w:rsidR="00147C1F" w:rsidRPr="00651365" w:rsidTr="003C613E">
        <w:trPr>
          <w:trHeight w:val="708"/>
        </w:trPr>
        <w:tc>
          <w:tcPr>
            <w:tcW w:w="7938" w:type="dxa"/>
          </w:tcPr>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1.4. Оператори систем складають звіт щодо стану надання ними послуг з приєднання за формою, наведеною в додатку 1 до цієї Методики:</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станом на останнє число звітного місяця наростаючим підсумком з початку базового періоду та подають його до НКРЕКП в електронній формі до 10 числа місяця, наступного за звітним (графи 81-118 завершених приєднань мають бути заповнені не пізніше наступного звітного місяця після місяця, в якому завершено надання послуги з приєднання);</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станом на останнє число року (базового періоду) та подають його до НКРЕКП в електронній формі до 01 лютого наступного звітного року.</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Звіт щодо стану надання послуг з приєднання за формою, наведеною в додатку 1 до цієї Методики, у форматі Excel надсилається операторами систем з супроводжувальним листом у форматі .</w:t>
            </w:r>
            <w:proofErr w:type="spellStart"/>
            <w:r w:rsidRPr="00147C1F">
              <w:rPr>
                <w:rFonts w:ascii="Times New Roman" w:eastAsia="Times New Roman" w:hAnsi="Times New Roman" w:cs="Times New Roman"/>
                <w:sz w:val="24"/>
                <w:szCs w:val="24"/>
              </w:rPr>
              <w:t>pdf</w:t>
            </w:r>
            <w:proofErr w:type="spellEnd"/>
            <w:r w:rsidRPr="00147C1F">
              <w:rPr>
                <w:rFonts w:ascii="Times New Roman" w:eastAsia="Times New Roman" w:hAnsi="Times New Roman" w:cs="Times New Roman"/>
                <w:sz w:val="24"/>
                <w:szCs w:val="24"/>
              </w:rPr>
              <w:t xml:space="preserve"> із накладенням кваліфікованого електронного підпису керівника оператора системи на офіційну електронну адресу НКРЕКП, зазначену на офіційному </w:t>
            </w:r>
            <w:proofErr w:type="spellStart"/>
            <w:r w:rsidRPr="00147C1F">
              <w:rPr>
                <w:rFonts w:ascii="Times New Roman" w:eastAsia="Times New Roman" w:hAnsi="Times New Roman" w:cs="Times New Roman"/>
                <w:sz w:val="24"/>
                <w:szCs w:val="24"/>
              </w:rPr>
              <w:t>вебсайті</w:t>
            </w:r>
            <w:proofErr w:type="spellEnd"/>
            <w:r w:rsidRPr="00147C1F">
              <w:rPr>
                <w:rFonts w:ascii="Times New Roman" w:eastAsia="Times New Roman" w:hAnsi="Times New Roman" w:cs="Times New Roman"/>
                <w:sz w:val="24"/>
                <w:szCs w:val="24"/>
              </w:rPr>
              <w:t xml:space="preserve"> НКРЕКП, а також на електронну адресу energo2@nerc.gov.ua.</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У звіті щодо стану надання операторами систем послуг з приєднання відображається інформація про:</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надані послуги з приєднання у звітному місяці;</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триваючі процедури надання послуги з приєднання згідно з чинними технічними умовами;</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відмови у наданні послуги з приєднання;</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заяви про приєднання до мереж операторів систем у звітному місяці (році).</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Оператори систем вносять інформацію до системи моніторингу приєднань у порядку, визначеному цією Методикою, в обсязі, визначеному в додатку 1 до цієї Методики.</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 xml:space="preserve">Система моніторингу приєднань станом на 01 число наступного місяця за звітним автоматично формує наростаючим підсумком з початку базового періоду щомісячний звіт щодо стану надання операторами систем </w:t>
            </w:r>
            <w:r w:rsidRPr="00147C1F">
              <w:rPr>
                <w:rFonts w:ascii="Times New Roman" w:eastAsia="Times New Roman" w:hAnsi="Times New Roman" w:cs="Times New Roman"/>
                <w:sz w:val="24"/>
                <w:szCs w:val="24"/>
              </w:rPr>
              <w:lastRenderedPageBreak/>
              <w:t>послуг з приєднання (графи 81 – 118 завершених приєднань можуть бути скориговані не пізніше наступного звітного місяця після місяця, у якому завершено надання послуги з приєднання).</w:t>
            </w:r>
          </w:p>
          <w:p w:rsid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Система моніторингу приєднань станом на 01 лютого наступного року за звітним автоматично формує звіт щодо стану надання операторами систем послуг з приєднання, до якого вносяться завершені приєднання за звітний рік, що перебувають у системі моніторингу приєднань у статусі «послугу з приєднання надано» (далі – Річний звіт).</w:t>
            </w:r>
          </w:p>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939" w:type="dxa"/>
          </w:tcPr>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z w:val="24"/>
                <w:szCs w:val="24"/>
              </w:rPr>
              <w:lastRenderedPageBreak/>
              <w:t xml:space="preserve">1.4. </w:t>
            </w:r>
            <w:r w:rsidRPr="00147C1F">
              <w:rPr>
                <w:rFonts w:ascii="Times New Roman" w:eastAsia="Times New Roman" w:hAnsi="Times New Roman" w:cs="Times New Roman"/>
                <w:strike/>
                <w:sz w:val="24"/>
                <w:szCs w:val="24"/>
              </w:rPr>
              <w:t>Оператори систем складають звіт щодо стану надання ними послуг з приєднання за формою, наведеною в додатку 1 до цієї Методики:</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станом на останнє число звітного місяця наростаючим підсумком з початку базового періоду та подають його до НКРЕКП в електронній формі до 10 числа місяця, наступного за звітним (графи 81-118 завершених приєднань мають бути заповнені не пізніше наступного звітного місяця після місяця, в якому завершено надання послуги з приєднання);</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станом на останнє число року (базового періоду) та подають його до НКРЕКП в електронній формі до 01 лютого наступного звітного року.</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Звіт щодо стану надання послуг з приєднання за формою, наведеною в додатку 1 до цієї Методики, у форматі Excel надсилається операторами систем з супроводжувальним листом у форматі .</w:t>
            </w:r>
            <w:proofErr w:type="spellStart"/>
            <w:r w:rsidRPr="00147C1F">
              <w:rPr>
                <w:rFonts w:ascii="Times New Roman" w:eastAsia="Times New Roman" w:hAnsi="Times New Roman" w:cs="Times New Roman"/>
                <w:strike/>
                <w:sz w:val="24"/>
                <w:szCs w:val="24"/>
              </w:rPr>
              <w:t>pdf</w:t>
            </w:r>
            <w:proofErr w:type="spellEnd"/>
            <w:r w:rsidRPr="00147C1F">
              <w:rPr>
                <w:rFonts w:ascii="Times New Roman" w:eastAsia="Times New Roman" w:hAnsi="Times New Roman" w:cs="Times New Roman"/>
                <w:strike/>
                <w:sz w:val="24"/>
                <w:szCs w:val="24"/>
              </w:rPr>
              <w:t xml:space="preserve"> із накладенням кваліфікованого електронного підпису керівника оператора системи на офіційну електронну адресу НКРЕКП, зазначену на офіційному </w:t>
            </w:r>
            <w:proofErr w:type="spellStart"/>
            <w:r w:rsidRPr="00147C1F">
              <w:rPr>
                <w:rFonts w:ascii="Times New Roman" w:eastAsia="Times New Roman" w:hAnsi="Times New Roman" w:cs="Times New Roman"/>
                <w:strike/>
                <w:sz w:val="24"/>
                <w:szCs w:val="24"/>
              </w:rPr>
              <w:t>вебсайті</w:t>
            </w:r>
            <w:proofErr w:type="spellEnd"/>
            <w:r w:rsidRPr="00147C1F">
              <w:rPr>
                <w:rFonts w:ascii="Times New Roman" w:eastAsia="Times New Roman" w:hAnsi="Times New Roman" w:cs="Times New Roman"/>
                <w:strike/>
                <w:sz w:val="24"/>
                <w:szCs w:val="24"/>
              </w:rPr>
              <w:t xml:space="preserve"> НКРЕКП, а також на електронну адресу energo2@nerc.gov.ua.</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У звіті щодо стану надання операторами систем послуг з приєднання відображається інформація про:</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надані послуги з приєднання у звітному місяці;</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триваючі процедури надання послуги з приєднання згідно з чинними технічними умовами;</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відмови у наданні послуги з приєднання;</w:t>
            </w:r>
          </w:p>
          <w:p w:rsidR="00147C1F" w:rsidRPr="00147C1F" w:rsidRDefault="00147C1F" w:rsidP="00147C1F">
            <w:pPr>
              <w:shd w:val="clear" w:color="auto" w:fill="FFFFFF"/>
              <w:ind w:firstLine="606"/>
              <w:jc w:val="both"/>
              <w:rPr>
                <w:rFonts w:ascii="Times New Roman" w:eastAsia="Times New Roman" w:hAnsi="Times New Roman" w:cs="Times New Roman"/>
                <w:strike/>
                <w:sz w:val="24"/>
                <w:szCs w:val="24"/>
              </w:rPr>
            </w:pPr>
            <w:r w:rsidRPr="00147C1F">
              <w:rPr>
                <w:rFonts w:ascii="Times New Roman" w:eastAsia="Times New Roman" w:hAnsi="Times New Roman" w:cs="Times New Roman"/>
                <w:strike/>
                <w:sz w:val="24"/>
                <w:szCs w:val="24"/>
              </w:rPr>
              <w:t>заяви про приєднання до мереж операторів систем у звітному місяці (році).</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 xml:space="preserve">Оператори систем вносять інформацію </w:t>
            </w:r>
            <w:r w:rsidRPr="00147C1F">
              <w:rPr>
                <w:rFonts w:ascii="Times New Roman" w:eastAsia="Times New Roman" w:hAnsi="Times New Roman" w:cs="Times New Roman"/>
                <w:b/>
                <w:sz w:val="24"/>
                <w:szCs w:val="24"/>
              </w:rPr>
              <w:t xml:space="preserve">щодо стану надання ними послуг з приєднання </w:t>
            </w:r>
            <w:r w:rsidRPr="00147C1F">
              <w:rPr>
                <w:rFonts w:ascii="Times New Roman" w:eastAsia="Times New Roman" w:hAnsi="Times New Roman" w:cs="Times New Roman"/>
                <w:sz w:val="24"/>
                <w:szCs w:val="24"/>
              </w:rPr>
              <w:t>до системи моніторингу приєднань у порядку, визначеному цією Методикою, в обсязі, визначеному в додатку 1 до цієї Методики.</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 xml:space="preserve">Система моніторингу приєднань станом на 01 число наступного місяця за звітним автоматично формує наростаючим підсумком з початку </w:t>
            </w:r>
            <w:r w:rsidRPr="00147C1F">
              <w:rPr>
                <w:rFonts w:ascii="Times New Roman" w:eastAsia="Times New Roman" w:hAnsi="Times New Roman" w:cs="Times New Roman"/>
                <w:sz w:val="24"/>
                <w:szCs w:val="24"/>
              </w:rPr>
              <w:lastRenderedPageBreak/>
              <w:t>базового періоду щомісячний звіт щодо стану надання операторами систем послуг з приєднання (графи 81 – 118 завершених приєднань можуть бути скориговані не пізніше наступного звітного місяця після місяця, у якому завершено надання послуги з приєднання).</w:t>
            </w:r>
          </w:p>
          <w:p w:rsid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Система моніторингу приєднань станом на 01 лютого наступного року за звітним автоматично формує звіт щодо стану надання операторами систем послуг з приєднання, до якого вносяться завершені приєднання за звітний рік, що перебувають у системі моніторингу приєднань у статусі «послугу з приєднання надано» (далі – Річний звіт).</w:t>
            </w:r>
          </w:p>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47C1F" w:rsidRPr="00651365" w:rsidTr="003C613E">
        <w:trPr>
          <w:trHeight w:val="708"/>
        </w:trPr>
        <w:tc>
          <w:tcPr>
            <w:tcW w:w="7938" w:type="dxa"/>
          </w:tcPr>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sidRPr="004B62AF">
              <w:rPr>
                <w:rFonts w:ascii="Times New Roman" w:eastAsia="Times New Roman" w:hAnsi="Times New Roman" w:cs="Times New Roman"/>
                <w:sz w:val="24"/>
                <w:szCs w:val="24"/>
              </w:rPr>
              <w:lastRenderedPageBreak/>
              <w:t>1.7. Плата за стандартне приєднання розраховується згідно з главою 3 цієї Методики.</w:t>
            </w:r>
          </w:p>
          <w:p w:rsidR="00147C1F" w:rsidRPr="00651365" w:rsidRDefault="00147C1F" w:rsidP="00147C1F">
            <w:pPr>
              <w:shd w:val="clear" w:color="auto" w:fill="FFFFFF"/>
              <w:ind w:firstLine="606"/>
              <w:jc w:val="both"/>
              <w:rPr>
                <w:rFonts w:ascii="Times New Roman" w:eastAsia="Times New Roman" w:hAnsi="Times New Roman" w:cs="Times New Roman"/>
                <w:sz w:val="24"/>
                <w:szCs w:val="24"/>
              </w:rPr>
            </w:pPr>
            <w:r w:rsidRPr="004B62AF">
              <w:rPr>
                <w:rFonts w:ascii="Times New Roman" w:eastAsia="Times New Roman" w:hAnsi="Times New Roman" w:cs="Times New Roman"/>
                <w:sz w:val="24"/>
                <w:szCs w:val="24"/>
              </w:rPr>
              <w:t>У випадку приєднання електроустановок замовника за схемою електрозабезпечення І та ІІ категорії надійності електропостачання для визначення відстані, відповідно до якої визначається тип приєднання (стандартне або нестандартне приєднання), приймається сумарна найкоротша відстань по прямій лінії, що сумарно не перевищує 300 метрів від точки приєднання електроустановок замовника до найближчих двох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яких забезпечується замовлена категорія надійності електропостачання електроустановок замовника.</w:t>
            </w:r>
          </w:p>
        </w:tc>
        <w:tc>
          <w:tcPr>
            <w:tcW w:w="7939" w:type="dxa"/>
          </w:tcPr>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sidRPr="004B62AF">
              <w:rPr>
                <w:rFonts w:ascii="Times New Roman" w:eastAsia="Times New Roman" w:hAnsi="Times New Roman" w:cs="Times New Roman"/>
                <w:sz w:val="24"/>
                <w:szCs w:val="24"/>
              </w:rPr>
              <w:t>1.7. Плата за стандартне приєднання розраховується згідно з главою 3 цієї Методики.</w:t>
            </w:r>
          </w:p>
          <w:p w:rsidR="00147C1F" w:rsidRPr="003C613E" w:rsidRDefault="00147C1F" w:rsidP="00147C1F">
            <w:pPr>
              <w:shd w:val="clear" w:color="auto" w:fill="FFFFFF"/>
              <w:ind w:firstLine="606"/>
              <w:jc w:val="both"/>
              <w:rPr>
                <w:rFonts w:ascii="Times New Roman" w:eastAsia="Times New Roman" w:hAnsi="Times New Roman" w:cs="Times New Roman"/>
                <w:strike/>
                <w:sz w:val="24"/>
                <w:szCs w:val="24"/>
              </w:rPr>
            </w:pPr>
            <w:r w:rsidRPr="003C613E">
              <w:rPr>
                <w:rFonts w:ascii="Times New Roman" w:eastAsia="Times New Roman" w:hAnsi="Times New Roman" w:cs="Times New Roman"/>
                <w:strike/>
                <w:sz w:val="24"/>
                <w:szCs w:val="24"/>
              </w:rPr>
              <w:t>У випадку приєднання електроустановок замовника за схемою електрозабезпечення І та ІІ категорії надійності електропостачання для визначення відстані, відповідно до якої визначається тип приєднання (стандартне або нестандартне приєднання), приймається сумарна найкоротша відстань по прямій лінії, що сумарно не перевищує 300 метрів від точки приєднання електроустановок замовника до найближчих двох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яких забезпечується замовлена категорія надійності електропостачання електроустановок замовника.</w:t>
            </w:r>
          </w:p>
        </w:tc>
      </w:tr>
      <w:tr w:rsidR="00147C1F" w:rsidRPr="00651365" w:rsidTr="003C613E">
        <w:trPr>
          <w:trHeight w:val="708"/>
        </w:trPr>
        <w:tc>
          <w:tcPr>
            <w:tcW w:w="7938" w:type="dxa"/>
          </w:tcPr>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1.10. Авторизація в системі моніторингу приєднань здійснюється за допомогою кваліфікованого електронного підпису.</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 xml:space="preserve">Для отримання доступу до системи моніторингу приєднань оператори систем надають до НКРЕКП листом з накладенням кваліфікованого електронного підпису керівника </w:t>
            </w:r>
            <w:bookmarkStart w:id="0" w:name="_Hlk230601263"/>
            <w:r w:rsidRPr="00147C1F">
              <w:rPr>
                <w:rFonts w:ascii="Times New Roman" w:eastAsia="Times New Roman" w:hAnsi="Times New Roman" w:cs="Times New Roman"/>
                <w:sz w:val="24"/>
                <w:szCs w:val="24"/>
              </w:rPr>
              <w:t xml:space="preserve">оператора системи, </w:t>
            </w:r>
            <w:bookmarkEnd w:id="0"/>
            <w:r w:rsidRPr="00147C1F">
              <w:rPr>
                <w:rFonts w:ascii="Times New Roman" w:eastAsia="Times New Roman" w:hAnsi="Times New Roman" w:cs="Times New Roman"/>
                <w:sz w:val="24"/>
                <w:szCs w:val="24"/>
              </w:rPr>
              <w:t>перелік користувачів із зазначенням ПІБ, посади, контактної інформації (електронна пошта, мобільний номер телефону), ролі в системі та файл кваліфікованого сертифіката відкритого ключа.</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lastRenderedPageBreak/>
              <w:t>Для блокування доступу користувача до системи моніторингу приєднань оператор системи повідомляє НКРЕКП листом з накладенням кваліфікованого електронного підпису керівника оператора системи із зазначенням причин блокування та дати початку такого блокування.</w:t>
            </w:r>
          </w:p>
        </w:tc>
        <w:tc>
          <w:tcPr>
            <w:tcW w:w="7939" w:type="dxa"/>
          </w:tcPr>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lastRenderedPageBreak/>
              <w:t>1.10. Авторизація в системі моніторингу приєднань здійснюється за допомогою кваліфікованого електронного підпису.</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t xml:space="preserve">Для отримання доступу до системи моніторингу приєднань оператори систем надають до НКРЕКП листом з накладенням кваліфікованого електронного підпису керівника оператора системи </w:t>
            </w:r>
            <w:bookmarkStart w:id="1" w:name="_Hlk230601229"/>
            <w:r w:rsidRPr="00147C1F">
              <w:rPr>
                <w:rFonts w:ascii="Times New Roman" w:eastAsia="Times New Roman" w:hAnsi="Times New Roman" w:cs="Times New Roman"/>
                <w:b/>
                <w:sz w:val="24"/>
                <w:szCs w:val="24"/>
              </w:rPr>
              <w:t>перелік ІР адрес, з яких буде здійснюватися доступ до системи моніторингу приєднань (не більше двох)</w:t>
            </w:r>
            <w:r w:rsidRPr="00147C1F">
              <w:rPr>
                <w:rFonts w:ascii="Times New Roman" w:eastAsia="Times New Roman" w:hAnsi="Times New Roman" w:cs="Times New Roman"/>
                <w:sz w:val="24"/>
                <w:szCs w:val="24"/>
              </w:rPr>
              <w:t>,</w:t>
            </w:r>
            <w:bookmarkEnd w:id="1"/>
            <w:r w:rsidRPr="00147C1F">
              <w:rPr>
                <w:rFonts w:ascii="Times New Roman" w:eastAsia="Times New Roman" w:hAnsi="Times New Roman" w:cs="Times New Roman"/>
                <w:sz w:val="24"/>
                <w:szCs w:val="24"/>
              </w:rPr>
              <w:t xml:space="preserve"> перелік користувачів із зазначенням ПІБ, посади, контактної інформації (електронна пошта, мобільний номер телефону), ролі в системі та файл кваліфікованого сертифіката відкритого ключа.</w:t>
            </w: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47C1F" w:rsidRDefault="00147C1F" w:rsidP="00147C1F">
            <w:pPr>
              <w:shd w:val="clear" w:color="auto" w:fill="FFFFFF"/>
              <w:ind w:firstLine="606"/>
              <w:jc w:val="both"/>
              <w:rPr>
                <w:rFonts w:ascii="Times New Roman" w:eastAsia="Times New Roman" w:hAnsi="Times New Roman" w:cs="Times New Roman"/>
                <w:sz w:val="24"/>
                <w:szCs w:val="24"/>
              </w:rPr>
            </w:pPr>
            <w:r w:rsidRPr="00147C1F">
              <w:rPr>
                <w:rFonts w:ascii="Times New Roman" w:eastAsia="Times New Roman" w:hAnsi="Times New Roman" w:cs="Times New Roman"/>
                <w:sz w:val="24"/>
                <w:szCs w:val="24"/>
              </w:rPr>
              <w:lastRenderedPageBreak/>
              <w:t>Для блокування доступу користувача до системи моніторингу приєднань оператор системи повідомляє НКРЕКП листом з накладенням кваліфікованого електронного підпису керівника оператора системи із зазначенням причин блокування та дати початку такого блокування.</w:t>
            </w:r>
          </w:p>
        </w:tc>
      </w:tr>
      <w:tr w:rsidR="00147C1F" w:rsidRPr="00651365" w:rsidTr="003C613E">
        <w:trPr>
          <w:trHeight w:val="708"/>
        </w:trPr>
        <w:tc>
          <w:tcPr>
            <w:tcW w:w="7938" w:type="dxa"/>
          </w:tcPr>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lastRenderedPageBreak/>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Дати заяви про приєднання, видачі технічних умов та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Обов'язкові для завантаження документи на вкладках приєднання до системи моніторингу приєднань завантажуються в день внесення відповідної інформації.</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Інша інформація до системи моніторингу приєднань заноситься ОСП/ОСР не пізніше наступного робочого дня з дня настання змін у процедурі надання послуги з приєднання.</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Обов'язковими для завантаження є такі документи на вкладках:</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заява</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rsidR="00147C1F"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ТУ</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(завантажуються технічні умови, розрахунок вартості надання послуги з приєднання, рахунок на оплату вартості надання послуги з приєднання);</w:t>
            </w: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332685" w:rsidRDefault="00147C1F" w:rsidP="00147C1F">
            <w:pPr>
              <w:shd w:val="clear" w:color="auto" w:fill="FFFFFF"/>
              <w:ind w:firstLine="606"/>
              <w:jc w:val="both"/>
              <w:rPr>
                <w:rFonts w:ascii="Times New Roman" w:eastAsia="Times New Roman" w:hAnsi="Times New Roman" w:cs="Times New Roman"/>
                <w:sz w:val="24"/>
                <w:szCs w:val="24"/>
                <w:lang w:val="en-US"/>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завершення приєднання</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(завантажуються повідомлення про надання послуги з приєднання/акт про надання послуги з приєднання);</w:t>
            </w: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Default="00147C1F" w:rsidP="00147C1F">
            <w:pPr>
              <w:shd w:val="clear" w:color="auto" w:fill="FFFFFF"/>
              <w:ind w:firstLine="606"/>
              <w:jc w:val="both"/>
              <w:rPr>
                <w:rFonts w:ascii="Times New Roman" w:eastAsia="Times New Roman" w:hAnsi="Times New Roman" w:cs="Times New Roman"/>
                <w:sz w:val="24"/>
                <w:szCs w:val="24"/>
              </w:rPr>
            </w:pPr>
          </w:p>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завантаження інших документів на інших вкладках є необов'язковим та здійснюється за необхідності.</w:t>
            </w:r>
          </w:p>
        </w:tc>
        <w:tc>
          <w:tcPr>
            <w:tcW w:w="7939" w:type="dxa"/>
          </w:tcPr>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lastRenderedPageBreak/>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AD2AA2">
              <w:rPr>
                <w:rFonts w:ascii="Times New Roman" w:eastAsia="Times New Roman" w:hAnsi="Times New Roman" w:cs="Times New Roman"/>
                <w:strike/>
                <w:sz w:val="24"/>
                <w:szCs w:val="24"/>
              </w:rPr>
              <w:t>Дати</w:t>
            </w:r>
            <w:r w:rsidRPr="001A0E56">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Інформація щодо надходження </w:t>
            </w:r>
            <w:r w:rsidRPr="001A0E56">
              <w:rPr>
                <w:rFonts w:ascii="Times New Roman" w:eastAsia="Times New Roman" w:hAnsi="Times New Roman" w:cs="Times New Roman"/>
                <w:sz w:val="24"/>
                <w:szCs w:val="24"/>
              </w:rPr>
              <w:t>заяви про приєднання, видачі технічних умов та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1A0E56">
              <w:rPr>
                <w:rFonts w:ascii="Times New Roman" w:eastAsia="Times New Roman" w:hAnsi="Times New Roman" w:cs="Times New Roman"/>
                <w:sz w:val="24"/>
                <w:szCs w:val="24"/>
              </w:rPr>
              <w:t>акта</w:t>
            </w:r>
            <w:proofErr w:type="spellEnd"/>
            <w:r w:rsidRPr="001A0E56">
              <w:rPr>
                <w:rFonts w:ascii="Times New Roman" w:eastAsia="Times New Roman" w:hAnsi="Times New Roman" w:cs="Times New Roman"/>
                <w:sz w:val="24"/>
                <w:szCs w:val="24"/>
              </w:rPr>
              <w:t>) про надання послуги з приєднання.</w:t>
            </w:r>
          </w:p>
          <w:p w:rsidR="00147C1F" w:rsidRPr="00210849" w:rsidRDefault="00147C1F" w:rsidP="00147C1F">
            <w:pPr>
              <w:shd w:val="clear" w:color="auto" w:fill="FFFFFF"/>
              <w:ind w:firstLine="606"/>
              <w:jc w:val="both"/>
              <w:rPr>
                <w:rFonts w:ascii="Times New Roman" w:eastAsia="Times New Roman" w:hAnsi="Times New Roman" w:cs="Times New Roman"/>
                <w:b/>
                <w:sz w:val="24"/>
                <w:szCs w:val="24"/>
              </w:rPr>
            </w:pPr>
            <w:r w:rsidRPr="001A0E56">
              <w:rPr>
                <w:rFonts w:ascii="Times New Roman" w:eastAsia="Times New Roman" w:hAnsi="Times New Roman" w:cs="Times New Roman"/>
                <w:sz w:val="24"/>
                <w:szCs w:val="24"/>
              </w:rPr>
              <w:t>Обов'язкові для завантаження документи на вкладках приєднання до системи моніторингу приєднань завантажуються</w:t>
            </w:r>
            <w:r>
              <w:rPr>
                <w:rFonts w:ascii="Times New Roman" w:eastAsia="Times New Roman" w:hAnsi="Times New Roman" w:cs="Times New Roman"/>
                <w:sz w:val="24"/>
                <w:szCs w:val="24"/>
              </w:rPr>
              <w:t xml:space="preserve"> </w:t>
            </w:r>
            <w:r w:rsidRPr="00D16F83">
              <w:rPr>
                <w:rFonts w:ascii="Times New Roman" w:eastAsia="Times New Roman" w:hAnsi="Times New Roman" w:cs="Times New Roman"/>
                <w:b/>
                <w:sz w:val="24"/>
                <w:szCs w:val="24"/>
              </w:rPr>
              <w:t>ОСП/ОСР</w:t>
            </w:r>
            <w:r w:rsidRPr="001A0E56">
              <w:rPr>
                <w:rFonts w:ascii="Times New Roman" w:eastAsia="Times New Roman" w:hAnsi="Times New Roman" w:cs="Times New Roman"/>
                <w:sz w:val="24"/>
                <w:szCs w:val="24"/>
              </w:rPr>
              <w:t xml:space="preserve"> </w:t>
            </w:r>
            <w:r w:rsidR="00CC438A">
              <w:rPr>
                <w:rFonts w:ascii="Times New Roman" w:eastAsia="Times New Roman" w:hAnsi="Times New Roman" w:cs="Times New Roman"/>
                <w:sz w:val="24"/>
                <w:szCs w:val="24"/>
              </w:rPr>
              <w:t>у</w:t>
            </w:r>
            <w:r w:rsidRPr="001A0E56">
              <w:rPr>
                <w:rFonts w:ascii="Times New Roman" w:eastAsia="Times New Roman" w:hAnsi="Times New Roman" w:cs="Times New Roman"/>
                <w:sz w:val="24"/>
                <w:szCs w:val="24"/>
              </w:rPr>
              <w:t xml:space="preserve"> день внесення відповідної інформації</w:t>
            </w:r>
            <w:r>
              <w:rPr>
                <w:rFonts w:ascii="Times New Roman" w:eastAsia="Times New Roman" w:hAnsi="Times New Roman" w:cs="Times New Roman"/>
                <w:b/>
                <w:sz w:val="24"/>
                <w:szCs w:val="24"/>
              </w:rPr>
              <w:t>, яку підтверджують ці документи</w:t>
            </w:r>
            <w:r w:rsidRPr="00210849">
              <w:rPr>
                <w:rFonts w:ascii="Times New Roman" w:eastAsia="Times New Roman" w:hAnsi="Times New Roman" w:cs="Times New Roman"/>
                <w:sz w:val="24"/>
                <w:szCs w:val="24"/>
              </w:rPr>
              <w:t>.</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Інша інформація до системи моніторингу приєднань заноситься ОСП/ОСР не пізніше наступного робочого дня з дня настання змін у процедурі надання послуги з приєднання.</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Обов'язковими для завантаження є такі документи на вкладках:</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заява</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rsidR="00147C1F" w:rsidRPr="00332685"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ТУ</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(завантажуються технічні умови, розрахунок вартості надання послуги з приєднання, рахунок на оплату вартості надання послуги з приєднання</w:t>
            </w:r>
            <w:r>
              <w:rPr>
                <w:rFonts w:ascii="Times New Roman" w:eastAsia="Times New Roman" w:hAnsi="Times New Roman" w:cs="Times New Roman"/>
                <w:sz w:val="24"/>
                <w:szCs w:val="24"/>
              </w:rPr>
              <w:t xml:space="preserve">, </w:t>
            </w:r>
            <w:r w:rsidRPr="003642DF">
              <w:rPr>
                <w:rFonts w:ascii="Times New Roman" w:eastAsia="Times New Roman" w:hAnsi="Times New Roman" w:cs="Times New Roman"/>
                <w:b/>
                <w:sz w:val="24"/>
                <w:szCs w:val="24"/>
              </w:rPr>
              <w:t>рахунок на сплату вартості послуги з комерційного обліку електричної енергії</w:t>
            </w:r>
            <w:r>
              <w:rPr>
                <w:rFonts w:ascii="Times New Roman" w:eastAsia="Times New Roman" w:hAnsi="Times New Roman" w:cs="Times New Roman"/>
                <w:sz w:val="24"/>
                <w:szCs w:val="24"/>
              </w:rPr>
              <w:t xml:space="preserve"> </w:t>
            </w:r>
            <w:r w:rsidRPr="003642DF">
              <w:rPr>
                <w:rFonts w:ascii="Times New Roman" w:eastAsia="Times New Roman" w:hAnsi="Times New Roman" w:cs="Times New Roman"/>
                <w:b/>
                <w:sz w:val="24"/>
                <w:szCs w:val="24"/>
              </w:rPr>
              <w:t>(за наявності),</w:t>
            </w:r>
            <w:r>
              <w:rPr>
                <w:rFonts w:ascii="Times New Roman" w:eastAsia="Times New Roman" w:hAnsi="Times New Roman" w:cs="Times New Roman"/>
                <w:sz w:val="24"/>
                <w:szCs w:val="24"/>
              </w:rPr>
              <w:t xml:space="preserve"> </w:t>
            </w:r>
            <w:r w:rsidRPr="00332685">
              <w:rPr>
                <w:rFonts w:ascii="Times New Roman" w:eastAsia="Times New Roman" w:hAnsi="Times New Roman" w:cs="Times New Roman"/>
                <w:b/>
                <w:sz w:val="24"/>
                <w:szCs w:val="24"/>
              </w:rPr>
              <w:t>вимог</w:t>
            </w:r>
            <w:r>
              <w:rPr>
                <w:rFonts w:ascii="Times New Roman" w:eastAsia="Times New Roman" w:hAnsi="Times New Roman" w:cs="Times New Roman"/>
                <w:b/>
                <w:sz w:val="24"/>
                <w:szCs w:val="24"/>
              </w:rPr>
              <w:t>и (технічні заходи</w:t>
            </w:r>
            <w:r w:rsidRPr="00332685">
              <w:rPr>
                <w:rFonts w:ascii="Times New Roman" w:eastAsia="Times New Roman" w:hAnsi="Times New Roman" w:cs="Times New Roman"/>
                <w:b/>
                <w:sz w:val="24"/>
                <w:szCs w:val="24"/>
              </w:rPr>
              <w:t>) ОСП/інших суб’єктів господарювання, виконання яких необхідне в електричних мережах ОСП/інших суб’єктів господарювання для забезпечення технічної можливості приєднання, які були надані ОСР для включення в технічні умови замовника</w:t>
            </w:r>
            <w:r w:rsidRPr="00332685">
              <w:rPr>
                <w:rFonts w:ascii="Times New Roman" w:eastAsia="Times New Roman" w:hAnsi="Times New Roman" w:cs="Times New Roman"/>
                <w:sz w:val="24"/>
                <w:szCs w:val="24"/>
              </w:rPr>
              <w:t>);</w:t>
            </w:r>
          </w:p>
          <w:p w:rsidR="00147C1F" w:rsidRPr="00BE735D" w:rsidRDefault="00147C1F" w:rsidP="00147C1F">
            <w:pPr>
              <w:shd w:val="clear" w:color="auto" w:fill="FFFFFF"/>
              <w:ind w:firstLine="60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BE735D">
              <w:rPr>
                <w:rFonts w:ascii="Times New Roman" w:eastAsia="Times New Roman" w:hAnsi="Times New Roman" w:cs="Times New Roman"/>
                <w:b/>
                <w:sz w:val="24"/>
                <w:szCs w:val="24"/>
              </w:rPr>
              <w:t>землевідведення</w:t>
            </w:r>
            <w:r>
              <w:rPr>
                <w:rFonts w:ascii="Times New Roman" w:eastAsia="Times New Roman" w:hAnsi="Times New Roman" w:cs="Times New Roman"/>
                <w:b/>
                <w:sz w:val="24"/>
                <w:szCs w:val="24"/>
              </w:rPr>
              <w:t>»</w:t>
            </w:r>
            <w:r w:rsidRPr="00BE735D">
              <w:rPr>
                <w:rFonts w:ascii="Times New Roman" w:eastAsia="Times New Roman" w:hAnsi="Times New Roman" w:cs="Times New Roman"/>
                <w:b/>
                <w:sz w:val="24"/>
                <w:szCs w:val="24"/>
              </w:rPr>
              <w:t xml:space="preserve"> (листи щодо повідомлення замовників про збільшення строку надання послуги з приєднання через затримку </w:t>
            </w:r>
            <w:r w:rsidRPr="00BE735D">
              <w:rPr>
                <w:rFonts w:ascii="Times New Roman" w:eastAsia="Times New Roman" w:hAnsi="Times New Roman" w:cs="Times New Roman"/>
                <w:b/>
                <w:sz w:val="24"/>
                <w:szCs w:val="24"/>
              </w:rPr>
              <w:lastRenderedPageBreak/>
              <w:t>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147C1F" w:rsidRPr="00BE735D" w:rsidRDefault="00147C1F" w:rsidP="00147C1F">
            <w:pPr>
              <w:shd w:val="clear" w:color="auto" w:fill="FFFFFF"/>
              <w:ind w:firstLine="606"/>
              <w:jc w:val="both"/>
              <w:rPr>
                <w:rFonts w:ascii="Times New Roman" w:eastAsia="Times New Roman" w:hAnsi="Times New Roman" w:cs="Times New Roman"/>
                <w:b/>
                <w:sz w:val="24"/>
                <w:szCs w:val="24"/>
              </w:rPr>
            </w:pPr>
            <w:r w:rsidRPr="00BE735D">
              <w:rPr>
                <w:rFonts w:ascii="Times New Roman" w:eastAsia="Times New Roman" w:hAnsi="Times New Roman" w:cs="Times New Roman"/>
                <w:b/>
                <w:sz w:val="24"/>
                <w:szCs w:val="24"/>
              </w:rPr>
              <w:t xml:space="preserve">«стан виконання заходів» (технічні рішення до </w:t>
            </w:r>
            <w:proofErr w:type="spellStart"/>
            <w:r w:rsidRPr="00BE735D">
              <w:rPr>
                <w:rFonts w:ascii="Times New Roman" w:eastAsia="Times New Roman" w:hAnsi="Times New Roman" w:cs="Times New Roman"/>
                <w:b/>
                <w:sz w:val="24"/>
                <w:szCs w:val="24"/>
              </w:rPr>
              <w:t>проєктно</w:t>
            </w:r>
            <w:proofErr w:type="spellEnd"/>
            <w:r w:rsidRPr="00BE735D">
              <w:rPr>
                <w:rFonts w:ascii="Times New Roman" w:eastAsia="Times New Roman" w:hAnsi="Times New Roman" w:cs="Times New Roman"/>
                <w:b/>
                <w:sz w:val="24"/>
                <w:szCs w:val="24"/>
              </w:rPr>
              <w:t>-кошторисної документації, у тому числі розробленої замовником (із зауваженнями чи погодження ПКД без зауважень), звернення замовника щодо направлення звернення щодо розгляду ПКД);</w:t>
            </w:r>
          </w:p>
          <w:p w:rsidR="00147C1F" w:rsidRPr="001A0E56" w:rsidRDefault="00147C1F" w:rsidP="00147C1F">
            <w:pPr>
              <w:shd w:val="clear" w:color="auto" w:fill="FFFFFF"/>
              <w:ind w:firstLine="6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завершення приєднання</w:t>
            </w:r>
            <w:r>
              <w:rPr>
                <w:rFonts w:ascii="Times New Roman" w:eastAsia="Times New Roman" w:hAnsi="Times New Roman" w:cs="Times New Roman"/>
                <w:sz w:val="24"/>
                <w:szCs w:val="24"/>
              </w:rPr>
              <w:t>»</w:t>
            </w:r>
            <w:r w:rsidRPr="001A0E56">
              <w:rPr>
                <w:rFonts w:ascii="Times New Roman" w:eastAsia="Times New Roman" w:hAnsi="Times New Roman" w:cs="Times New Roman"/>
                <w:sz w:val="24"/>
                <w:szCs w:val="24"/>
              </w:rPr>
              <w:t xml:space="preserve"> (завантажуються повідомлення про надання послуги з приєднання/акт про надання послуги з приєднання</w:t>
            </w:r>
            <w:r w:rsidRPr="0044185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паспорт точки розподілу/передачі та заява-приєднання </w:t>
            </w:r>
            <w:r w:rsidRPr="00514FFA">
              <w:rPr>
                <w:rFonts w:ascii="Times New Roman" w:eastAsia="Times New Roman" w:hAnsi="Times New Roman" w:cs="Times New Roman"/>
                <w:b/>
                <w:sz w:val="24"/>
                <w:szCs w:val="24"/>
              </w:rPr>
              <w:t>до розробленого оператором системи розподілу договору споживача про надання послуг з розподілу електричної енергії</w:t>
            </w:r>
            <w:r>
              <w:rPr>
                <w:rFonts w:ascii="Times New Roman" w:eastAsia="Times New Roman" w:hAnsi="Times New Roman" w:cs="Times New Roman"/>
                <w:b/>
                <w:sz w:val="24"/>
                <w:szCs w:val="24"/>
              </w:rPr>
              <w:t xml:space="preserve"> у випадку</w:t>
            </w:r>
            <w:r w:rsidR="004A248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передбаченому пунктом 4.8.3 цього Кодексу,</w:t>
            </w:r>
            <w:r>
              <w:rPr>
                <w:rFonts w:ascii="Times New Roman" w:eastAsia="Times New Roman" w:hAnsi="Times New Roman" w:cs="Times New Roman"/>
                <w:sz w:val="24"/>
                <w:szCs w:val="24"/>
              </w:rPr>
              <w:t xml:space="preserve"> </w:t>
            </w:r>
            <w:r w:rsidRPr="0044185B">
              <w:rPr>
                <w:rFonts w:ascii="Times New Roman" w:eastAsia="Times New Roman" w:hAnsi="Times New Roman" w:cs="Times New Roman"/>
                <w:b/>
                <w:sz w:val="24"/>
                <w:szCs w:val="24"/>
              </w:rPr>
              <w:t>додаткові угоди до договорів про приєднання, у тому числі щодо продовження строків надання послуг з приєднань</w:t>
            </w:r>
            <w:r w:rsidRPr="001A0E56">
              <w:rPr>
                <w:rFonts w:ascii="Times New Roman" w:eastAsia="Times New Roman" w:hAnsi="Times New Roman" w:cs="Times New Roman"/>
                <w:sz w:val="24"/>
                <w:szCs w:val="24"/>
              </w:rPr>
              <w:t>);</w:t>
            </w:r>
          </w:p>
          <w:p w:rsidR="00147C1F" w:rsidRPr="004B62AF" w:rsidRDefault="00147C1F" w:rsidP="00147C1F">
            <w:pPr>
              <w:shd w:val="clear" w:color="auto" w:fill="FFFFFF"/>
              <w:ind w:firstLine="606"/>
              <w:jc w:val="both"/>
              <w:rPr>
                <w:rFonts w:ascii="Times New Roman" w:eastAsia="Times New Roman" w:hAnsi="Times New Roman" w:cs="Times New Roman"/>
                <w:sz w:val="24"/>
                <w:szCs w:val="24"/>
              </w:rPr>
            </w:pPr>
            <w:r w:rsidRPr="001A0E56">
              <w:rPr>
                <w:rFonts w:ascii="Times New Roman" w:eastAsia="Times New Roman" w:hAnsi="Times New Roman" w:cs="Times New Roman"/>
                <w:sz w:val="24"/>
                <w:szCs w:val="24"/>
              </w:rPr>
              <w:t>завантаження інших документів на інших вкладках є необов'язковим та здійснюється за необхідності.</w:t>
            </w:r>
          </w:p>
        </w:tc>
      </w:tr>
      <w:tr w:rsidR="00147C1F" w:rsidRPr="00651365" w:rsidTr="00D426BB">
        <w:trPr>
          <w:trHeight w:val="275"/>
        </w:trPr>
        <w:tc>
          <w:tcPr>
            <w:tcW w:w="15877" w:type="dxa"/>
            <w:gridSpan w:val="2"/>
          </w:tcPr>
          <w:p w:rsidR="00147C1F" w:rsidRPr="00651365" w:rsidRDefault="00147C1F" w:rsidP="00147C1F">
            <w:pPr>
              <w:ind w:firstLine="606"/>
              <w:jc w:val="center"/>
              <w:rPr>
                <w:rFonts w:ascii="Times New Roman" w:eastAsia="Times New Roman" w:hAnsi="Times New Roman" w:cs="Times New Roman"/>
                <w:b/>
                <w:sz w:val="24"/>
                <w:szCs w:val="24"/>
              </w:rPr>
            </w:pPr>
            <w:r w:rsidRPr="00651365">
              <w:rPr>
                <w:rFonts w:ascii="Times New Roman" w:eastAsia="Times New Roman" w:hAnsi="Times New Roman" w:cs="Times New Roman"/>
                <w:b/>
                <w:sz w:val="24"/>
                <w:szCs w:val="24"/>
              </w:rPr>
              <w:lastRenderedPageBreak/>
              <w:t>4. Плата за нестандартне приєднання до електричних мереж систем розподілу</w:t>
            </w:r>
          </w:p>
        </w:tc>
      </w:tr>
      <w:tr w:rsidR="00147C1F" w:rsidRPr="00651365" w:rsidTr="003C613E">
        <w:trPr>
          <w:trHeight w:val="708"/>
        </w:trPr>
        <w:tc>
          <w:tcPr>
            <w:tcW w:w="7938"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4.1. Розрахунок плати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складову плати за приєднання потужності (ураховуючи потужність, що створюється), яка визначається як добуток величини замовленої до приєднання потужності та ставки плати за нестандартне приєднання потужності;</w:t>
            </w:r>
          </w:p>
          <w:p w:rsidR="00147C1F" w:rsidRPr="00792A24" w:rsidRDefault="00147C1F" w:rsidP="00147C1F">
            <w:pPr>
              <w:ind w:firstLine="606"/>
              <w:jc w:val="both"/>
              <w:rPr>
                <w:rFonts w:ascii="Times New Roman" w:eastAsia="Times New Roman" w:hAnsi="Times New Roman" w:cs="Times New Roman"/>
                <w:i/>
                <w:sz w:val="24"/>
                <w:szCs w:val="24"/>
              </w:rPr>
            </w:pPr>
            <w:r w:rsidRPr="002B381D">
              <w:rPr>
                <w:rFonts w:ascii="Times New Roman" w:eastAsia="Times New Roman" w:hAnsi="Times New Roman" w:cs="Times New Roman"/>
                <w:sz w:val="24"/>
                <w:szCs w:val="24"/>
              </w:rPr>
              <w:t>складову плати за створення електричних мереж лінійної частини приєднання.</w:t>
            </w:r>
          </w:p>
        </w:tc>
        <w:tc>
          <w:tcPr>
            <w:tcW w:w="7939"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4.1. Розрахунок плати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складову плати за приєднання потужності (</w:t>
            </w:r>
            <w:r>
              <w:rPr>
                <w:rFonts w:ascii="Times New Roman" w:eastAsia="Times New Roman" w:hAnsi="Times New Roman" w:cs="Times New Roman"/>
                <w:sz w:val="24"/>
                <w:szCs w:val="24"/>
              </w:rPr>
              <w:t>у</w:t>
            </w:r>
            <w:r w:rsidRPr="008F144D">
              <w:rPr>
                <w:rFonts w:ascii="Times New Roman" w:eastAsia="Times New Roman" w:hAnsi="Times New Roman" w:cs="Times New Roman"/>
                <w:sz w:val="24"/>
                <w:szCs w:val="24"/>
              </w:rPr>
              <w:t xml:space="preserve">раховуючи потужність </w:t>
            </w:r>
            <w:r w:rsidRPr="008F144D">
              <w:rPr>
                <w:rFonts w:ascii="Times New Roman" w:eastAsia="Times New Roman" w:hAnsi="Times New Roman" w:cs="Times New Roman"/>
                <w:b/>
                <w:sz w:val="24"/>
                <w:szCs w:val="24"/>
              </w:rPr>
              <w:t>відбору та/або відпуску,</w:t>
            </w:r>
            <w:r w:rsidRPr="008F144D">
              <w:rPr>
                <w:rFonts w:ascii="Times New Roman" w:eastAsia="Times New Roman" w:hAnsi="Times New Roman" w:cs="Times New Roman"/>
                <w:sz w:val="24"/>
                <w:szCs w:val="24"/>
              </w:rPr>
              <w:t xml:space="preserve"> що створюється</w:t>
            </w:r>
            <w:r w:rsidRPr="002B381D">
              <w:rPr>
                <w:rFonts w:ascii="Times New Roman" w:eastAsia="Times New Roman" w:hAnsi="Times New Roman" w:cs="Times New Roman"/>
                <w:sz w:val="24"/>
                <w:szCs w:val="24"/>
              </w:rPr>
              <w:t>), яка визначається як добуток величини замовленої до приєднання потужності</w:t>
            </w:r>
            <w:r>
              <w:rPr>
                <w:rFonts w:ascii="Times New Roman" w:eastAsia="Times New Roman" w:hAnsi="Times New Roman" w:cs="Times New Roman"/>
                <w:sz w:val="24"/>
                <w:szCs w:val="24"/>
              </w:rPr>
              <w:t xml:space="preserve"> </w:t>
            </w:r>
            <w:r w:rsidRPr="008F144D">
              <w:rPr>
                <w:rFonts w:ascii="Times New Roman" w:eastAsia="Times New Roman" w:hAnsi="Times New Roman" w:cs="Times New Roman"/>
                <w:b/>
                <w:sz w:val="24"/>
                <w:szCs w:val="24"/>
              </w:rPr>
              <w:t>відбору та/або відпуску</w:t>
            </w:r>
            <w:r w:rsidRPr="002B381D">
              <w:rPr>
                <w:rFonts w:ascii="Times New Roman" w:eastAsia="Times New Roman" w:hAnsi="Times New Roman" w:cs="Times New Roman"/>
                <w:sz w:val="24"/>
                <w:szCs w:val="24"/>
              </w:rPr>
              <w:t xml:space="preserve"> та ставки плати за нестандартне приєднання потужності;</w:t>
            </w:r>
          </w:p>
          <w:p w:rsidR="00147C1F" w:rsidRPr="00D47CEA" w:rsidRDefault="00147C1F" w:rsidP="00147C1F">
            <w:pPr>
              <w:ind w:firstLine="606"/>
              <w:jc w:val="both"/>
              <w:rPr>
                <w:rFonts w:ascii="Times New Roman" w:hAnsi="Times New Roman" w:cs="Times New Roman"/>
                <w:sz w:val="24"/>
                <w:szCs w:val="24"/>
              </w:rPr>
            </w:pPr>
            <w:r w:rsidRPr="002B381D">
              <w:rPr>
                <w:rFonts w:ascii="Times New Roman" w:eastAsia="Times New Roman" w:hAnsi="Times New Roman" w:cs="Times New Roman"/>
                <w:sz w:val="24"/>
                <w:szCs w:val="24"/>
              </w:rPr>
              <w:t>складову плати за створення електричних мереж лінійної частини приєднання.</w:t>
            </w:r>
          </w:p>
        </w:tc>
      </w:tr>
      <w:tr w:rsidR="00147C1F" w:rsidRPr="00651365" w:rsidTr="003C613E">
        <w:trPr>
          <w:trHeight w:val="708"/>
        </w:trPr>
        <w:tc>
          <w:tcPr>
            <w:tcW w:w="7938"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4.7. За умови забезпечення замовником виконання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лінійної частини приєднання плата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lastRenderedPageBreak/>
              <w:t>складову плати за приєднання потужності (ураховуючи потужність, що створюється), яка визначається як добуток величини замовленої до приєднання потужності та ставки плати за нестандартне приєднання потужності;</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розробленої замовником з урахуванням вимог Кодексу систем розподілу.</w:t>
            </w:r>
          </w:p>
        </w:tc>
        <w:tc>
          <w:tcPr>
            <w:tcW w:w="7939"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lastRenderedPageBreak/>
              <w:t xml:space="preserve">4.7. За умови забезпечення замовником виконання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лінійної частини приєднання плата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lastRenderedPageBreak/>
              <w:t xml:space="preserve">складову плати за приєднання потужності (ураховуючи потужність, </w:t>
            </w:r>
            <w:r w:rsidRPr="008F144D">
              <w:rPr>
                <w:rFonts w:ascii="Times New Roman" w:eastAsia="Times New Roman" w:hAnsi="Times New Roman" w:cs="Times New Roman"/>
                <w:b/>
                <w:sz w:val="24"/>
                <w:szCs w:val="24"/>
              </w:rPr>
              <w:t>відбору та/або відпуску,</w:t>
            </w:r>
            <w:r w:rsidRPr="008F144D">
              <w:rPr>
                <w:rFonts w:ascii="Times New Roman" w:eastAsia="Times New Roman" w:hAnsi="Times New Roman" w:cs="Times New Roman"/>
                <w:sz w:val="24"/>
                <w:szCs w:val="24"/>
              </w:rPr>
              <w:t xml:space="preserve"> </w:t>
            </w:r>
            <w:r w:rsidRPr="002B381D">
              <w:rPr>
                <w:rFonts w:ascii="Times New Roman" w:eastAsia="Times New Roman" w:hAnsi="Times New Roman" w:cs="Times New Roman"/>
                <w:sz w:val="24"/>
                <w:szCs w:val="24"/>
              </w:rPr>
              <w:t xml:space="preserve">що створюється), яка визначається як добуток величини замовленої до приєднання потужності </w:t>
            </w:r>
            <w:r w:rsidRPr="008F144D">
              <w:rPr>
                <w:rFonts w:ascii="Times New Roman" w:eastAsia="Times New Roman" w:hAnsi="Times New Roman" w:cs="Times New Roman"/>
                <w:b/>
                <w:sz w:val="24"/>
                <w:szCs w:val="24"/>
              </w:rPr>
              <w:t>відбору та/або відпуску</w:t>
            </w:r>
            <w:r w:rsidRPr="002B381D">
              <w:rPr>
                <w:rFonts w:ascii="Times New Roman" w:eastAsia="Times New Roman" w:hAnsi="Times New Roman" w:cs="Times New Roman"/>
                <w:sz w:val="24"/>
                <w:szCs w:val="24"/>
              </w:rPr>
              <w:t xml:space="preserve"> та ставки плати за нестандартне приєднання потужності;</w:t>
            </w:r>
          </w:p>
          <w:p w:rsidR="00147C1F" w:rsidRPr="00D47CEA" w:rsidRDefault="00147C1F" w:rsidP="00147C1F">
            <w:pPr>
              <w:ind w:firstLine="606"/>
              <w:jc w:val="both"/>
              <w:rPr>
                <w:rFonts w:ascii="Times New Roman" w:hAnsi="Times New Roman" w:cs="Times New Roman"/>
                <w:sz w:val="24"/>
                <w:szCs w:val="24"/>
              </w:rPr>
            </w:pPr>
            <w:r w:rsidRPr="002B381D">
              <w:rPr>
                <w:rFonts w:ascii="Times New Roman" w:eastAsia="Times New Roman" w:hAnsi="Times New Roman" w:cs="Times New Roman"/>
                <w:sz w:val="24"/>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розробленої замовником з урахуванням вимог Кодексу систем розподілу.</w:t>
            </w:r>
          </w:p>
        </w:tc>
      </w:tr>
      <w:tr w:rsidR="00147C1F" w:rsidRPr="00651365" w:rsidTr="003C613E">
        <w:trPr>
          <w:trHeight w:val="708"/>
        </w:trPr>
        <w:tc>
          <w:tcPr>
            <w:tcW w:w="7938"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lastRenderedPageBreak/>
              <w:t xml:space="preserve">4.8. За умови забезпечення замовником послуги з нестандартного приєднання потужності більше 1 МВт з </w:t>
            </w:r>
            <w:proofErr w:type="spellStart"/>
            <w:r w:rsidRPr="002B381D">
              <w:rPr>
                <w:rFonts w:ascii="Times New Roman" w:eastAsia="Times New Roman" w:hAnsi="Times New Roman" w:cs="Times New Roman"/>
                <w:sz w:val="24"/>
                <w:szCs w:val="24"/>
              </w:rPr>
              <w:t>проєктуванням</w:t>
            </w:r>
            <w:proofErr w:type="spellEnd"/>
            <w:r w:rsidRPr="002B381D">
              <w:rPr>
                <w:rFonts w:ascii="Times New Roman" w:eastAsia="Times New Roman" w:hAnsi="Times New Roman" w:cs="Times New Roman"/>
                <w:sz w:val="24"/>
                <w:szCs w:val="24"/>
              </w:rPr>
              <w:t xml:space="preserve"> замовником лінійної частини приєднання розроблення та узгодження з оператором системи розподілу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на будівництво електричних мереж лінійної частини приєднання та/або робіт із створення потужності, а також виконання будівельно-монтажних та пусконалагоджувальних робіт щодо будівництва електричних мереж лінійної частини приєднання та/або робіт із створення потужності, плата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складову плати за приєднання потужності (ураховуючи потужність, що створюється), яка визначається як добуток величини замовленої до приєднання потужності та ставки плати за нестандартне приєднання потужності;</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розробленої замовником з урахуванням вимог Кодексу систем розподілу.</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При цьому сума витрат такого замовника, пов’язаних з виконанням </w:t>
            </w:r>
            <w:proofErr w:type="spellStart"/>
            <w:r w:rsidRPr="002B381D">
              <w:rPr>
                <w:rFonts w:ascii="Times New Roman" w:eastAsia="Times New Roman" w:hAnsi="Times New Roman" w:cs="Times New Roman"/>
                <w:sz w:val="24"/>
                <w:szCs w:val="24"/>
              </w:rPr>
              <w:t>проєктування</w:t>
            </w:r>
            <w:proofErr w:type="spellEnd"/>
            <w:r w:rsidRPr="002B381D">
              <w:rPr>
                <w:rFonts w:ascii="Times New Roman" w:eastAsia="Times New Roman" w:hAnsi="Times New Roman" w:cs="Times New Roman"/>
                <w:sz w:val="24"/>
                <w:szCs w:val="24"/>
              </w:rPr>
              <w:t xml:space="preserve"> електричних мереж, будівельно-монтажних, пусконалагоджувальних робіт лінійної частини приєднання та/або робіт із створення потужності, яка враховується у загальному розмірі плати за нестандартне приєднання, не може перевищувати відповідну плату за нестандартне приєднання.</w:t>
            </w:r>
          </w:p>
        </w:tc>
        <w:tc>
          <w:tcPr>
            <w:tcW w:w="7939" w:type="dxa"/>
          </w:tcPr>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4.8. За умови забезпечення замовником послуги з нестандартного приєднання потужності більше 1 МВт з </w:t>
            </w:r>
            <w:proofErr w:type="spellStart"/>
            <w:r w:rsidRPr="002B381D">
              <w:rPr>
                <w:rFonts w:ascii="Times New Roman" w:eastAsia="Times New Roman" w:hAnsi="Times New Roman" w:cs="Times New Roman"/>
                <w:sz w:val="24"/>
                <w:szCs w:val="24"/>
              </w:rPr>
              <w:t>проєктуванням</w:t>
            </w:r>
            <w:proofErr w:type="spellEnd"/>
            <w:r w:rsidRPr="002B381D">
              <w:rPr>
                <w:rFonts w:ascii="Times New Roman" w:eastAsia="Times New Roman" w:hAnsi="Times New Roman" w:cs="Times New Roman"/>
                <w:sz w:val="24"/>
                <w:szCs w:val="24"/>
              </w:rPr>
              <w:t xml:space="preserve"> замовником лінійної частини приєднання розроблення та узгодження з оператором системи розподілу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на будівництво електричних мереж лінійної частини приєднання та/або робіт із створення потужності, а також виконання будівельно-монтажних та пусконалагоджувальних робіт щодо будівництва електричних мереж лінійної частини приєднання та/або робіт із створення потужності, плата за нестандартне приєднання до електричних мереж оператора системи розподілу передбачає:</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складову плати за приєднання потужності (ураховуючи потужність, </w:t>
            </w:r>
            <w:r w:rsidRPr="008F144D">
              <w:rPr>
                <w:rFonts w:ascii="Times New Roman" w:eastAsia="Times New Roman" w:hAnsi="Times New Roman" w:cs="Times New Roman"/>
                <w:b/>
                <w:sz w:val="24"/>
                <w:szCs w:val="24"/>
              </w:rPr>
              <w:t>відбору та/або відпуску</w:t>
            </w:r>
            <w:r>
              <w:rPr>
                <w:rFonts w:ascii="Times New Roman" w:eastAsia="Times New Roman" w:hAnsi="Times New Roman" w:cs="Times New Roman"/>
                <w:b/>
                <w:sz w:val="24"/>
                <w:szCs w:val="24"/>
              </w:rPr>
              <w:t xml:space="preserve">, </w:t>
            </w:r>
            <w:r w:rsidRPr="002B381D">
              <w:rPr>
                <w:rFonts w:ascii="Times New Roman" w:eastAsia="Times New Roman" w:hAnsi="Times New Roman" w:cs="Times New Roman"/>
                <w:sz w:val="24"/>
                <w:szCs w:val="24"/>
              </w:rPr>
              <w:t>що створюється), яка визначається як добуток величини замовленої до приєднання потужності</w:t>
            </w:r>
            <w:r>
              <w:rPr>
                <w:rFonts w:ascii="Times New Roman" w:eastAsia="Times New Roman" w:hAnsi="Times New Roman" w:cs="Times New Roman"/>
                <w:sz w:val="24"/>
                <w:szCs w:val="24"/>
              </w:rPr>
              <w:t xml:space="preserve"> </w:t>
            </w:r>
            <w:r w:rsidRPr="008F144D">
              <w:rPr>
                <w:rFonts w:ascii="Times New Roman" w:eastAsia="Times New Roman" w:hAnsi="Times New Roman" w:cs="Times New Roman"/>
                <w:b/>
                <w:sz w:val="24"/>
                <w:szCs w:val="24"/>
              </w:rPr>
              <w:t>відбору та/або відпуску</w:t>
            </w:r>
            <w:r w:rsidRPr="002B381D">
              <w:rPr>
                <w:rFonts w:ascii="Times New Roman" w:eastAsia="Times New Roman" w:hAnsi="Times New Roman" w:cs="Times New Roman"/>
                <w:sz w:val="24"/>
                <w:szCs w:val="24"/>
              </w:rPr>
              <w:t xml:space="preserve"> та ставки плати за нестандартне приєднання потужності;</w:t>
            </w:r>
          </w:p>
          <w:p w:rsidR="00147C1F" w:rsidRPr="002B381D" w:rsidRDefault="00147C1F" w:rsidP="00147C1F">
            <w:pPr>
              <w:ind w:firstLine="606"/>
              <w:jc w:val="both"/>
              <w:rPr>
                <w:rFonts w:ascii="Times New Roman" w:eastAsia="Times New Roman" w:hAnsi="Times New Roman" w:cs="Times New Roman"/>
                <w:sz w:val="24"/>
                <w:szCs w:val="24"/>
              </w:rPr>
            </w:pPr>
            <w:r w:rsidRPr="002B381D">
              <w:rPr>
                <w:rFonts w:ascii="Times New Roman" w:eastAsia="Times New Roman" w:hAnsi="Times New Roman" w:cs="Times New Roman"/>
                <w:sz w:val="24"/>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2B381D">
              <w:rPr>
                <w:rFonts w:ascii="Times New Roman" w:eastAsia="Times New Roman" w:hAnsi="Times New Roman" w:cs="Times New Roman"/>
                <w:sz w:val="24"/>
                <w:szCs w:val="24"/>
              </w:rPr>
              <w:t>проєктної</w:t>
            </w:r>
            <w:proofErr w:type="spellEnd"/>
            <w:r w:rsidRPr="002B381D">
              <w:rPr>
                <w:rFonts w:ascii="Times New Roman" w:eastAsia="Times New Roman" w:hAnsi="Times New Roman" w:cs="Times New Roman"/>
                <w:sz w:val="24"/>
                <w:szCs w:val="24"/>
              </w:rPr>
              <w:t xml:space="preserve"> документації, розробленої замовником з урахуванням вимог Кодексу систем розподілу.</w:t>
            </w:r>
          </w:p>
          <w:p w:rsidR="00147C1F" w:rsidRPr="00D47CEA" w:rsidRDefault="00147C1F" w:rsidP="00147C1F">
            <w:pPr>
              <w:ind w:firstLine="606"/>
              <w:jc w:val="both"/>
              <w:rPr>
                <w:rFonts w:ascii="Times New Roman" w:hAnsi="Times New Roman" w:cs="Times New Roman"/>
                <w:sz w:val="24"/>
                <w:szCs w:val="24"/>
              </w:rPr>
            </w:pPr>
            <w:r w:rsidRPr="002B381D">
              <w:rPr>
                <w:rFonts w:ascii="Times New Roman" w:eastAsia="Times New Roman" w:hAnsi="Times New Roman" w:cs="Times New Roman"/>
                <w:sz w:val="24"/>
                <w:szCs w:val="24"/>
              </w:rPr>
              <w:t xml:space="preserve">При цьому сума витрат такого замовника, пов’язаних з виконанням </w:t>
            </w:r>
            <w:proofErr w:type="spellStart"/>
            <w:r w:rsidRPr="002B381D">
              <w:rPr>
                <w:rFonts w:ascii="Times New Roman" w:eastAsia="Times New Roman" w:hAnsi="Times New Roman" w:cs="Times New Roman"/>
                <w:sz w:val="24"/>
                <w:szCs w:val="24"/>
              </w:rPr>
              <w:t>проєктування</w:t>
            </w:r>
            <w:proofErr w:type="spellEnd"/>
            <w:r w:rsidRPr="002B381D">
              <w:rPr>
                <w:rFonts w:ascii="Times New Roman" w:eastAsia="Times New Roman" w:hAnsi="Times New Roman" w:cs="Times New Roman"/>
                <w:sz w:val="24"/>
                <w:szCs w:val="24"/>
              </w:rPr>
              <w:t xml:space="preserve"> електричних мереж, будівельно-монтажних, пусконалагоджувальних робіт лінійної частини приєднання та/або робіт із створення потужності, яка враховується у загальному розмірі плати за нестандартне приєднання, не може перевищувати відповідну плату за нестандартне приєднання.</w:t>
            </w:r>
          </w:p>
        </w:tc>
      </w:tr>
      <w:tr w:rsidR="00147C1F" w:rsidRPr="00651365" w:rsidTr="00D426BB">
        <w:trPr>
          <w:trHeight w:val="245"/>
        </w:trPr>
        <w:tc>
          <w:tcPr>
            <w:tcW w:w="15877" w:type="dxa"/>
            <w:gridSpan w:val="2"/>
          </w:tcPr>
          <w:p w:rsidR="00147C1F" w:rsidRPr="00651365" w:rsidRDefault="00147C1F" w:rsidP="00147C1F">
            <w:pPr>
              <w:shd w:val="clear" w:color="auto" w:fill="FFFFFF"/>
              <w:spacing w:after="150"/>
              <w:ind w:firstLine="606"/>
              <w:jc w:val="center"/>
              <w:rPr>
                <w:rFonts w:ascii="Times New Roman" w:eastAsia="Times New Roman" w:hAnsi="Times New Roman" w:cs="Times New Roman"/>
                <w:b/>
                <w:sz w:val="24"/>
                <w:szCs w:val="24"/>
                <w:lang w:eastAsia="uk-UA"/>
              </w:rPr>
            </w:pPr>
            <w:r w:rsidRPr="00651365">
              <w:rPr>
                <w:rFonts w:ascii="Times New Roman" w:eastAsia="Times New Roman" w:hAnsi="Times New Roman" w:cs="Times New Roman"/>
                <w:b/>
                <w:sz w:val="24"/>
                <w:szCs w:val="24"/>
                <w:lang w:eastAsia="uk-UA"/>
              </w:rPr>
              <w:t>5. Порядок формування плати за нестандартне приєднання електроустановок до електричних мереж</w:t>
            </w:r>
          </w:p>
        </w:tc>
      </w:tr>
      <w:tr w:rsidR="00147C1F" w:rsidRPr="00651365" w:rsidTr="003C613E">
        <w:trPr>
          <w:trHeight w:val="708"/>
        </w:trPr>
        <w:tc>
          <w:tcPr>
            <w:tcW w:w="7938" w:type="dxa"/>
          </w:tcPr>
          <w:p w:rsidR="00147C1F" w:rsidRPr="00C67904" w:rsidRDefault="00147C1F" w:rsidP="00147C1F">
            <w:pPr>
              <w:pStyle w:val="rvps2"/>
              <w:shd w:val="clear" w:color="auto" w:fill="FFFFFF"/>
              <w:spacing w:before="0" w:beforeAutospacing="0" w:after="150" w:afterAutospacing="0"/>
              <w:ind w:firstLine="450"/>
              <w:jc w:val="both"/>
            </w:pPr>
            <w:r w:rsidRPr="00C67904">
              <w:lastRenderedPageBreak/>
              <w:t xml:space="preserve">5.1. Плата за нестандартне приєднання </w:t>
            </w:r>
            <w:r>
              <w:t>«</w:t>
            </w:r>
            <w:r w:rsidRPr="00C67904">
              <w:t>під ключ</w:t>
            </w:r>
            <w:r>
              <w:t>»</w:t>
            </w:r>
            <w:r w:rsidRPr="00C67904">
              <w:t> </w:t>
            </w:r>
            <w:proofErr w:type="spellStart"/>
            <w:r w:rsidRPr="00C67904">
              <w:rPr>
                <w:rStyle w:val="rvts9"/>
                <w:b/>
                <w:bCs/>
                <w:sz w:val="32"/>
              </w:rPr>
              <w:t>П</w:t>
            </w:r>
            <w:r w:rsidRPr="00C67904">
              <w:rPr>
                <w:rStyle w:val="rvts40"/>
                <w:b/>
                <w:bCs/>
                <w:sz w:val="20"/>
                <w:szCs w:val="16"/>
                <w:vertAlign w:val="subscript"/>
              </w:rPr>
              <w:t>вст</w:t>
            </w:r>
            <w:proofErr w:type="spellEnd"/>
            <w:r w:rsidRPr="00C67904">
              <w:rPr>
                <w:sz w:val="32"/>
              </w:rPr>
              <w:t> </w:t>
            </w:r>
            <w:r w:rsidRPr="00C67904">
              <w:t>розраховується за формулою</w:t>
            </w:r>
          </w:p>
          <w:bookmarkStart w:id="2" w:name="n269"/>
          <w:bookmarkStart w:id="3" w:name="n456"/>
          <w:bookmarkEnd w:id="2"/>
          <w:bookmarkEnd w:id="3"/>
          <w:p w:rsidR="00147C1F" w:rsidRPr="00465C73" w:rsidRDefault="00465C73" w:rsidP="00147C1F">
            <w:pPr>
              <w:pStyle w:val="rvps2"/>
              <w:spacing w:before="0" w:beforeAutospacing="0" w:after="150" w:afterAutospacing="0"/>
              <w:ind w:firstLine="450"/>
              <w:jc w:val="both"/>
              <w:rPr>
                <w:sz w:val="28"/>
                <w:szCs w:val="28"/>
              </w:rPr>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П</m:t>
                    </m:r>
                  </m:e>
                  <m:sub>
                    <m:r>
                      <w:rPr>
                        <w:rFonts w:ascii="Cambria Math" w:hAnsi="Cambria Math"/>
                        <w:sz w:val="28"/>
                        <w:szCs w:val="28"/>
                      </w:rPr>
                      <m:t>нст</m:t>
                    </m:r>
                  </m:sub>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Р</m:t>
                    </m:r>
                  </m:e>
                  <m:sub>
                    <m:r>
                      <w:rPr>
                        <w:rFonts w:ascii="Cambria Math" w:eastAsiaTheme="minorHAnsi" w:hAnsi="Cambria Math"/>
                        <w:sz w:val="28"/>
                        <w:szCs w:val="28"/>
                        <w:lang w:eastAsia="en-US"/>
                      </w:rPr>
                      <m:t>заявл</m:t>
                    </m:r>
                  </m:sub>
                </m:sSub>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к,н,зтт,місц,св</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l</m:t>
                    </m:r>
                  </m:e>
                  <m:sub>
                    <m:r>
                      <w:rPr>
                        <w:rFonts w:ascii="Cambria Math" w:eastAsiaTheme="minorHAnsi" w:hAnsi="Cambria Math"/>
                        <w:sz w:val="28"/>
                        <w:szCs w:val="28"/>
                        <w:lang w:eastAsia="en-US"/>
                      </w:rPr>
                      <m:t>м</m:t>
                    </m:r>
                  </m:sub>
                </m:sSub>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r>
                  <w:rPr>
                    <w:rFonts w:ascii="Cambria Math" w:hAnsi="Cambria Math"/>
                    <w:sz w:val="28"/>
                    <w:szCs w:val="28"/>
                  </w:rPr>
                  <m:t>, тис грн/кВт,</m:t>
                </m:r>
              </m:oMath>
            </m:oMathPara>
          </w:p>
          <w:p w:rsidR="00465C73" w:rsidRDefault="00465C73" w:rsidP="00147C1F">
            <w:pPr>
              <w:pStyle w:val="rvps2"/>
              <w:spacing w:before="0" w:beforeAutospacing="0" w:after="150" w:afterAutospacing="0"/>
              <w:ind w:firstLine="450"/>
              <w:jc w:val="both"/>
              <w:rPr>
                <w:color w:val="333333"/>
                <w:shd w:val="clear" w:color="auto" w:fill="FFFFFF"/>
              </w:rPr>
            </w:pPr>
          </w:p>
          <w:tbl>
            <w:tblPr>
              <w:tblW w:w="5000" w:type="pct"/>
              <w:tblCellMar>
                <w:top w:w="15" w:type="dxa"/>
                <w:left w:w="15" w:type="dxa"/>
                <w:bottom w:w="15" w:type="dxa"/>
                <w:right w:w="15" w:type="dxa"/>
              </w:tblCellMar>
              <w:tblLook w:val="04A0" w:firstRow="1" w:lastRow="0" w:firstColumn="1" w:lastColumn="0" w:noHBand="0" w:noVBand="1"/>
            </w:tblPr>
            <w:tblGrid>
              <w:gridCol w:w="370"/>
              <w:gridCol w:w="1471"/>
              <w:gridCol w:w="242"/>
              <w:gridCol w:w="5633"/>
            </w:tblGrid>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bookmarkStart w:id="4" w:name="n270"/>
                  <w:bookmarkEnd w:id="4"/>
                  <w:r>
                    <w:t>де</w:t>
                  </w: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rPr>
                      <w:rStyle w:val="rvts9"/>
                      <w:b/>
                      <w:bCs/>
                    </w:rPr>
                    <w:t>Р</w:t>
                  </w:r>
                  <w:r>
                    <w:rPr>
                      <w:rStyle w:val="rvts40"/>
                      <w:b/>
                      <w:bCs/>
                      <w:sz w:val="16"/>
                      <w:szCs w:val="16"/>
                      <w:vertAlign w:val="subscript"/>
                    </w:rPr>
                    <w:t>заявл</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 xml:space="preserve">потужність електроустановок замовника, заявлена до приєднання/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t>самовиробництва</w:t>
                  </w:r>
                  <w:proofErr w:type="spellEnd"/>
                  <w: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rPr>
                      <w:noProof/>
                      <w:color w:val="004BC1"/>
                    </w:rPr>
                    <w:drawing>
                      <wp:inline distT="0" distB="0" distL="0" distR="0" wp14:anchorId="777A0237" wp14:editId="1EB3FF87">
                        <wp:extent cx="885825" cy="219075"/>
                        <wp:effectExtent l="0" t="0" r="9525" b="9525"/>
                        <wp:docPr id="2" name="Рисунок 2" descr="https://zakon.rada.gov.ua/laws/file/imgs/128/p480243n270v1-14.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8/p480243n270v1-14.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ставка плати за нестандартне приєднання потужності електроустановок, тис. грн/кВт (без ПДВ), визначається за формулами 6 та 7 цієї Методики, встановлюється НКРЕКП та диференціюється за такими індексами:</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к</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категорія надійності електропостачання згідно з ПУЕ, заявлена замовником;</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н</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рівня напруги в точці приєднання (0,4 (0,23); 6 (10)20; 27 (35); (110 (154));</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місцезнаходження електроустановок замовника (міська, сільська місцевість);</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типу електроустановки, що 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rPr>
                      <w:noProof/>
                      <w:color w:val="004BC1"/>
                    </w:rPr>
                    <w:drawing>
                      <wp:inline distT="0" distB="0" distL="0" distR="0" wp14:anchorId="7A5EA825" wp14:editId="1C6585EF">
                        <wp:extent cx="523875" cy="219075"/>
                        <wp:effectExtent l="0" t="0" r="9525" b="9525"/>
                        <wp:docPr id="1" name="Рисунок 1" descr="https://zakon.rada.gov.ua/laws/file/imgs/117/p480243n270v1-15.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л</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 xml:space="preserve">індекс типу лінії </w:t>
                  </w:r>
                  <w:proofErr w:type="spellStart"/>
                  <w:r>
                    <w:t>електропередавання</w:t>
                  </w:r>
                  <w:proofErr w:type="spellEnd"/>
                  <w:r>
                    <w:t xml:space="preserve"> (повітряна або кабельна);</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н</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рівня напруги в точці приєднання (0,4 (0,23); 6 (10)20; 27 (35); (110 (154));</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розташування точки приєднання у відношенні до земельної ділянки замовника;</w:t>
                  </w:r>
                </w:p>
              </w:tc>
            </w:tr>
            <w:tr w:rsidR="00147C1F" w:rsidTr="00C67904">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l</w:t>
                  </w:r>
                  <w:r>
                    <w:rPr>
                      <w:rStyle w:val="rvts40"/>
                      <w:b/>
                      <w:bCs/>
                      <w:sz w:val="16"/>
                      <w:szCs w:val="16"/>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3"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відстань по прямій лінії від найближчої (найближчих) точки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до точки приєднання електроустановок замовника, м.</w:t>
                  </w:r>
                </w:p>
              </w:tc>
            </w:tr>
          </w:tbl>
          <w:p w:rsidR="00147C1F" w:rsidRPr="002E3C17" w:rsidRDefault="00147C1F" w:rsidP="00147C1F">
            <w:pPr>
              <w:pStyle w:val="rvps2"/>
              <w:shd w:val="clear" w:color="auto" w:fill="FFFFFF"/>
              <w:spacing w:before="0" w:beforeAutospacing="0" w:after="150" w:afterAutospacing="0"/>
              <w:ind w:firstLine="606"/>
              <w:jc w:val="both"/>
              <w:rPr>
                <w:b/>
                <w:i/>
              </w:rPr>
            </w:pPr>
          </w:p>
        </w:tc>
        <w:tc>
          <w:tcPr>
            <w:tcW w:w="7939" w:type="dxa"/>
          </w:tcPr>
          <w:p w:rsidR="00147C1F" w:rsidRPr="00C67904" w:rsidRDefault="00147C1F" w:rsidP="00147C1F">
            <w:pPr>
              <w:pStyle w:val="rvps2"/>
              <w:shd w:val="clear" w:color="auto" w:fill="FFFFFF"/>
              <w:spacing w:before="0" w:beforeAutospacing="0" w:after="150" w:afterAutospacing="0"/>
              <w:ind w:firstLine="450"/>
              <w:jc w:val="both"/>
            </w:pPr>
            <w:r w:rsidRPr="00C67904">
              <w:lastRenderedPageBreak/>
              <w:t xml:space="preserve">5.1. Плата за нестандартне приєднання </w:t>
            </w:r>
            <w:r>
              <w:t>«</w:t>
            </w:r>
            <w:r w:rsidRPr="00C67904">
              <w:t>під ключ</w:t>
            </w:r>
            <w:r>
              <w:t>»</w:t>
            </w:r>
            <w:r w:rsidRPr="00C67904">
              <w:t> </w:t>
            </w:r>
            <w:proofErr w:type="spellStart"/>
            <w:r w:rsidRPr="00C67904">
              <w:rPr>
                <w:rStyle w:val="rvts9"/>
                <w:b/>
                <w:bCs/>
                <w:sz w:val="32"/>
              </w:rPr>
              <w:t>П</w:t>
            </w:r>
            <w:r w:rsidRPr="00C67904">
              <w:rPr>
                <w:rStyle w:val="rvts40"/>
                <w:b/>
                <w:bCs/>
                <w:sz w:val="20"/>
                <w:szCs w:val="16"/>
                <w:vertAlign w:val="subscript"/>
              </w:rPr>
              <w:t>вст</w:t>
            </w:r>
            <w:proofErr w:type="spellEnd"/>
            <w:r w:rsidRPr="00C67904">
              <w:rPr>
                <w:sz w:val="32"/>
              </w:rPr>
              <w:t> </w:t>
            </w:r>
            <w:r w:rsidRPr="00C67904">
              <w:t>розраховується за формулою</w:t>
            </w:r>
          </w:p>
          <w:p w:rsidR="00147C1F" w:rsidRDefault="00465C73" w:rsidP="00147C1F">
            <w:pPr>
              <w:pStyle w:val="rvps2"/>
              <w:spacing w:before="0" w:beforeAutospacing="0" w:after="150" w:afterAutospacing="0"/>
              <w:ind w:firstLine="450"/>
              <w:jc w:val="both"/>
              <w:rPr>
                <w:color w:val="333333"/>
                <w:shd w:val="clear" w:color="auto" w:fill="FFFFFF"/>
              </w:rPr>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П</m:t>
                    </m:r>
                  </m:e>
                  <m:sub>
                    <m:r>
                      <w:rPr>
                        <w:rFonts w:ascii="Cambria Math" w:hAnsi="Cambria Math"/>
                        <w:sz w:val="28"/>
                        <w:szCs w:val="28"/>
                      </w:rPr>
                      <m:t>нст</m:t>
                    </m:r>
                  </m:sub>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відбір</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відпуск</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l</m:t>
                    </m:r>
                  </m:e>
                  <m:sub>
                    <m:r>
                      <w:rPr>
                        <w:rFonts w:ascii="Cambria Math" w:eastAsiaTheme="minorHAnsi" w:hAnsi="Cambria Math"/>
                        <w:sz w:val="28"/>
                        <w:szCs w:val="28"/>
                        <w:lang w:eastAsia="en-US"/>
                      </w:rPr>
                      <m:t>м</m:t>
                    </m:r>
                  </m:sub>
                </m:sSub>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r>
                  <w:rPr>
                    <w:rFonts w:ascii="Cambria Math" w:hAnsi="Cambria Math"/>
                    <w:sz w:val="28"/>
                    <w:szCs w:val="28"/>
                  </w:rPr>
                  <m:t>, тис грн/кВт,</m:t>
                </m:r>
              </m:oMath>
            </m:oMathPara>
          </w:p>
          <w:tbl>
            <w:tblPr>
              <w:tblW w:w="5000" w:type="pct"/>
              <w:tblCellMar>
                <w:top w:w="15" w:type="dxa"/>
                <w:left w:w="15" w:type="dxa"/>
                <w:bottom w:w="15" w:type="dxa"/>
                <w:right w:w="15" w:type="dxa"/>
              </w:tblCellMar>
              <w:tblLook w:val="04A0" w:firstRow="1" w:lastRow="0" w:firstColumn="1" w:lastColumn="0" w:noHBand="0" w:noVBand="1"/>
            </w:tblPr>
            <w:tblGrid>
              <w:gridCol w:w="370"/>
              <w:gridCol w:w="1471"/>
              <w:gridCol w:w="242"/>
              <w:gridCol w:w="5634"/>
            </w:tblGrid>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де</w:t>
                  </w:r>
                </w:p>
              </w:tc>
              <w:tc>
                <w:tcPr>
                  <w:tcW w:w="1471" w:type="dxa"/>
                  <w:tcBorders>
                    <w:top w:val="single" w:sz="2" w:space="0" w:color="auto"/>
                    <w:left w:val="single" w:sz="2" w:space="0" w:color="auto"/>
                    <w:bottom w:val="single" w:sz="2" w:space="0" w:color="auto"/>
                    <w:right w:val="single" w:sz="2" w:space="0" w:color="auto"/>
                  </w:tcBorders>
                  <w:hideMark/>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Pr="009C6EEE" w:rsidRDefault="00147C1F" w:rsidP="00147C1F">
                  <w:pPr>
                    <w:pStyle w:val="rvps14"/>
                    <w:spacing w:before="150" w:beforeAutospacing="0" w:after="150" w:afterAutospacing="0"/>
                    <w:rPr>
                      <w:b/>
                    </w:rPr>
                  </w:pPr>
                  <w:r w:rsidRPr="009C6EEE">
                    <w:rPr>
                      <w:b/>
                    </w:rPr>
                    <w:t>потужність відбору, замовлена до приєднання</w:t>
                  </w:r>
                  <w:r w:rsidR="004A248B">
                    <w:rPr>
                      <w:b/>
                    </w:rPr>
                    <w:t>;</w:t>
                  </w:r>
                </w:p>
              </w:tc>
            </w:tr>
            <w:tr w:rsidR="00147C1F" w:rsidTr="009C6EEE">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r w:rsidRPr="009C6EEE">
                    <w:rPr>
                      <w:b/>
                    </w:rPr>
                    <w:t>потужність відпуску, замовлена до приєднання</w:t>
                  </w:r>
                  <w: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t>самовиробництва</w:t>
                  </w:r>
                  <w:proofErr w:type="spellEnd"/>
                  <w: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ставка плати за нестандартне приєднання потужності електроустановок</w:t>
                  </w:r>
                  <w:r w:rsidRPr="00297C57">
                    <w:rPr>
                      <w:b/>
                    </w:rPr>
                    <w:t>, призначених для споживання електричної енергії,</w:t>
                  </w:r>
                  <w:r>
                    <w:t xml:space="preserve"> тис. грн/кВт (без ПДВ), визначається за формулою 6 цієї Методики, встановлюється НКРЕКП та диференціюється за такими індексами:</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к</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категорія надійності електропостачання згідно з ПУЕ, заявлена замовником;</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н</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рівня напруги в точці приєднання (0,4 (0,23); 6 (10)</w:t>
                  </w:r>
                  <w:r w:rsidR="00465C73">
                    <w:t xml:space="preserve"> </w:t>
                  </w:r>
                  <w:r>
                    <w:t>20; 27 (35); (110 (154));</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місцезнаходження електроустановок замовника (міська, сільська місцевість);</w:t>
                  </w:r>
                </w:p>
              </w:tc>
            </w:tr>
            <w:tr w:rsidR="00147C1F" w:rsidRPr="00297C57" w:rsidTr="009C6EEE">
              <w:tc>
                <w:tcPr>
                  <w:tcW w:w="370" w:type="dxa"/>
                  <w:tcBorders>
                    <w:top w:val="single" w:sz="2" w:space="0" w:color="auto"/>
                    <w:left w:val="single" w:sz="2" w:space="0" w:color="auto"/>
                    <w:bottom w:val="single" w:sz="2" w:space="0" w:color="auto"/>
                    <w:right w:val="single" w:sz="2" w:space="0" w:color="auto"/>
                  </w:tcBorders>
                  <w:hideMark/>
                </w:tcPr>
                <w:p w:rsidR="00147C1F" w:rsidRPr="00297C57" w:rsidRDefault="00147C1F" w:rsidP="00147C1F">
                  <w:pPr>
                    <w:pStyle w:val="rvps14"/>
                    <w:spacing w:before="150" w:beforeAutospacing="0" w:after="150" w:afterAutospacing="0"/>
                    <w:rPr>
                      <w:strike/>
                    </w:rPr>
                  </w:pPr>
                </w:p>
              </w:tc>
              <w:tc>
                <w:tcPr>
                  <w:tcW w:w="1471" w:type="dxa"/>
                  <w:tcBorders>
                    <w:top w:val="single" w:sz="2" w:space="0" w:color="auto"/>
                    <w:left w:val="single" w:sz="2" w:space="0" w:color="auto"/>
                    <w:bottom w:val="single" w:sz="2" w:space="0" w:color="auto"/>
                    <w:right w:val="single" w:sz="2" w:space="0" w:color="auto"/>
                  </w:tcBorders>
                  <w:hideMark/>
                </w:tcPr>
                <w:p w:rsidR="00147C1F" w:rsidRPr="00297C57" w:rsidRDefault="00147C1F" w:rsidP="00147C1F">
                  <w:pPr>
                    <w:pStyle w:val="rvps14"/>
                    <w:spacing w:before="150" w:beforeAutospacing="0" w:after="150" w:afterAutospacing="0"/>
                    <w:rPr>
                      <w:strike/>
                    </w:rPr>
                  </w:pPr>
                  <w:proofErr w:type="spellStart"/>
                  <w:r w:rsidRPr="00297C57">
                    <w:rPr>
                      <w:strike/>
                    </w:rP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Pr="00297C57" w:rsidRDefault="00147C1F" w:rsidP="00147C1F">
                  <w:pPr>
                    <w:pStyle w:val="rvps12"/>
                    <w:spacing w:before="150" w:beforeAutospacing="0" w:after="150" w:afterAutospacing="0"/>
                    <w:jc w:val="center"/>
                    <w:rPr>
                      <w:strike/>
                    </w:rPr>
                  </w:pPr>
                  <w:r w:rsidRPr="00297C57">
                    <w:rPr>
                      <w:strike/>
                    </w:rPr>
                    <w:t>-</w:t>
                  </w:r>
                </w:p>
              </w:tc>
              <w:tc>
                <w:tcPr>
                  <w:tcW w:w="5634" w:type="dxa"/>
                  <w:tcBorders>
                    <w:top w:val="single" w:sz="2" w:space="0" w:color="auto"/>
                    <w:left w:val="single" w:sz="2" w:space="0" w:color="auto"/>
                    <w:bottom w:val="single" w:sz="2" w:space="0" w:color="auto"/>
                    <w:right w:val="single" w:sz="2" w:space="0" w:color="auto"/>
                  </w:tcBorders>
                  <w:hideMark/>
                </w:tcPr>
                <w:p w:rsidR="00147C1F" w:rsidRPr="00297C57" w:rsidRDefault="00147C1F" w:rsidP="00147C1F">
                  <w:pPr>
                    <w:pStyle w:val="rvps14"/>
                    <w:spacing w:before="150" w:beforeAutospacing="0" w:after="150" w:afterAutospacing="0"/>
                    <w:rPr>
                      <w:strike/>
                    </w:rPr>
                  </w:pPr>
                  <w:r w:rsidRPr="00297C57">
                    <w:rPr>
                      <w:strike/>
                    </w:rPr>
                    <w:t>індекс типу електроустановки, що 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147C1F" w:rsidTr="009C6EEE">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r>
                    <w:t>ставка плати за нестандартне приєднання потужності електроустановок</w:t>
                  </w:r>
                  <w:r w:rsidRPr="00297C57">
                    <w:rPr>
                      <w:b/>
                    </w:rPr>
                    <w:t xml:space="preserve">, призначених для </w:t>
                  </w:r>
                  <w:r>
                    <w:rPr>
                      <w:b/>
                    </w:rPr>
                    <w:t>виробництва</w:t>
                  </w:r>
                  <w:r w:rsidRPr="00297C57">
                    <w:rPr>
                      <w:b/>
                    </w:rPr>
                    <w:t xml:space="preserve"> електричної енергії,</w:t>
                  </w:r>
                  <w:r>
                    <w:t xml:space="preserve"> тис. грн/кВт (без ПДВ), визначається за формулою 7 цієї Методики, встановлюється НКРЕКП та диференціюється за такими індексами:</w:t>
                  </w:r>
                </w:p>
              </w:tc>
            </w:tr>
            <w:tr w:rsidR="00147C1F" w:rsidTr="009C6EEE">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r w:rsidRPr="00297C57">
                    <w:rPr>
                      <w:b/>
                    </w:rPr>
                    <w:t>к</w:t>
                  </w:r>
                </w:p>
              </w:tc>
              <w:tc>
                <w:tcPr>
                  <w:tcW w:w="242"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2"/>
                    <w:spacing w:before="150" w:beforeAutospacing="0" w:after="150" w:afterAutospacing="0"/>
                    <w:jc w:val="center"/>
                    <w:rPr>
                      <w:b/>
                    </w:rPr>
                  </w:pPr>
                  <w:r w:rsidRPr="00297C57">
                    <w:rPr>
                      <w:b/>
                    </w:rPr>
                    <w:t>-</w:t>
                  </w:r>
                </w:p>
              </w:tc>
              <w:tc>
                <w:tcPr>
                  <w:tcW w:w="5634"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r w:rsidRPr="00297C57">
                    <w:rPr>
                      <w:b/>
                    </w:rPr>
                    <w:t>категорія надійності електропостачання згідно з ПУЕ, заявлена замовником;</w:t>
                  </w:r>
                </w:p>
              </w:tc>
            </w:tr>
            <w:tr w:rsidR="00147C1F" w:rsidTr="009C6EEE">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r w:rsidRPr="00297C57">
                    <w:rPr>
                      <w:b/>
                    </w:rPr>
                    <w:t>н</w:t>
                  </w:r>
                </w:p>
              </w:tc>
              <w:tc>
                <w:tcPr>
                  <w:tcW w:w="242"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2"/>
                    <w:spacing w:before="150" w:beforeAutospacing="0" w:after="150" w:afterAutospacing="0"/>
                    <w:jc w:val="center"/>
                    <w:rPr>
                      <w:b/>
                    </w:rPr>
                  </w:pPr>
                  <w:r w:rsidRPr="00297C57">
                    <w:rPr>
                      <w:b/>
                    </w:rPr>
                    <w:t>-</w:t>
                  </w:r>
                </w:p>
              </w:tc>
              <w:tc>
                <w:tcPr>
                  <w:tcW w:w="5634"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r w:rsidRPr="00297C57">
                    <w:rPr>
                      <w:b/>
                    </w:rPr>
                    <w:t>індекс рівня напруги в точці приєднання (0,4 (0,23); 6 (10)</w:t>
                  </w:r>
                  <w:r w:rsidR="00465C73">
                    <w:rPr>
                      <w:b/>
                    </w:rPr>
                    <w:t xml:space="preserve"> </w:t>
                  </w:r>
                  <w:r w:rsidRPr="00297C57">
                    <w:rPr>
                      <w:b/>
                    </w:rPr>
                    <w:t>20; 27 (35); (110 (154));</w:t>
                  </w:r>
                </w:p>
              </w:tc>
            </w:tr>
            <w:tr w:rsidR="00147C1F" w:rsidTr="009C6EEE">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proofErr w:type="spellStart"/>
                  <w:r w:rsidRPr="00297C57">
                    <w:rPr>
                      <w:b/>
                    </w:rPr>
                    <w:t>місц</w:t>
                  </w:r>
                  <w:proofErr w:type="spellEnd"/>
                </w:p>
              </w:tc>
              <w:tc>
                <w:tcPr>
                  <w:tcW w:w="242"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2"/>
                    <w:spacing w:before="150" w:beforeAutospacing="0" w:after="150" w:afterAutospacing="0"/>
                    <w:jc w:val="center"/>
                    <w:rPr>
                      <w:b/>
                    </w:rPr>
                  </w:pPr>
                  <w:r w:rsidRPr="00297C57">
                    <w:rPr>
                      <w:b/>
                    </w:rPr>
                    <w:t>-</w:t>
                  </w:r>
                </w:p>
              </w:tc>
              <w:tc>
                <w:tcPr>
                  <w:tcW w:w="5634" w:type="dxa"/>
                  <w:tcBorders>
                    <w:top w:val="single" w:sz="2" w:space="0" w:color="auto"/>
                    <w:left w:val="single" w:sz="2" w:space="0" w:color="auto"/>
                    <w:bottom w:val="single" w:sz="2" w:space="0" w:color="auto"/>
                    <w:right w:val="single" w:sz="2" w:space="0" w:color="auto"/>
                  </w:tcBorders>
                </w:tcPr>
                <w:p w:rsidR="00147C1F" w:rsidRPr="00297C57" w:rsidRDefault="00147C1F" w:rsidP="00147C1F">
                  <w:pPr>
                    <w:pStyle w:val="rvps14"/>
                    <w:spacing w:before="150" w:beforeAutospacing="0" w:after="150" w:afterAutospacing="0"/>
                    <w:rPr>
                      <w:b/>
                    </w:rPr>
                  </w:pPr>
                  <w:r w:rsidRPr="00297C57">
                    <w:rPr>
                      <w:b/>
                    </w:rPr>
                    <w:t>місцезнаходження електроустановок замовника (міська, сільська місцевість);</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rPr>
                      <w:noProof/>
                      <w:color w:val="004BC1"/>
                    </w:rPr>
                    <w:drawing>
                      <wp:inline distT="0" distB="0" distL="0" distR="0" wp14:anchorId="7DCFEA47" wp14:editId="2C5B986F">
                        <wp:extent cx="523875" cy="219075"/>
                        <wp:effectExtent l="0" t="0" r="9525" b="9525"/>
                        <wp:docPr id="6" name="Рисунок 6" descr="https://zakon.rada.gov.ua/laws/file/imgs/117/p480243n270v1-15.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 xml:space="preserve">ставка плати за створення електричних мереж лінійної частини приєднання визначається за </w:t>
                  </w:r>
                  <w:r>
                    <w:lastRenderedPageBreak/>
                    <w:t>формулою 10 цієї Методики, встановлюється НКРЕКП та диференціюється за такими індексами:</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л</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 xml:space="preserve">індекс типу лінії </w:t>
                  </w:r>
                  <w:proofErr w:type="spellStart"/>
                  <w:r>
                    <w:t>електропередавання</w:t>
                  </w:r>
                  <w:proofErr w:type="spellEnd"/>
                  <w:r>
                    <w:t xml:space="preserve"> (повітряна або кабельна);</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н</w:t>
                  </w:r>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рівня напруги в точці приєднання (0,4 (0,23); 6 (10)</w:t>
                  </w:r>
                  <w:r w:rsidR="00465C73">
                    <w:t xml:space="preserve"> </w:t>
                  </w:r>
                  <w:r>
                    <w:t>20; 27 (35); (110 (154));</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індекс розташування точки приєднання у відношенні до земельної ділянки замовника;</w:t>
                  </w:r>
                </w:p>
              </w:tc>
            </w:tr>
            <w:tr w:rsidR="00147C1F" w:rsidTr="009C6EEE">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roofErr w:type="spellStart"/>
                  <w:r>
                    <w:t>l</w:t>
                  </w:r>
                  <w:r>
                    <w:rPr>
                      <w:rStyle w:val="rvts40"/>
                      <w:b/>
                      <w:bCs/>
                      <w:sz w:val="16"/>
                      <w:szCs w:val="16"/>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відстань по прямій лінії від найближчої (найближчих) точки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до точки приєднання електроустановок замовника, м.</w:t>
                  </w:r>
                </w:p>
              </w:tc>
            </w:tr>
          </w:tbl>
          <w:p w:rsidR="00147C1F" w:rsidRPr="002E3C17" w:rsidRDefault="00147C1F" w:rsidP="00147C1F">
            <w:pPr>
              <w:pStyle w:val="rvps2"/>
              <w:shd w:val="clear" w:color="auto" w:fill="FFFFFF"/>
              <w:spacing w:before="0" w:beforeAutospacing="0" w:after="150" w:afterAutospacing="0"/>
              <w:ind w:firstLine="606"/>
              <w:jc w:val="both"/>
              <w:rPr>
                <w:b/>
                <w:i/>
              </w:rPr>
            </w:pPr>
          </w:p>
        </w:tc>
      </w:tr>
      <w:tr w:rsidR="00147C1F" w:rsidRPr="00651365" w:rsidTr="003C613E">
        <w:trPr>
          <w:trHeight w:val="708"/>
        </w:trPr>
        <w:tc>
          <w:tcPr>
            <w:tcW w:w="7938" w:type="dxa"/>
          </w:tcPr>
          <w:p w:rsidR="00147C1F" w:rsidRPr="00C67904" w:rsidRDefault="00147C1F" w:rsidP="00147C1F">
            <w:pPr>
              <w:shd w:val="clear" w:color="auto" w:fill="FFFFFF"/>
              <w:spacing w:after="150"/>
              <w:ind w:firstLine="450"/>
              <w:jc w:val="both"/>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lastRenderedPageBreak/>
              <w:t>5.2. Ставка плати за нестандартне приєднання потужності </w:t>
            </w:r>
            <w:r w:rsidRPr="00C67904">
              <w:rPr>
                <w:rFonts w:ascii="Times New Roman" w:eastAsia="Times New Roman" w:hAnsi="Times New Roman" w:cs="Times New Roman"/>
                <w:noProof/>
                <w:sz w:val="24"/>
                <w:szCs w:val="24"/>
                <w:lang w:eastAsia="uk-UA"/>
              </w:rPr>
              <w:drawing>
                <wp:inline distT="0" distB="0" distL="0" distR="0" wp14:anchorId="50F3B0DE" wp14:editId="2FD5069F">
                  <wp:extent cx="838200" cy="323850"/>
                  <wp:effectExtent l="0" t="0" r="0" b="0"/>
                  <wp:docPr id="7" name="Рисунок 7" descr="https://zakon.rada.gov.ua/laws/file/imgs/128/p480243n271v1-16.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8/p480243n271v1-16.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00" cy="323850"/>
                          </a:xfrm>
                          <a:prstGeom prst="rect">
                            <a:avLst/>
                          </a:prstGeom>
                          <a:noFill/>
                          <a:ln>
                            <a:noFill/>
                          </a:ln>
                        </pic:spPr>
                      </pic:pic>
                    </a:graphicData>
                  </a:graphic>
                </wp:inline>
              </w:drawing>
            </w:r>
            <w:r w:rsidRPr="00C67904">
              <w:rPr>
                <w:rFonts w:ascii="Times New Roman" w:eastAsia="Times New Roman" w:hAnsi="Times New Roman" w:cs="Times New Roman"/>
                <w:sz w:val="24"/>
                <w:szCs w:val="24"/>
                <w:lang w:eastAsia="uk-UA"/>
              </w:rPr>
              <w:t> для електроустановок, призначених для споживання електричної енергії, встановлюються НКРЕКП на розрахунковий період та розраховуються за формулою</w:t>
            </w:r>
          </w:p>
          <w:p w:rsidR="00147C1F" w:rsidRPr="00C67904" w:rsidRDefault="00465C73" w:rsidP="00147C1F">
            <w:pPr>
              <w:shd w:val="clear" w:color="auto" w:fill="FFFFFF"/>
              <w:spacing w:after="150"/>
              <w:ind w:firstLine="450"/>
              <w:jc w:val="both"/>
              <w:rPr>
                <w:rFonts w:ascii="Times New Roman" w:eastAsia="Times New Roman" w:hAnsi="Times New Roman" w:cs="Times New Roman"/>
                <w:color w:val="333333"/>
                <w:sz w:val="24"/>
                <w:szCs w:val="24"/>
                <w:lang w:eastAsia="uk-UA"/>
              </w:rPr>
            </w:pPr>
            <m:oMathPara>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П</m:t>
                    </m:r>
                  </m:e>
                  <m:sub>
                    <m:sSub>
                      <m:sSubPr>
                        <m:ctrlPr>
                          <w:rPr>
                            <w:rFonts w:ascii="Cambria Math" w:hAnsi="Cambria Math"/>
                            <w:i/>
                            <w:sz w:val="28"/>
                            <w:szCs w:val="28"/>
                          </w:rPr>
                        </m:ctrlPr>
                      </m:sSubPr>
                      <m:e>
                        <m:r>
                          <w:rPr>
                            <w:rFonts w:ascii="Cambria Math" w:hAnsi="Cambria Math"/>
                            <w:sz w:val="28"/>
                            <w:szCs w:val="28"/>
                          </w:rPr>
                          <m:t>базова</m:t>
                        </m:r>
                      </m:e>
                      <m:sub>
                        <m:r>
                          <w:rPr>
                            <w:rFonts w:ascii="Cambria Math" w:hAnsi="Cambria Math"/>
                            <w:sz w:val="28"/>
                            <w:szCs w:val="28"/>
                          </w:rPr>
                          <m:t>нст</m:t>
                        </m:r>
                      </m:sub>
                    </m:sSub>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 грн/кВт,</m:t>
                </m:r>
              </m:oMath>
            </m:oMathPara>
          </w:p>
          <w:tbl>
            <w:tblPr>
              <w:tblW w:w="5000" w:type="pct"/>
              <w:tblCellMar>
                <w:top w:w="15" w:type="dxa"/>
                <w:left w:w="15" w:type="dxa"/>
                <w:bottom w:w="15" w:type="dxa"/>
                <w:right w:w="15" w:type="dxa"/>
              </w:tblCellMar>
              <w:tblLook w:val="04A0" w:firstRow="1" w:lastRow="0" w:firstColumn="1" w:lastColumn="0" w:noHBand="0" w:noVBand="1"/>
            </w:tblPr>
            <w:tblGrid>
              <w:gridCol w:w="322"/>
              <w:gridCol w:w="1170"/>
              <w:gridCol w:w="163"/>
              <w:gridCol w:w="6061"/>
            </w:tblGrid>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bookmarkStart w:id="5" w:name="n458"/>
                  <w:bookmarkStart w:id="6" w:name="n459"/>
                  <w:bookmarkEnd w:id="5"/>
                  <w:bookmarkEnd w:id="6"/>
                  <w:r w:rsidRPr="00C67904">
                    <w:rPr>
                      <w:rFonts w:ascii="Times New Roman" w:eastAsia="Times New Roman" w:hAnsi="Times New Roman" w:cs="Times New Roman"/>
                      <w:sz w:val="24"/>
                      <w:szCs w:val="24"/>
                      <w:lang w:eastAsia="uk-UA"/>
                    </w:rPr>
                    <w:t>де</w:t>
                  </w: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noProof/>
                      <w:color w:val="004BC1"/>
                      <w:sz w:val="24"/>
                      <w:szCs w:val="24"/>
                      <w:lang w:eastAsia="uk-UA"/>
                    </w:rPr>
                    <w:drawing>
                      <wp:inline distT="0" distB="0" distL="0" distR="0" wp14:anchorId="1A6BD0AA" wp14:editId="3530C780">
                        <wp:extent cx="723900" cy="361950"/>
                        <wp:effectExtent l="0" t="0" r="0" b="0"/>
                        <wp:docPr id="5" name="Рисунок 5" descr="https://zakon.rada.gov.ua/laws/file/imgs/128/p480243n459-18.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8/p480243n459-18.gif">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3619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w:t>
                  </w: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 xml:space="preserve">питома вартість приєднання 1 кВт потужності електроустановок замовника, яка встановлюється на рівні 3,48 </w:t>
                  </w:r>
                  <w:proofErr w:type="spellStart"/>
                  <w:r w:rsidRPr="00C67904">
                    <w:rPr>
                      <w:rFonts w:ascii="Times New Roman" w:eastAsia="Times New Roman" w:hAnsi="Times New Roman" w:cs="Times New Roman"/>
                      <w:sz w:val="24"/>
                      <w:szCs w:val="24"/>
                      <w:lang w:eastAsia="uk-UA"/>
                    </w:rPr>
                    <w:t>тис.грн</w:t>
                  </w:r>
                  <w:proofErr w:type="spellEnd"/>
                  <w:r w:rsidRPr="00C67904">
                    <w:rPr>
                      <w:rFonts w:ascii="Times New Roman" w:eastAsia="Times New Roman" w:hAnsi="Times New Roman" w:cs="Times New Roman"/>
                      <w:sz w:val="24"/>
                      <w:szCs w:val="24"/>
                      <w:lang w:eastAsia="uk-UA"/>
                    </w:rPr>
                    <w:t>/кВт станом на 01 січня 2025 року;</w:t>
                  </w:r>
                </w:p>
              </w:tc>
            </w:tr>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к</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категорії надійності електропостачання (додаток 3 до цієї Методики);</w:t>
                  </w:r>
                </w:p>
              </w:tc>
            </w:tr>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н</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ступеня напруги в точці приєднання (110(154)/35/20(10)6/0,4(0,23) кВ) (додаток 4 до цієї Методики);</w:t>
                  </w:r>
                </w:p>
              </w:tc>
            </w:tr>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місц</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що враховує місцезнаходження електроустановок замовника (міська або сільська місцевість), визначається згідно з додатком 6 до цієї Методики;</w:t>
                  </w:r>
                </w:p>
              </w:tc>
            </w:tr>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noProof/>
                      <w:color w:val="004BC1"/>
                      <w:sz w:val="24"/>
                      <w:szCs w:val="24"/>
                      <w:lang w:eastAsia="uk-UA"/>
                    </w:rPr>
                    <w:drawing>
                      <wp:inline distT="0" distB="0" distL="0" distR="0" wp14:anchorId="2B6246C1" wp14:editId="74411800">
                        <wp:extent cx="409575" cy="247650"/>
                        <wp:effectExtent l="0" t="0" r="9525" b="0"/>
                        <wp:docPr id="4" name="Рисунок 4" descr="https://zakon.rada.gov.ua/laws/file/imgs/117/p480243n459-19.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17/p480243n459-19.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завантаження трансформаторних підстанцій у межах територіальної одиниці і основної мережі напругою 35-110(154) кВ оператора системи розподілу, який розраховується за формулою 8 цієї Методики;</w:t>
                  </w:r>
                </w:p>
              </w:tc>
            </w:tr>
            <w:tr w:rsidR="00147C1F" w:rsidRPr="00C67904" w:rsidTr="00C67904">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інд</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прогнозного індексу зміни цін виробників промислової продукції на розрахунковий період у відношенні до базового періоду. Розмір індексу затверджується відповідною постановою Кабінету Міністрів України про схвалення Прогнозу економічного і соціального розвитку України на розрахунковий період (мінімальний). У разі відсутності затвердженого відповідною постановою Кабінету Міністрів України прогнозного індексу цін виробників промислової продукції, його застосовується індекс, врахований у Державному бюджеті України на відповідний рік.</w:t>
                  </w:r>
                </w:p>
              </w:tc>
            </w:tr>
          </w:tbl>
          <w:p w:rsidR="00147C1F" w:rsidRPr="002E3C17" w:rsidRDefault="00147C1F" w:rsidP="00147C1F">
            <w:pPr>
              <w:pStyle w:val="rvps2"/>
              <w:shd w:val="clear" w:color="auto" w:fill="FFFFFF"/>
              <w:spacing w:before="0" w:beforeAutospacing="0" w:after="150" w:afterAutospacing="0"/>
              <w:jc w:val="both"/>
              <w:rPr>
                <w:b/>
                <w:i/>
              </w:rPr>
            </w:pPr>
          </w:p>
        </w:tc>
        <w:tc>
          <w:tcPr>
            <w:tcW w:w="7939" w:type="dxa"/>
          </w:tcPr>
          <w:p w:rsidR="00147C1F" w:rsidRPr="00C67904" w:rsidRDefault="00147C1F" w:rsidP="00147C1F">
            <w:pPr>
              <w:shd w:val="clear" w:color="auto" w:fill="FFFFFF"/>
              <w:spacing w:after="150"/>
              <w:ind w:firstLine="450"/>
              <w:jc w:val="both"/>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lastRenderedPageBreak/>
              <w:t>5.2. Ставка плати за нестандартне приєднання потужності </w:t>
            </w:r>
            <w:r w:rsidRPr="00C67904">
              <w:rPr>
                <w:rFonts w:ascii="Times New Roman" w:eastAsia="Times New Roman" w:hAnsi="Times New Roman" w:cs="Times New Roman"/>
                <w:noProof/>
                <w:sz w:val="24"/>
                <w:szCs w:val="24"/>
                <w:lang w:eastAsia="uk-UA"/>
              </w:rPr>
              <w:drawing>
                <wp:inline distT="0" distB="0" distL="0" distR="0" wp14:anchorId="0042B98E" wp14:editId="1AD53250">
                  <wp:extent cx="838200" cy="323850"/>
                  <wp:effectExtent l="0" t="0" r="0" b="0"/>
                  <wp:docPr id="8" name="Рисунок 8" descr="https://zakon.rada.gov.ua/laws/file/imgs/128/p480243n271v1-16.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8/p480243n271v1-16.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00" cy="323850"/>
                          </a:xfrm>
                          <a:prstGeom prst="rect">
                            <a:avLst/>
                          </a:prstGeom>
                          <a:noFill/>
                          <a:ln>
                            <a:noFill/>
                          </a:ln>
                        </pic:spPr>
                      </pic:pic>
                    </a:graphicData>
                  </a:graphic>
                </wp:inline>
              </w:drawing>
            </w:r>
            <w:r w:rsidRPr="00C67904">
              <w:rPr>
                <w:rFonts w:ascii="Times New Roman" w:eastAsia="Times New Roman" w:hAnsi="Times New Roman" w:cs="Times New Roman"/>
                <w:sz w:val="24"/>
                <w:szCs w:val="24"/>
                <w:lang w:eastAsia="uk-UA"/>
              </w:rPr>
              <w:t> для електроустановок, призначених для споживання електричної енергії, встановлюються НКРЕКП на розрахунковий період та розраховуються за формулою</w:t>
            </w:r>
          </w:p>
          <w:p w:rsidR="00147C1F" w:rsidRPr="00C67904" w:rsidRDefault="00465C73" w:rsidP="00147C1F">
            <w:pPr>
              <w:shd w:val="clear" w:color="auto" w:fill="FFFFFF"/>
              <w:spacing w:after="150"/>
              <w:ind w:firstLine="450"/>
              <w:jc w:val="both"/>
              <w:rPr>
                <w:rFonts w:ascii="Times New Roman" w:eastAsia="Times New Roman" w:hAnsi="Times New Roman" w:cs="Times New Roman"/>
                <w:color w:val="333333"/>
                <w:sz w:val="24"/>
                <w:szCs w:val="24"/>
                <w:lang w:eastAsia="uk-UA"/>
              </w:rPr>
            </w:pPr>
            <m:oMathPara>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П</m:t>
                    </m:r>
                  </m:e>
                  <m:sub>
                    <m:sSub>
                      <m:sSubPr>
                        <m:ctrlPr>
                          <w:rPr>
                            <w:rFonts w:ascii="Cambria Math" w:hAnsi="Cambria Math"/>
                            <w:i/>
                            <w:sz w:val="28"/>
                            <w:szCs w:val="28"/>
                          </w:rPr>
                        </m:ctrlPr>
                      </m:sSubPr>
                      <m:e>
                        <m:r>
                          <w:rPr>
                            <w:rFonts w:ascii="Cambria Math" w:hAnsi="Cambria Math"/>
                            <w:sz w:val="28"/>
                            <w:szCs w:val="28"/>
                          </w:rPr>
                          <m:t>базова</m:t>
                        </m:r>
                      </m:e>
                      <m:sub>
                        <m:r>
                          <w:rPr>
                            <w:rFonts w:ascii="Cambria Math" w:hAnsi="Cambria Math"/>
                            <w:sz w:val="28"/>
                            <w:szCs w:val="28"/>
                          </w:rPr>
                          <m:t>нст</m:t>
                        </m:r>
                      </m:sub>
                    </m:sSub>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 грн/кВт,</m:t>
                </m:r>
              </m:oMath>
            </m:oMathPara>
          </w:p>
          <w:tbl>
            <w:tblPr>
              <w:tblW w:w="5000" w:type="pct"/>
              <w:tblCellMar>
                <w:top w:w="15" w:type="dxa"/>
                <w:left w:w="15" w:type="dxa"/>
                <w:bottom w:w="15" w:type="dxa"/>
                <w:right w:w="15" w:type="dxa"/>
              </w:tblCellMar>
              <w:tblLook w:val="04A0" w:firstRow="1" w:lastRow="0" w:firstColumn="1" w:lastColumn="0" w:noHBand="0" w:noVBand="1"/>
            </w:tblPr>
            <w:tblGrid>
              <w:gridCol w:w="322"/>
              <w:gridCol w:w="1170"/>
              <w:gridCol w:w="163"/>
              <w:gridCol w:w="6062"/>
            </w:tblGrid>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де</w:t>
                  </w: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noProof/>
                      <w:color w:val="004BC1"/>
                      <w:sz w:val="24"/>
                      <w:szCs w:val="24"/>
                      <w:lang w:eastAsia="uk-UA"/>
                    </w:rPr>
                    <w:drawing>
                      <wp:inline distT="0" distB="0" distL="0" distR="0" wp14:anchorId="7FF7E39A" wp14:editId="63E3908A">
                        <wp:extent cx="723900" cy="361950"/>
                        <wp:effectExtent l="0" t="0" r="0" b="0"/>
                        <wp:docPr id="9" name="Рисунок 9" descr="https://zakon.rada.gov.ua/laws/file/imgs/128/p480243n459-18.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8/p480243n459-18.gif">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3619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w:t>
                  </w: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 xml:space="preserve">питома вартість приєднання 1 кВт потужності електроустановок замовника, яка встановлюється на рівні 3,48 </w:t>
                  </w:r>
                  <w:proofErr w:type="spellStart"/>
                  <w:r w:rsidRPr="00C67904">
                    <w:rPr>
                      <w:rFonts w:ascii="Times New Roman" w:eastAsia="Times New Roman" w:hAnsi="Times New Roman" w:cs="Times New Roman"/>
                      <w:sz w:val="24"/>
                      <w:szCs w:val="24"/>
                      <w:lang w:eastAsia="uk-UA"/>
                    </w:rPr>
                    <w:t>тис.грн</w:t>
                  </w:r>
                  <w:proofErr w:type="spellEnd"/>
                  <w:r w:rsidRPr="00C67904">
                    <w:rPr>
                      <w:rFonts w:ascii="Times New Roman" w:eastAsia="Times New Roman" w:hAnsi="Times New Roman" w:cs="Times New Roman"/>
                      <w:sz w:val="24"/>
                      <w:szCs w:val="24"/>
                      <w:lang w:eastAsia="uk-UA"/>
                    </w:rPr>
                    <w:t>/кВт станом на 01 січня 2025 року;</w:t>
                  </w:r>
                </w:p>
              </w:tc>
            </w:tr>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к</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категорії надійності електропостачання (додаток 3 до цієї Методики);</w:t>
                  </w:r>
                </w:p>
              </w:tc>
            </w:tr>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н</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ступеня напруги в точці приєднання (110(154)/35/20(10)6/0,4(0,23) кВ) (додаток 4 до цієї Методики);</w:t>
                  </w:r>
                </w:p>
              </w:tc>
            </w:tr>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місц</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що враховує місцезнаходження електроустановок замовника (міська або сільська місцевість), визначається згідно з додатком 6 до цієї Методики;</w:t>
                  </w:r>
                </w:p>
              </w:tc>
            </w:tr>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r w:rsidRPr="00C67904">
                    <w:rPr>
                      <w:rFonts w:ascii="Times New Roman" w:eastAsia="Times New Roman" w:hAnsi="Times New Roman" w:cs="Times New Roman"/>
                      <w:noProof/>
                      <w:color w:val="004BC1"/>
                      <w:sz w:val="24"/>
                      <w:szCs w:val="24"/>
                      <w:lang w:eastAsia="uk-UA"/>
                    </w:rPr>
                    <w:drawing>
                      <wp:inline distT="0" distB="0" distL="0" distR="0" wp14:anchorId="2C2CF93E" wp14:editId="546283B5">
                        <wp:extent cx="409575" cy="247650"/>
                        <wp:effectExtent l="0" t="0" r="9525" b="0"/>
                        <wp:docPr id="10" name="Рисунок 10" descr="https://zakon.rada.gov.ua/laws/file/imgs/117/p480243n459-19.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17/p480243n459-19.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завантаження трансформаторних підстанцій у межах територіальної одиниці і основної мережі напругою 35-110(154) кВ оператора системи розподілу, який розраховується за формулою 8 цієї Методики;</w:t>
                  </w:r>
                </w:p>
              </w:tc>
            </w:tr>
            <w:tr w:rsidR="00147C1F" w:rsidRPr="00C67904" w:rsidTr="008F144D">
              <w:tc>
                <w:tcPr>
                  <w:tcW w:w="322"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roofErr w:type="spellStart"/>
                  <w:r w:rsidRPr="00C67904">
                    <w:rPr>
                      <w:rFonts w:ascii="Times New Roman" w:eastAsia="Times New Roman" w:hAnsi="Times New Roman" w:cs="Times New Roman"/>
                      <w:sz w:val="24"/>
                      <w:szCs w:val="24"/>
                      <w:lang w:eastAsia="uk-UA"/>
                    </w:rPr>
                    <w:t>К</w:t>
                  </w:r>
                  <w:r w:rsidRPr="00C67904">
                    <w:rPr>
                      <w:rFonts w:ascii="Times New Roman" w:eastAsia="Times New Roman" w:hAnsi="Times New Roman" w:cs="Times New Roman"/>
                      <w:b/>
                      <w:bCs/>
                      <w:sz w:val="16"/>
                      <w:szCs w:val="16"/>
                      <w:vertAlign w:val="subscript"/>
                      <w:lang w:eastAsia="uk-UA"/>
                    </w:rPr>
                    <w:t>інд</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jc w:val="center"/>
                    <w:rPr>
                      <w:rFonts w:ascii="Times New Roman" w:eastAsia="Times New Roman" w:hAnsi="Times New Roman" w:cs="Times New Roman"/>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147C1F" w:rsidRPr="00C67904" w:rsidRDefault="00147C1F" w:rsidP="00147C1F">
                  <w:pPr>
                    <w:spacing w:before="150" w:after="150" w:line="240" w:lineRule="auto"/>
                    <w:rPr>
                      <w:rFonts w:ascii="Times New Roman" w:eastAsia="Times New Roman" w:hAnsi="Times New Roman" w:cs="Times New Roman"/>
                      <w:sz w:val="24"/>
                      <w:szCs w:val="24"/>
                      <w:lang w:eastAsia="uk-UA"/>
                    </w:rPr>
                  </w:pPr>
                  <w:r w:rsidRPr="00C67904">
                    <w:rPr>
                      <w:rFonts w:ascii="Times New Roman" w:eastAsia="Times New Roman" w:hAnsi="Times New Roman" w:cs="Times New Roman"/>
                      <w:sz w:val="24"/>
                      <w:szCs w:val="24"/>
                      <w:lang w:eastAsia="uk-UA"/>
                    </w:rPr>
                    <w:t>коефіцієнт прогнозного індексу зміни цін виробників промислової продукції на розрахунковий період у відношенні до базового періоду. Розмір індексу затверджується відповідною постановою Кабінету Міністрів України про схвалення Прогнозу економічного і соціального розвитку України на розрахунковий період (мінімальний). У разі відсутності затвердженого відповідною постановою Кабінету Міністрів України прогнозного індексу цін виробників промислової продукції, його застосовується індекс, врахований у Державному бюджеті України на відповідний рік.</w:t>
                  </w:r>
                </w:p>
              </w:tc>
            </w:tr>
          </w:tbl>
          <w:p w:rsidR="00147C1F" w:rsidRPr="002E3C17" w:rsidRDefault="00147C1F" w:rsidP="00147C1F">
            <w:pPr>
              <w:pStyle w:val="rvps2"/>
              <w:shd w:val="clear" w:color="auto" w:fill="FFFFFF"/>
              <w:spacing w:before="0" w:beforeAutospacing="0" w:after="150" w:afterAutospacing="0"/>
              <w:jc w:val="both"/>
              <w:rPr>
                <w:b/>
                <w:i/>
              </w:rPr>
            </w:pPr>
          </w:p>
        </w:tc>
      </w:tr>
      <w:tr w:rsidR="00147C1F" w:rsidRPr="00651365" w:rsidTr="003C613E">
        <w:trPr>
          <w:trHeight w:val="708"/>
        </w:trPr>
        <w:tc>
          <w:tcPr>
            <w:tcW w:w="7938" w:type="dxa"/>
          </w:tcPr>
          <w:p w:rsidR="00147C1F" w:rsidRDefault="00147C1F" w:rsidP="00147C1F">
            <w:pPr>
              <w:pStyle w:val="rvps2"/>
              <w:shd w:val="clear" w:color="auto" w:fill="FFFFFF"/>
              <w:spacing w:before="0" w:beforeAutospacing="0" w:after="150" w:afterAutospacing="0"/>
              <w:ind w:firstLine="450"/>
              <w:jc w:val="both"/>
            </w:pPr>
            <w:r w:rsidRPr="00C67904">
              <w:lastRenderedPageBreak/>
              <w:t>5.3. Ставка плати за нестандартне приєднання потужності </w:t>
            </w:r>
            <w:proofErr w:type="spellStart"/>
            <w:r w:rsidRPr="00C67904">
              <w:rPr>
                <w:rStyle w:val="rvts9"/>
                <w:b/>
                <w:bCs/>
              </w:rPr>
              <w:t>С</w:t>
            </w:r>
            <w:r w:rsidRPr="00C67904">
              <w:rPr>
                <w:rStyle w:val="rvts40"/>
                <w:b/>
                <w:bCs/>
                <w:sz w:val="16"/>
                <w:szCs w:val="16"/>
                <w:vertAlign w:val="subscript"/>
              </w:rPr>
              <w:t>нст</w:t>
            </w:r>
            <w:r w:rsidRPr="00C67904">
              <w:rPr>
                <w:rStyle w:val="rvts37"/>
                <w:b/>
                <w:bCs/>
                <w:sz w:val="16"/>
                <w:szCs w:val="16"/>
                <w:vertAlign w:val="superscript"/>
              </w:rPr>
              <w:t>к.н.зтт.місц.в</w:t>
            </w:r>
            <w:proofErr w:type="spellEnd"/>
            <w:r w:rsidRPr="00C67904">
              <w:t> для електроустановок, призначених для виробництва електричної енергії, встановлюються НКРЕКП на розрахунковий період та розраховуються за формулою</w:t>
            </w:r>
          </w:p>
          <w:p w:rsidR="00147C1F" w:rsidRPr="00BF3E41" w:rsidRDefault="00465C73" w:rsidP="00147C1F">
            <w:pPr>
              <w:pStyle w:val="rvps2"/>
              <w:shd w:val="clear" w:color="auto" w:fill="FFFFFF"/>
              <w:spacing w:before="0" w:beforeAutospacing="0" w:after="150" w:afterAutospacing="0"/>
              <w:ind w:firstLine="450"/>
              <w:jc w:val="both"/>
              <w:rPr>
                <w:i/>
                <w:lang w:val="en-US"/>
              </w:rPr>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П</m:t>
                    </m:r>
                  </m:e>
                  <m:sub>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базова</m:t>
                        </m:r>
                      </m:e>
                      <m:sub>
                        <m:r>
                          <w:rPr>
                            <w:rFonts w:ascii="Cambria Math" w:eastAsiaTheme="minorHAnsi" w:hAnsi="Cambria Math"/>
                            <w:sz w:val="28"/>
                            <w:szCs w:val="28"/>
                            <w:lang w:eastAsia="en-US"/>
                          </w:rPr>
                          <m:t>нст</m:t>
                        </m:r>
                      </m:sub>
                    </m:sSub>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 грн/кВт,</m:t>
                </m:r>
              </m:oMath>
            </m:oMathPara>
          </w:p>
          <w:p w:rsidR="00147C1F" w:rsidRPr="00C67904" w:rsidRDefault="00147C1F" w:rsidP="00147C1F">
            <w:pPr>
              <w:pStyle w:val="rvps2"/>
              <w:shd w:val="clear" w:color="auto" w:fill="FFFFFF"/>
              <w:spacing w:before="0" w:beforeAutospacing="0" w:after="150" w:afterAutospacing="0"/>
              <w:ind w:firstLine="450"/>
              <w:jc w:val="both"/>
              <w:rPr>
                <w:color w:val="333333"/>
              </w:rPr>
            </w:pPr>
            <w:bookmarkStart w:id="7" w:name="n279"/>
            <w:bookmarkStart w:id="8" w:name="n460"/>
            <w:bookmarkStart w:id="9" w:name="n280"/>
            <w:bookmarkEnd w:id="7"/>
            <w:bookmarkEnd w:id="8"/>
            <w:bookmarkEnd w:id="9"/>
            <w:r w:rsidRPr="00C67904">
              <w:t>Якщо величина виразу (1 - </w:t>
            </w:r>
            <w:proofErr w:type="spellStart"/>
            <w:r w:rsidRPr="00C67904">
              <w:rPr>
                <w:rStyle w:val="rvts9"/>
                <w:b/>
                <w:bCs/>
              </w:rPr>
              <w:t>К</w:t>
            </w:r>
            <w:r w:rsidRPr="00C67904">
              <w:rPr>
                <w:rStyle w:val="rvts37"/>
                <w:b/>
                <w:bCs/>
                <w:sz w:val="16"/>
                <w:szCs w:val="16"/>
                <w:vertAlign w:val="superscript"/>
              </w:rPr>
              <w:t>і</w:t>
            </w:r>
            <w:r w:rsidRPr="00C67904">
              <w:rPr>
                <w:rStyle w:val="rvts40"/>
                <w:b/>
                <w:bCs/>
                <w:sz w:val="16"/>
                <w:szCs w:val="16"/>
                <w:vertAlign w:val="subscript"/>
              </w:rPr>
              <w:t>ЗТТ</w:t>
            </w:r>
            <w:proofErr w:type="spellEnd"/>
            <w:r w:rsidRPr="00C67904">
              <w:t>) становить менше 0,25 (у тому числі з від'ємним значенням), вона приймається рівною 0,25.</w:t>
            </w:r>
          </w:p>
        </w:tc>
        <w:tc>
          <w:tcPr>
            <w:tcW w:w="7939" w:type="dxa"/>
          </w:tcPr>
          <w:p w:rsidR="00147C1F" w:rsidRDefault="00147C1F" w:rsidP="00147C1F">
            <w:pPr>
              <w:pStyle w:val="rvps2"/>
              <w:shd w:val="clear" w:color="auto" w:fill="FFFFFF"/>
              <w:spacing w:before="0" w:beforeAutospacing="0" w:after="150" w:afterAutospacing="0"/>
              <w:ind w:firstLine="450"/>
              <w:jc w:val="both"/>
            </w:pPr>
            <w:r w:rsidRPr="00C67904">
              <w:lastRenderedPageBreak/>
              <w:t>5.3. Ставка плати за нестандартне приєднання потужності </w:t>
            </w:r>
            <w:proofErr w:type="spellStart"/>
            <w:r w:rsidRPr="00C67904">
              <w:rPr>
                <w:rStyle w:val="rvts9"/>
                <w:b/>
                <w:bCs/>
              </w:rPr>
              <w:t>С</w:t>
            </w:r>
            <w:r w:rsidRPr="00C67904">
              <w:rPr>
                <w:rStyle w:val="rvts40"/>
                <w:b/>
                <w:bCs/>
                <w:sz w:val="16"/>
                <w:szCs w:val="16"/>
                <w:vertAlign w:val="subscript"/>
              </w:rPr>
              <w:t>нст</w:t>
            </w:r>
            <w:r w:rsidRPr="00C67904">
              <w:rPr>
                <w:rStyle w:val="rvts37"/>
                <w:b/>
                <w:bCs/>
                <w:sz w:val="16"/>
                <w:szCs w:val="16"/>
                <w:vertAlign w:val="superscript"/>
              </w:rPr>
              <w:t>к.н.зтт.місц.в</w:t>
            </w:r>
            <w:proofErr w:type="spellEnd"/>
            <w:r w:rsidRPr="00C67904">
              <w:t> для електроустановок, призначених для виробництва електричної енергії, встановлюються НКРЕКП на розрахунковий період та розраховуються за формулою</w:t>
            </w:r>
          </w:p>
          <w:p w:rsidR="00147C1F" w:rsidRPr="00BF3E41" w:rsidRDefault="00465C73" w:rsidP="00147C1F">
            <w:pPr>
              <w:pStyle w:val="rvps2"/>
              <w:shd w:val="clear" w:color="auto" w:fill="FFFFFF"/>
              <w:spacing w:before="0" w:beforeAutospacing="0" w:after="150" w:afterAutospacing="0"/>
              <w:ind w:firstLine="450"/>
              <w:jc w:val="both"/>
              <w:rPr>
                <w:i/>
                <w:lang w:val="en-US"/>
              </w:rPr>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П</m:t>
                    </m:r>
                  </m:e>
                  <m:sub>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базова</m:t>
                        </m:r>
                      </m:e>
                      <m:sub>
                        <m:r>
                          <w:rPr>
                            <w:rFonts w:ascii="Cambria Math" w:eastAsiaTheme="minorHAnsi" w:hAnsi="Cambria Math"/>
                            <w:sz w:val="28"/>
                            <w:szCs w:val="28"/>
                            <w:lang w:eastAsia="en-US"/>
                          </w:rPr>
                          <m:t>нст</m:t>
                        </m:r>
                      </m:sub>
                    </m:sSub>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e>
                </m:d>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m:t>
                </m:r>
                <m:r>
                  <w:rPr>
                    <w:rFonts w:ascii="Cambria Math" w:hAnsi="Cambria Math"/>
                    <w:sz w:val="28"/>
                    <w:szCs w:val="28"/>
                  </w:rPr>
                  <m:t xml:space="preserve"> грн/кВт,</m:t>
                </m:r>
              </m:oMath>
            </m:oMathPara>
          </w:p>
          <w:p w:rsidR="00147C1F" w:rsidRPr="00C67904" w:rsidRDefault="00147C1F" w:rsidP="00147C1F">
            <w:pPr>
              <w:pStyle w:val="rvps2"/>
              <w:shd w:val="clear" w:color="auto" w:fill="FFFFFF"/>
              <w:spacing w:before="0" w:beforeAutospacing="0" w:after="150" w:afterAutospacing="0"/>
              <w:ind w:firstLine="450"/>
              <w:jc w:val="both"/>
              <w:rPr>
                <w:color w:val="333333"/>
              </w:rPr>
            </w:pPr>
            <w:r w:rsidRPr="00C67904">
              <w:t>Якщо величина виразу (1 - </w:t>
            </w:r>
            <w:proofErr w:type="spellStart"/>
            <w:r w:rsidRPr="00C67904">
              <w:rPr>
                <w:rStyle w:val="rvts9"/>
                <w:b/>
                <w:bCs/>
              </w:rPr>
              <w:t>К</w:t>
            </w:r>
            <w:r w:rsidRPr="00C67904">
              <w:rPr>
                <w:rStyle w:val="rvts37"/>
                <w:b/>
                <w:bCs/>
                <w:sz w:val="16"/>
                <w:szCs w:val="16"/>
                <w:vertAlign w:val="superscript"/>
              </w:rPr>
              <w:t>і</w:t>
            </w:r>
            <w:r w:rsidRPr="00C67904">
              <w:rPr>
                <w:rStyle w:val="rvts40"/>
                <w:b/>
                <w:bCs/>
                <w:sz w:val="16"/>
                <w:szCs w:val="16"/>
                <w:vertAlign w:val="subscript"/>
              </w:rPr>
              <w:t>ЗТТ</w:t>
            </w:r>
            <w:proofErr w:type="spellEnd"/>
            <w:r w:rsidRPr="00C67904">
              <w:t>) становить менше 0,25 (у тому числі з від'ємним значенням), вона приймається рівною 0,25.</w:t>
            </w:r>
          </w:p>
        </w:tc>
      </w:tr>
      <w:tr w:rsidR="00147C1F" w:rsidRPr="00651365" w:rsidTr="003C613E">
        <w:trPr>
          <w:trHeight w:val="708"/>
        </w:trPr>
        <w:tc>
          <w:tcPr>
            <w:tcW w:w="7938" w:type="dxa"/>
          </w:tcPr>
          <w:p w:rsidR="00147C1F" w:rsidRDefault="00147C1F" w:rsidP="00147C1F">
            <w:pPr>
              <w:pStyle w:val="rvps2"/>
              <w:shd w:val="clear" w:color="auto" w:fill="FFFFFF"/>
              <w:spacing w:before="0" w:beforeAutospacing="0" w:after="150" w:afterAutospacing="0"/>
              <w:ind w:firstLine="606"/>
              <w:jc w:val="both"/>
            </w:pPr>
            <w:r w:rsidRPr="00802BA8">
              <w:lastRenderedPageBreak/>
              <w:t xml:space="preserve">5.8. Плата за нестандартне приєднання </w:t>
            </w:r>
            <w:r>
              <w:t>«</w:t>
            </w:r>
            <w:r w:rsidRPr="00802BA8">
              <w:t>під ключ</w:t>
            </w:r>
            <w:r>
              <w:t>»</w:t>
            </w:r>
            <w:r w:rsidRPr="00802BA8">
              <w:t xml:space="preserve"> для електроустановок, призначених для зберігання енергії, визначається за формулою</w:t>
            </w:r>
          </w:p>
          <w:p w:rsidR="00147C1F" w:rsidRPr="00802BA8" w:rsidRDefault="00465C73" w:rsidP="00147C1F">
            <w:pPr>
              <w:pStyle w:val="rvps2"/>
              <w:shd w:val="clear" w:color="auto" w:fill="FFFFFF"/>
              <w:spacing w:before="0" w:beforeAutospacing="0" w:after="150" w:afterAutospacing="0"/>
              <w:ind w:firstLine="606"/>
              <w:jc w:val="both"/>
            </w:pPr>
            <m:oMathPara>
              <m:oMath>
                <m:sSubSup>
                  <m:sSubSupPr>
                    <m:ctrlPr>
                      <w:rPr>
                        <w:rFonts w:ascii="Cambria Math" w:hAnsi="Cambria Math"/>
                        <w:i/>
                        <w:szCs w:val="30"/>
                      </w:rPr>
                    </m:ctrlPr>
                  </m:sSubSupPr>
                  <m:e>
                    <m:r>
                      <w:rPr>
                        <w:rFonts w:ascii="Cambria Math" w:hAnsi="Cambria Math"/>
                        <w:szCs w:val="30"/>
                      </w:rPr>
                      <m:t>П</m:t>
                    </m:r>
                  </m:e>
                  <m:sub>
                    <m:r>
                      <w:rPr>
                        <w:rFonts w:ascii="Cambria Math" w:hAnsi="Cambria Math"/>
                        <w:szCs w:val="30"/>
                      </w:rPr>
                      <m:t>нст</m:t>
                    </m:r>
                  </m:sub>
                  <m:sup>
                    <m:r>
                      <w:rPr>
                        <w:rFonts w:ascii="Cambria Math" w:hAnsi="Cambria Math"/>
                        <w:szCs w:val="30"/>
                      </w:rPr>
                      <m:t>з</m:t>
                    </m:r>
                  </m:sup>
                </m:sSubSup>
                <m:r>
                  <w:rPr>
                    <w:rFonts w:ascii="Cambria Math" w:hAnsi="Cambria Math"/>
                    <w:szCs w:val="30"/>
                  </w:rPr>
                  <m:t xml:space="preserve">= </m:t>
                </m:r>
                <m:sSub>
                  <m:sSubPr>
                    <m:ctrlPr>
                      <w:rPr>
                        <w:rFonts w:ascii="Cambria Math" w:hAnsi="Cambria Math"/>
                        <w:i/>
                        <w:szCs w:val="30"/>
                      </w:rPr>
                    </m:ctrlPr>
                  </m:sSubPr>
                  <m:e>
                    <m:r>
                      <w:rPr>
                        <w:rFonts w:ascii="Cambria Math" w:hAnsi="Cambria Math"/>
                        <w:szCs w:val="30"/>
                      </w:rPr>
                      <m:t>Р</m:t>
                    </m:r>
                  </m:e>
                  <m:sub>
                    <m:r>
                      <w:rPr>
                        <w:rFonts w:ascii="Cambria Math" w:hAnsi="Cambria Math"/>
                        <w:szCs w:val="30"/>
                      </w:rPr>
                      <m:t>заявл</m:t>
                    </m:r>
                  </m:sub>
                </m:sSub>
                <m:r>
                  <w:rPr>
                    <w:rFonts w:ascii="Cambria Math" w:hAnsi="Cambria Math"/>
                    <w:szCs w:val="30"/>
                  </w:rPr>
                  <m:t xml:space="preserve"> х </m:t>
                </m:r>
                <m:f>
                  <m:fPr>
                    <m:ctrlPr>
                      <w:rPr>
                        <w:rFonts w:ascii="Cambria Math" w:hAnsi="Cambria Math"/>
                        <w:i/>
                        <w:szCs w:val="30"/>
                      </w:rPr>
                    </m:ctrlPr>
                  </m:fPr>
                  <m:num>
                    <m:r>
                      <w:rPr>
                        <w:rFonts w:ascii="Cambria Math" w:hAnsi="Cambria Math"/>
                        <w:szCs w:val="30"/>
                      </w:rPr>
                      <m:t>(</m:t>
                    </m:r>
                    <m:sSubSup>
                      <m:sSubSupPr>
                        <m:ctrlPr>
                          <w:rPr>
                            <w:rFonts w:ascii="Cambria Math" w:hAnsi="Cambria Math"/>
                            <w:i/>
                            <w:szCs w:val="30"/>
                          </w:rPr>
                        </m:ctrlPr>
                      </m:sSubSupPr>
                      <m:e>
                        <m:r>
                          <w:rPr>
                            <w:rFonts w:ascii="Cambria Math" w:hAnsi="Cambria Math"/>
                            <w:szCs w:val="30"/>
                          </w:rPr>
                          <m:t>С</m:t>
                        </m:r>
                      </m:e>
                      <m:sub>
                        <m:r>
                          <w:rPr>
                            <w:rFonts w:ascii="Cambria Math" w:hAnsi="Cambria Math"/>
                            <w:szCs w:val="30"/>
                          </w:rPr>
                          <m:t>нст</m:t>
                        </m:r>
                      </m:sub>
                      <m:sup>
                        <m:r>
                          <w:rPr>
                            <w:rFonts w:ascii="Cambria Math" w:hAnsi="Cambria Math"/>
                            <w:szCs w:val="30"/>
                          </w:rPr>
                          <m:t>к,н, зтт, місц, с</m:t>
                        </m:r>
                      </m:sup>
                    </m:sSubSup>
                    <m:r>
                      <w:rPr>
                        <w:rFonts w:ascii="Cambria Math" w:hAnsi="Cambria Math"/>
                        <w:szCs w:val="30"/>
                      </w:rPr>
                      <m:t>+</m:t>
                    </m:r>
                    <m:sSubSup>
                      <m:sSubSupPr>
                        <m:ctrlPr>
                          <w:rPr>
                            <w:rFonts w:ascii="Cambria Math" w:hAnsi="Cambria Math"/>
                            <w:i/>
                            <w:szCs w:val="30"/>
                          </w:rPr>
                        </m:ctrlPr>
                      </m:sSubSupPr>
                      <m:e>
                        <m:r>
                          <w:rPr>
                            <w:rFonts w:ascii="Cambria Math" w:hAnsi="Cambria Math"/>
                            <w:szCs w:val="30"/>
                          </w:rPr>
                          <m:t>С</m:t>
                        </m:r>
                      </m:e>
                      <m:sub>
                        <m:r>
                          <w:rPr>
                            <w:rFonts w:ascii="Cambria Math" w:hAnsi="Cambria Math"/>
                            <w:szCs w:val="30"/>
                          </w:rPr>
                          <m:t>нст</m:t>
                        </m:r>
                      </m:sub>
                      <m:sup>
                        <m:r>
                          <w:rPr>
                            <w:rFonts w:ascii="Cambria Math" w:hAnsi="Cambria Math"/>
                            <w:szCs w:val="30"/>
                          </w:rPr>
                          <m:t>к,н, зтт, місц, в</m:t>
                        </m:r>
                      </m:sup>
                    </m:sSubSup>
                    <m:r>
                      <w:rPr>
                        <w:rFonts w:ascii="Cambria Math" w:hAnsi="Cambria Math"/>
                        <w:szCs w:val="30"/>
                      </w:rPr>
                      <m:t>)</m:t>
                    </m:r>
                  </m:num>
                  <m:den>
                    <m:r>
                      <w:rPr>
                        <w:rFonts w:ascii="Cambria Math" w:hAnsi="Cambria Math"/>
                        <w:szCs w:val="30"/>
                      </w:rPr>
                      <m:t>2</m:t>
                    </m:r>
                  </m:den>
                </m:f>
                <m:r>
                  <w:rPr>
                    <w:rFonts w:ascii="Cambria Math" w:hAnsi="Cambria Math"/>
                    <w:szCs w:val="30"/>
                  </w:rPr>
                  <m:t>+</m:t>
                </m:r>
                <m:sSub>
                  <m:sSubPr>
                    <m:ctrlPr>
                      <w:rPr>
                        <w:rFonts w:ascii="Cambria Math" w:hAnsi="Cambria Math"/>
                        <w:i/>
                        <w:szCs w:val="30"/>
                      </w:rPr>
                    </m:ctrlPr>
                  </m:sSubPr>
                  <m:e>
                    <m:r>
                      <w:rPr>
                        <w:rFonts w:ascii="Cambria Math" w:hAnsi="Cambria Math"/>
                        <w:szCs w:val="30"/>
                        <w:lang w:val="en-US"/>
                      </w:rPr>
                      <m:t>l</m:t>
                    </m:r>
                  </m:e>
                  <m:sub>
                    <m:r>
                      <w:rPr>
                        <w:rFonts w:ascii="Cambria Math" w:hAnsi="Cambria Math"/>
                        <w:szCs w:val="30"/>
                      </w:rPr>
                      <m:t>м</m:t>
                    </m:r>
                  </m:sub>
                </m:sSub>
                <m:r>
                  <w:rPr>
                    <w:rFonts w:ascii="Cambria Math" w:hAnsi="Cambria Math"/>
                    <w:szCs w:val="30"/>
                  </w:rPr>
                  <m:t xml:space="preserve"> х </m:t>
                </m:r>
                <m:sSubSup>
                  <m:sSubSupPr>
                    <m:ctrlPr>
                      <w:rPr>
                        <w:rFonts w:ascii="Cambria Math" w:hAnsi="Cambria Math"/>
                        <w:i/>
                        <w:szCs w:val="30"/>
                      </w:rPr>
                    </m:ctrlPr>
                  </m:sSubSupPr>
                  <m:e>
                    <m:r>
                      <w:rPr>
                        <w:rFonts w:ascii="Cambria Math" w:hAnsi="Cambria Math"/>
                        <w:szCs w:val="30"/>
                      </w:rPr>
                      <m:t>С</m:t>
                    </m:r>
                  </m:e>
                  <m:sub>
                    <m:r>
                      <w:rPr>
                        <w:rFonts w:ascii="Cambria Math" w:hAnsi="Cambria Math"/>
                        <w:szCs w:val="30"/>
                      </w:rPr>
                      <m:t>лін</m:t>
                    </m:r>
                  </m:sub>
                  <m:sup>
                    <m:r>
                      <w:rPr>
                        <w:rFonts w:ascii="Cambria Math" w:hAnsi="Cambria Math"/>
                        <w:szCs w:val="30"/>
                      </w:rPr>
                      <m:t>л,н,зем</m:t>
                    </m:r>
                  </m:sup>
                </m:sSubSup>
                <m:r>
                  <w:rPr>
                    <w:rFonts w:ascii="Cambria Math" w:hAnsi="Cambria Math"/>
                    <w:szCs w:val="30"/>
                  </w:rPr>
                  <m:t xml:space="preserve">   тис. грн</m:t>
                </m:r>
              </m:oMath>
            </m:oMathPara>
          </w:p>
        </w:tc>
        <w:tc>
          <w:tcPr>
            <w:tcW w:w="7939" w:type="dxa"/>
          </w:tcPr>
          <w:p w:rsidR="00147C1F" w:rsidRPr="00802BA8" w:rsidRDefault="00147C1F" w:rsidP="00147C1F">
            <w:pPr>
              <w:pStyle w:val="rvps2"/>
              <w:shd w:val="clear" w:color="auto" w:fill="FFFFFF"/>
              <w:spacing w:before="0" w:beforeAutospacing="0" w:after="150" w:afterAutospacing="0"/>
              <w:ind w:firstLine="606"/>
              <w:jc w:val="both"/>
              <w:rPr>
                <w:strike/>
              </w:rPr>
            </w:pPr>
            <w:r w:rsidRPr="00802BA8">
              <w:rPr>
                <w:strike/>
              </w:rPr>
              <w:t xml:space="preserve">5.8. Плата за нестандартне приєднання </w:t>
            </w:r>
            <w:r>
              <w:rPr>
                <w:strike/>
              </w:rPr>
              <w:t>«</w:t>
            </w:r>
            <w:r w:rsidRPr="00802BA8">
              <w:rPr>
                <w:strike/>
              </w:rPr>
              <w:t>під ключ</w:t>
            </w:r>
            <w:r>
              <w:rPr>
                <w:strike/>
              </w:rPr>
              <w:t>»</w:t>
            </w:r>
            <w:r w:rsidRPr="00802BA8">
              <w:rPr>
                <w:strike/>
              </w:rPr>
              <w:t xml:space="preserve"> для електроустановок, призначених для зберігання енергії, визначається за формулою</w:t>
            </w:r>
          </w:p>
          <w:p w:rsidR="00147C1F" w:rsidRPr="00802BA8" w:rsidRDefault="00465C73" w:rsidP="00147C1F">
            <w:pPr>
              <w:shd w:val="clear" w:color="auto" w:fill="FFFFFF"/>
              <w:ind w:firstLine="610"/>
              <w:jc w:val="both"/>
              <w:rPr>
                <w:rFonts w:ascii="Times New Roman" w:eastAsia="Times New Roman" w:hAnsi="Times New Roman" w:cs="Times New Roman"/>
                <w:b/>
                <w:strike/>
                <w:sz w:val="24"/>
                <w:szCs w:val="24"/>
                <w:lang w:eastAsia="uk-UA"/>
              </w:rPr>
            </w:pPr>
            <m:oMathPara>
              <m:oMath>
                <m:sSubSup>
                  <m:sSubSupPr>
                    <m:ctrlPr>
                      <w:rPr>
                        <w:rFonts w:ascii="Cambria Math" w:hAnsi="Cambria Math"/>
                        <w:i/>
                        <w:strike/>
                        <w:szCs w:val="30"/>
                        <w:lang w:eastAsia="uk-UA"/>
                      </w:rPr>
                    </m:ctrlPr>
                  </m:sSubSupPr>
                  <m:e>
                    <m:r>
                      <w:rPr>
                        <w:rFonts w:ascii="Cambria Math" w:hAnsi="Cambria Math"/>
                        <w:strike/>
                        <w:szCs w:val="30"/>
                        <w:lang w:eastAsia="uk-UA"/>
                      </w:rPr>
                      <m:t>П</m:t>
                    </m:r>
                  </m:e>
                  <m:sub>
                    <m:r>
                      <w:rPr>
                        <w:rFonts w:ascii="Cambria Math" w:hAnsi="Cambria Math"/>
                        <w:strike/>
                        <w:szCs w:val="30"/>
                        <w:lang w:eastAsia="uk-UA"/>
                      </w:rPr>
                      <m:t>нст</m:t>
                    </m:r>
                  </m:sub>
                  <m:sup>
                    <m:r>
                      <w:rPr>
                        <w:rFonts w:ascii="Cambria Math" w:hAnsi="Cambria Math"/>
                        <w:strike/>
                        <w:szCs w:val="30"/>
                        <w:lang w:eastAsia="uk-UA"/>
                      </w:rPr>
                      <m:t>з</m:t>
                    </m:r>
                  </m:sup>
                </m:sSubSup>
                <m:r>
                  <w:rPr>
                    <w:rFonts w:ascii="Cambria Math" w:hAnsi="Cambria Math"/>
                    <w:strike/>
                    <w:szCs w:val="30"/>
                    <w:lang w:eastAsia="uk-UA"/>
                  </w:rPr>
                  <m:t xml:space="preserve">= </m:t>
                </m:r>
                <m:sSub>
                  <m:sSubPr>
                    <m:ctrlPr>
                      <w:rPr>
                        <w:rFonts w:ascii="Cambria Math" w:hAnsi="Cambria Math"/>
                        <w:i/>
                        <w:strike/>
                        <w:szCs w:val="30"/>
                        <w:lang w:eastAsia="uk-UA"/>
                      </w:rPr>
                    </m:ctrlPr>
                  </m:sSubPr>
                  <m:e>
                    <m:r>
                      <w:rPr>
                        <w:rFonts w:ascii="Cambria Math" w:hAnsi="Cambria Math"/>
                        <w:strike/>
                        <w:szCs w:val="30"/>
                        <w:lang w:eastAsia="uk-UA"/>
                      </w:rPr>
                      <m:t>Р</m:t>
                    </m:r>
                  </m:e>
                  <m:sub>
                    <m:r>
                      <w:rPr>
                        <w:rFonts w:ascii="Cambria Math" w:hAnsi="Cambria Math"/>
                        <w:strike/>
                        <w:szCs w:val="30"/>
                        <w:lang w:eastAsia="uk-UA"/>
                      </w:rPr>
                      <m:t>заявл</m:t>
                    </m:r>
                  </m:sub>
                </m:sSub>
                <m:r>
                  <w:rPr>
                    <w:rFonts w:ascii="Cambria Math" w:hAnsi="Cambria Math"/>
                    <w:strike/>
                    <w:szCs w:val="30"/>
                    <w:lang w:eastAsia="uk-UA"/>
                  </w:rPr>
                  <m:t xml:space="preserve"> х </m:t>
                </m:r>
                <m:f>
                  <m:fPr>
                    <m:ctrlPr>
                      <w:rPr>
                        <w:rFonts w:ascii="Cambria Math" w:hAnsi="Cambria Math"/>
                        <w:i/>
                        <w:strike/>
                        <w:szCs w:val="30"/>
                        <w:lang w:eastAsia="uk-UA"/>
                      </w:rPr>
                    </m:ctrlPr>
                  </m:fPr>
                  <m:num>
                    <m:r>
                      <w:rPr>
                        <w:rFonts w:ascii="Cambria Math" w:hAnsi="Cambria Math"/>
                        <w:strike/>
                        <w:szCs w:val="30"/>
                        <w:lang w:eastAsia="uk-UA"/>
                      </w:rPr>
                      <m:t>(</m:t>
                    </m:r>
                    <m:sSubSup>
                      <m:sSubSupPr>
                        <m:ctrlPr>
                          <w:rPr>
                            <w:rFonts w:ascii="Cambria Math" w:hAnsi="Cambria Math"/>
                            <w:i/>
                            <w:strike/>
                            <w:szCs w:val="30"/>
                            <w:lang w:eastAsia="uk-UA"/>
                          </w:rPr>
                        </m:ctrlPr>
                      </m:sSubSupPr>
                      <m:e>
                        <m:r>
                          <w:rPr>
                            <w:rFonts w:ascii="Cambria Math" w:hAnsi="Cambria Math"/>
                            <w:strike/>
                            <w:szCs w:val="30"/>
                            <w:lang w:eastAsia="uk-UA"/>
                          </w:rPr>
                          <m:t>С</m:t>
                        </m:r>
                      </m:e>
                      <m:sub>
                        <m:r>
                          <w:rPr>
                            <w:rFonts w:ascii="Cambria Math" w:hAnsi="Cambria Math"/>
                            <w:strike/>
                            <w:szCs w:val="30"/>
                            <w:lang w:eastAsia="uk-UA"/>
                          </w:rPr>
                          <m:t>нст</m:t>
                        </m:r>
                      </m:sub>
                      <m:sup>
                        <m:r>
                          <w:rPr>
                            <w:rFonts w:ascii="Cambria Math" w:hAnsi="Cambria Math"/>
                            <w:strike/>
                            <w:szCs w:val="30"/>
                            <w:lang w:eastAsia="uk-UA"/>
                          </w:rPr>
                          <m:t>к,н, зтт, місц, с</m:t>
                        </m:r>
                      </m:sup>
                    </m:sSubSup>
                    <m:r>
                      <w:rPr>
                        <w:rFonts w:ascii="Cambria Math" w:hAnsi="Cambria Math"/>
                        <w:strike/>
                        <w:szCs w:val="30"/>
                        <w:lang w:eastAsia="uk-UA"/>
                      </w:rPr>
                      <m:t>+</m:t>
                    </m:r>
                    <m:sSubSup>
                      <m:sSubSupPr>
                        <m:ctrlPr>
                          <w:rPr>
                            <w:rFonts w:ascii="Cambria Math" w:hAnsi="Cambria Math"/>
                            <w:i/>
                            <w:strike/>
                            <w:szCs w:val="30"/>
                            <w:lang w:eastAsia="uk-UA"/>
                          </w:rPr>
                        </m:ctrlPr>
                      </m:sSubSupPr>
                      <m:e>
                        <m:r>
                          <w:rPr>
                            <w:rFonts w:ascii="Cambria Math" w:hAnsi="Cambria Math"/>
                            <w:strike/>
                            <w:szCs w:val="30"/>
                            <w:lang w:eastAsia="uk-UA"/>
                          </w:rPr>
                          <m:t>С</m:t>
                        </m:r>
                      </m:e>
                      <m:sub>
                        <m:r>
                          <w:rPr>
                            <w:rFonts w:ascii="Cambria Math" w:hAnsi="Cambria Math"/>
                            <w:strike/>
                            <w:szCs w:val="30"/>
                            <w:lang w:eastAsia="uk-UA"/>
                          </w:rPr>
                          <m:t>нст</m:t>
                        </m:r>
                      </m:sub>
                      <m:sup>
                        <m:r>
                          <w:rPr>
                            <w:rFonts w:ascii="Cambria Math" w:hAnsi="Cambria Math"/>
                            <w:strike/>
                            <w:szCs w:val="30"/>
                            <w:lang w:eastAsia="uk-UA"/>
                          </w:rPr>
                          <m:t>к,н, зтт, місц, в</m:t>
                        </m:r>
                      </m:sup>
                    </m:sSubSup>
                    <m:r>
                      <w:rPr>
                        <w:rFonts w:ascii="Cambria Math" w:hAnsi="Cambria Math"/>
                        <w:strike/>
                        <w:szCs w:val="30"/>
                        <w:lang w:eastAsia="uk-UA"/>
                      </w:rPr>
                      <m:t>)</m:t>
                    </m:r>
                  </m:num>
                  <m:den>
                    <m:r>
                      <w:rPr>
                        <w:rFonts w:ascii="Cambria Math" w:hAnsi="Cambria Math"/>
                        <w:strike/>
                        <w:szCs w:val="30"/>
                        <w:lang w:eastAsia="uk-UA"/>
                      </w:rPr>
                      <m:t>2</m:t>
                    </m:r>
                  </m:den>
                </m:f>
                <m:r>
                  <w:rPr>
                    <w:rFonts w:ascii="Cambria Math" w:hAnsi="Cambria Math"/>
                    <w:strike/>
                    <w:szCs w:val="30"/>
                    <w:lang w:eastAsia="uk-UA"/>
                  </w:rPr>
                  <m:t>+</m:t>
                </m:r>
                <m:sSub>
                  <m:sSubPr>
                    <m:ctrlPr>
                      <w:rPr>
                        <w:rFonts w:ascii="Cambria Math" w:hAnsi="Cambria Math"/>
                        <w:i/>
                        <w:strike/>
                        <w:szCs w:val="30"/>
                        <w:lang w:eastAsia="uk-UA"/>
                      </w:rPr>
                    </m:ctrlPr>
                  </m:sSubPr>
                  <m:e>
                    <m:r>
                      <w:rPr>
                        <w:rFonts w:ascii="Cambria Math" w:hAnsi="Cambria Math"/>
                        <w:strike/>
                        <w:szCs w:val="30"/>
                        <w:lang w:val="en-US" w:eastAsia="uk-UA"/>
                      </w:rPr>
                      <m:t>l</m:t>
                    </m:r>
                  </m:e>
                  <m:sub>
                    <m:r>
                      <w:rPr>
                        <w:rFonts w:ascii="Cambria Math" w:hAnsi="Cambria Math"/>
                        <w:strike/>
                        <w:szCs w:val="30"/>
                        <w:lang w:eastAsia="uk-UA"/>
                      </w:rPr>
                      <m:t>м</m:t>
                    </m:r>
                  </m:sub>
                </m:sSub>
                <m:r>
                  <w:rPr>
                    <w:rFonts w:ascii="Cambria Math" w:hAnsi="Cambria Math"/>
                    <w:strike/>
                    <w:szCs w:val="30"/>
                    <w:lang w:eastAsia="uk-UA"/>
                  </w:rPr>
                  <m:t xml:space="preserve"> х </m:t>
                </m:r>
                <m:sSubSup>
                  <m:sSubSupPr>
                    <m:ctrlPr>
                      <w:rPr>
                        <w:rFonts w:ascii="Cambria Math" w:hAnsi="Cambria Math"/>
                        <w:i/>
                        <w:strike/>
                        <w:szCs w:val="30"/>
                        <w:lang w:eastAsia="uk-UA"/>
                      </w:rPr>
                    </m:ctrlPr>
                  </m:sSubSupPr>
                  <m:e>
                    <m:r>
                      <w:rPr>
                        <w:rFonts w:ascii="Cambria Math" w:hAnsi="Cambria Math"/>
                        <w:strike/>
                        <w:szCs w:val="30"/>
                        <w:lang w:eastAsia="uk-UA"/>
                      </w:rPr>
                      <m:t>С</m:t>
                    </m:r>
                  </m:e>
                  <m:sub>
                    <m:r>
                      <w:rPr>
                        <w:rFonts w:ascii="Cambria Math" w:hAnsi="Cambria Math"/>
                        <w:strike/>
                        <w:szCs w:val="30"/>
                        <w:lang w:eastAsia="uk-UA"/>
                      </w:rPr>
                      <m:t>лін</m:t>
                    </m:r>
                  </m:sub>
                  <m:sup>
                    <m:r>
                      <w:rPr>
                        <w:rFonts w:ascii="Cambria Math" w:hAnsi="Cambria Math"/>
                        <w:strike/>
                        <w:szCs w:val="30"/>
                        <w:lang w:eastAsia="uk-UA"/>
                      </w:rPr>
                      <m:t>л,н,зем</m:t>
                    </m:r>
                  </m:sup>
                </m:sSubSup>
                <m:r>
                  <w:rPr>
                    <w:rFonts w:ascii="Cambria Math" w:hAnsi="Cambria Math"/>
                    <w:strike/>
                    <w:szCs w:val="30"/>
                    <w:lang w:eastAsia="uk-UA"/>
                  </w:rPr>
                  <m:t xml:space="preserve">   тис. грн</m:t>
                </m:r>
              </m:oMath>
            </m:oMathPara>
          </w:p>
        </w:tc>
      </w:tr>
      <w:tr w:rsidR="00147C1F" w:rsidRPr="00651365" w:rsidTr="003C613E">
        <w:trPr>
          <w:trHeight w:val="708"/>
        </w:trPr>
        <w:tc>
          <w:tcPr>
            <w:tcW w:w="7938" w:type="dxa"/>
          </w:tcPr>
          <w:p w:rsidR="00147C1F" w:rsidRPr="008F144D" w:rsidRDefault="00147C1F" w:rsidP="00147C1F">
            <w:pPr>
              <w:pStyle w:val="rvps2"/>
              <w:shd w:val="clear" w:color="auto" w:fill="FFFFFF"/>
              <w:spacing w:before="0" w:beforeAutospacing="0" w:after="0" w:afterAutospacing="0"/>
              <w:ind w:firstLine="606"/>
              <w:jc w:val="both"/>
            </w:pPr>
            <w:r w:rsidRPr="008F144D">
              <w:t>5.11. У випадках, визначених Кодексом систем розподілу, якщо приєднання електроустановок замовника до електричних мереж оператора системи розподілу здійснюється на підставі багатостороннього договору про приєднання, плата замовника за послугу з приєднання включає:</w:t>
            </w:r>
          </w:p>
          <w:p w:rsidR="00147C1F" w:rsidRPr="008F144D" w:rsidRDefault="00147C1F" w:rsidP="00147C1F">
            <w:pPr>
              <w:pStyle w:val="rvps2"/>
              <w:shd w:val="clear" w:color="auto" w:fill="FFFFFF"/>
              <w:spacing w:before="0" w:beforeAutospacing="0" w:after="0" w:afterAutospacing="0"/>
              <w:ind w:firstLine="606"/>
              <w:jc w:val="both"/>
            </w:pPr>
            <w:r w:rsidRPr="008F144D">
              <w:t>складову плати за здійснення будівництва та/або технічного переоснащення електричних мереж систем розподілу, яка визначається як сума добутку величини замовленої до приєднання потужності та ставки плати за нестандартне приєднання потужності, та складової плати за створення електричних мереж лінійної частини приєднання;</w:t>
            </w:r>
          </w:p>
          <w:p w:rsidR="00147C1F" w:rsidRPr="008F144D" w:rsidRDefault="00147C1F" w:rsidP="00147C1F">
            <w:pPr>
              <w:pStyle w:val="rvps2"/>
              <w:shd w:val="clear" w:color="auto" w:fill="FFFFFF"/>
              <w:spacing w:before="0" w:beforeAutospacing="0" w:after="0" w:afterAutospacing="0"/>
              <w:ind w:firstLine="606"/>
              <w:jc w:val="both"/>
            </w:pPr>
            <w:r w:rsidRPr="008F144D">
              <w:t xml:space="preserve">складову плати за здійснення будівництва та/або технічного переоснащення електричних мереж системи передачі, яка визначається згідно з узгодженою </w:t>
            </w:r>
            <w:proofErr w:type="spellStart"/>
            <w:r w:rsidRPr="008F144D">
              <w:t>проєктно</w:t>
            </w:r>
            <w:proofErr w:type="spellEnd"/>
            <w:r w:rsidRPr="008F144D">
              <w:t>-кошторисною документацією;</w:t>
            </w:r>
          </w:p>
          <w:p w:rsidR="00147C1F" w:rsidRPr="002E3C17" w:rsidRDefault="00147C1F" w:rsidP="00147C1F">
            <w:pPr>
              <w:pStyle w:val="rvps2"/>
              <w:shd w:val="clear" w:color="auto" w:fill="FFFFFF"/>
              <w:spacing w:before="0" w:beforeAutospacing="0" w:after="0" w:afterAutospacing="0"/>
              <w:ind w:firstLine="606"/>
              <w:jc w:val="both"/>
              <w:rPr>
                <w:b/>
                <w:i/>
              </w:rPr>
            </w:pPr>
            <w:r w:rsidRPr="008F144D">
              <w:t xml:space="preserve">складову плати за здійснення будівництва та/або технічного переоснащення електричних мереж інших суб’єктів господарювання, яка визначається згідно з узгодженою </w:t>
            </w:r>
            <w:proofErr w:type="spellStart"/>
            <w:r w:rsidRPr="008F144D">
              <w:t>проєктно</w:t>
            </w:r>
            <w:proofErr w:type="spellEnd"/>
            <w:r w:rsidRPr="008F144D">
              <w:t>-кошторисною документацією.</w:t>
            </w:r>
          </w:p>
        </w:tc>
        <w:tc>
          <w:tcPr>
            <w:tcW w:w="7939" w:type="dxa"/>
          </w:tcPr>
          <w:p w:rsidR="00147C1F" w:rsidRPr="008F144D" w:rsidRDefault="00147C1F" w:rsidP="00147C1F">
            <w:pPr>
              <w:pStyle w:val="rvps2"/>
              <w:shd w:val="clear" w:color="auto" w:fill="FFFFFF"/>
              <w:spacing w:before="0" w:beforeAutospacing="0" w:after="0" w:afterAutospacing="0"/>
              <w:ind w:firstLine="606"/>
              <w:jc w:val="both"/>
            </w:pPr>
            <w:r w:rsidRPr="008F144D">
              <w:t>5.</w:t>
            </w:r>
            <w:r w:rsidRPr="00543470">
              <w:rPr>
                <w:b/>
              </w:rPr>
              <w:t>1</w:t>
            </w:r>
            <w:r w:rsidRPr="00543470">
              <w:rPr>
                <w:b/>
                <w:lang w:val="en-US"/>
              </w:rPr>
              <w:t>0</w:t>
            </w:r>
            <w:r w:rsidRPr="008F144D">
              <w:t>. У випадках, визначених Кодексом систем розподілу, якщо приєднання електроустановок замовника до електричних мереж оператора системи розподілу здійснюється на підставі багатостороннього договору про приєднання, плата замовника за послугу з приєднання включає:</w:t>
            </w:r>
          </w:p>
          <w:p w:rsidR="00147C1F" w:rsidRPr="008F144D" w:rsidRDefault="00147C1F" w:rsidP="00147C1F">
            <w:pPr>
              <w:pStyle w:val="rvps2"/>
              <w:shd w:val="clear" w:color="auto" w:fill="FFFFFF"/>
              <w:spacing w:before="0" w:beforeAutospacing="0" w:after="0" w:afterAutospacing="0"/>
              <w:ind w:firstLine="606"/>
              <w:jc w:val="both"/>
            </w:pPr>
            <w:r w:rsidRPr="008F144D">
              <w:t>складову плати за здійснення будівництва та/або технічного переоснащення електричних мереж систем розподілу, яка визначається як сума добутку величини замовленої до приєднання потужності</w:t>
            </w:r>
            <w:r>
              <w:t xml:space="preserve"> </w:t>
            </w:r>
            <w:r w:rsidRPr="008F144D">
              <w:rPr>
                <w:b/>
              </w:rPr>
              <w:t>відбору та/або відпуску</w:t>
            </w:r>
            <w:r w:rsidRPr="008F144D">
              <w:t xml:space="preserve"> та ставки плати за нестандартне приєднання потужності, та складової плати за створення електричних мереж лінійної частини приєднання;</w:t>
            </w:r>
          </w:p>
          <w:p w:rsidR="00147C1F" w:rsidRPr="008F144D" w:rsidRDefault="00147C1F" w:rsidP="00147C1F">
            <w:pPr>
              <w:pStyle w:val="rvps2"/>
              <w:shd w:val="clear" w:color="auto" w:fill="FFFFFF"/>
              <w:spacing w:before="0" w:beforeAutospacing="0" w:after="0" w:afterAutospacing="0"/>
              <w:ind w:firstLine="606"/>
              <w:jc w:val="both"/>
            </w:pPr>
            <w:r w:rsidRPr="008F144D">
              <w:t xml:space="preserve">складову плати за здійснення будівництва та/або технічного переоснащення електричних мереж системи передачі, яка визначається згідно з узгодженою </w:t>
            </w:r>
            <w:proofErr w:type="spellStart"/>
            <w:r w:rsidRPr="008F144D">
              <w:t>проєктно</w:t>
            </w:r>
            <w:proofErr w:type="spellEnd"/>
            <w:r w:rsidRPr="008F144D">
              <w:t>-кошторисною документацією;</w:t>
            </w:r>
          </w:p>
          <w:p w:rsidR="00147C1F" w:rsidRPr="00F94794" w:rsidRDefault="00147C1F" w:rsidP="00147C1F">
            <w:pPr>
              <w:pStyle w:val="rvps2"/>
              <w:shd w:val="clear" w:color="auto" w:fill="FFFFFF"/>
              <w:spacing w:before="0" w:beforeAutospacing="0" w:after="0" w:afterAutospacing="0"/>
              <w:ind w:firstLine="606"/>
              <w:jc w:val="both"/>
              <w:rPr>
                <w:b/>
              </w:rPr>
            </w:pPr>
            <w:r w:rsidRPr="008F144D">
              <w:t xml:space="preserve">складову плати за здійснення будівництва та/або технічного переоснащення електричних мереж інших суб’єктів господарювання, яка визначається згідно з узгодженою </w:t>
            </w:r>
            <w:proofErr w:type="spellStart"/>
            <w:r w:rsidRPr="008F144D">
              <w:t>проєктно</w:t>
            </w:r>
            <w:proofErr w:type="spellEnd"/>
            <w:r w:rsidRPr="008F144D">
              <w:t>-кошторисною документацією.</w:t>
            </w:r>
          </w:p>
        </w:tc>
      </w:tr>
      <w:tr w:rsidR="00147C1F" w:rsidRPr="00651365" w:rsidTr="003C613E">
        <w:trPr>
          <w:trHeight w:val="708"/>
        </w:trPr>
        <w:tc>
          <w:tcPr>
            <w:tcW w:w="7938" w:type="dxa"/>
          </w:tcPr>
          <w:p w:rsidR="00147C1F" w:rsidRPr="008F144D" w:rsidRDefault="00147C1F" w:rsidP="00147C1F">
            <w:pPr>
              <w:pStyle w:val="rvps2"/>
              <w:shd w:val="clear" w:color="auto" w:fill="FFFFFF"/>
              <w:spacing w:before="0" w:beforeAutospacing="0" w:after="0" w:afterAutospacing="0"/>
              <w:ind w:firstLine="606"/>
              <w:jc w:val="both"/>
            </w:pPr>
            <w:r w:rsidRPr="00543470">
              <w:t xml:space="preserve">5.12. У разі отримання виробником електричної енергії послуги з приєднання у зв’язку з необхідністю здійснення відбору електричної енергії з мереж оператора системи розподілу понад величину дозволеної (договірної) потужності споживання електричної енергії електроустановок такого виробника на межі балансової належності згідно з договором споживача про надання послуг з розподілу (передачі) електричної енергії вартість послуги з приєднання визначається як вартість обладнання та/або </w:t>
            </w:r>
            <w:r w:rsidRPr="00543470">
              <w:lastRenderedPageBreak/>
              <w:t xml:space="preserve">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543470">
              <w:t>проєктно</w:t>
            </w:r>
            <w:proofErr w:type="spellEnd"/>
            <w:r w:rsidRPr="00543470">
              <w:t>-кошторисної документації, розробленої згідно з вимогами Кодексу систем розподілу, і сплачується замовником оператору системи розподілу.</w:t>
            </w:r>
          </w:p>
        </w:tc>
        <w:tc>
          <w:tcPr>
            <w:tcW w:w="7939" w:type="dxa"/>
          </w:tcPr>
          <w:p w:rsidR="00147C1F" w:rsidRPr="00543470" w:rsidRDefault="00147C1F" w:rsidP="00147C1F">
            <w:pPr>
              <w:pStyle w:val="rvps2"/>
              <w:shd w:val="clear" w:color="auto" w:fill="FFFFFF"/>
              <w:spacing w:before="0" w:beforeAutospacing="0" w:after="0" w:afterAutospacing="0"/>
              <w:ind w:firstLine="606"/>
              <w:jc w:val="both"/>
              <w:rPr>
                <w:strike/>
              </w:rPr>
            </w:pPr>
            <w:r w:rsidRPr="00543470">
              <w:rPr>
                <w:strike/>
              </w:rPr>
              <w:lastRenderedPageBreak/>
              <w:t xml:space="preserve">5.12. У разі отримання виробником електричної енергії послуги з приєднання у зв’язку з необхідністю здійснення відбору електричної енергії з мереж оператора системи розподілу понад величину дозволеної (договірної) потужності споживання електричної енергії електроустановок такого виробника на межі балансової належності згідно з договором споживача про надання послуг з розподілу (передачі) електричної енергії вартість послуги з приєднання визначається як вартість обладнання та/або </w:t>
            </w:r>
            <w:r w:rsidRPr="00543470">
              <w:rPr>
                <w:strike/>
              </w:rPr>
              <w:lastRenderedPageBreak/>
              <w:t xml:space="preserve">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543470">
              <w:rPr>
                <w:strike/>
              </w:rPr>
              <w:t>проєктно</w:t>
            </w:r>
            <w:proofErr w:type="spellEnd"/>
            <w:r w:rsidRPr="00543470">
              <w:rPr>
                <w:strike/>
              </w:rPr>
              <w:t>-кошторисної документації, розробленої згідно з вимогами Кодексу систем розподілу, і сплачується замовником оператору системи розподілу.</w:t>
            </w:r>
          </w:p>
        </w:tc>
      </w:tr>
      <w:tr w:rsidR="00147C1F" w:rsidRPr="00651365" w:rsidTr="003C613E">
        <w:trPr>
          <w:trHeight w:val="708"/>
        </w:trPr>
        <w:tc>
          <w:tcPr>
            <w:tcW w:w="7938" w:type="dxa"/>
          </w:tcPr>
          <w:p w:rsidR="00147C1F" w:rsidRPr="002E3C17" w:rsidRDefault="00147C1F" w:rsidP="00147C1F">
            <w:pPr>
              <w:pStyle w:val="rvps2"/>
              <w:shd w:val="clear" w:color="auto" w:fill="FFFFFF"/>
              <w:spacing w:before="0" w:beforeAutospacing="0" w:after="150" w:afterAutospacing="0"/>
              <w:ind w:firstLine="606"/>
              <w:jc w:val="both"/>
              <w:rPr>
                <w:b/>
                <w:i/>
              </w:rPr>
            </w:pPr>
          </w:p>
        </w:tc>
        <w:tc>
          <w:tcPr>
            <w:tcW w:w="7939" w:type="dxa"/>
          </w:tcPr>
          <w:p w:rsidR="00147C1F" w:rsidRDefault="00147C1F" w:rsidP="00147C1F">
            <w:pPr>
              <w:shd w:val="clear" w:color="auto" w:fill="FFFFFF"/>
              <w:ind w:firstLine="610"/>
              <w:jc w:val="both"/>
              <w:rPr>
                <w:rFonts w:ascii="Times New Roman" w:eastAsia="Times New Roman" w:hAnsi="Times New Roman" w:cs="Times New Roman"/>
                <w:b/>
                <w:sz w:val="24"/>
                <w:szCs w:val="24"/>
                <w:lang w:eastAsia="uk-UA"/>
              </w:rPr>
            </w:pPr>
          </w:p>
          <w:p w:rsidR="00147C1F" w:rsidRDefault="00147C1F" w:rsidP="00147C1F">
            <w:pPr>
              <w:shd w:val="clear" w:color="auto" w:fill="FFFFFF"/>
              <w:ind w:firstLine="610"/>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5.1</w:t>
            </w:r>
            <w:r>
              <w:rPr>
                <w:rFonts w:ascii="Times New Roman" w:eastAsia="Times New Roman" w:hAnsi="Times New Roman" w:cs="Times New Roman"/>
                <w:b/>
                <w:sz w:val="24"/>
                <w:szCs w:val="24"/>
                <w:lang w:val="en-US" w:eastAsia="uk-UA"/>
              </w:rPr>
              <w:t>1</w:t>
            </w:r>
            <w:r>
              <w:rPr>
                <w:rFonts w:ascii="Times New Roman" w:eastAsia="Times New Roman" w:hAnsi="Times New Roman" w:cs="Times New Roman"/>
                <w:b/>
                <w:sz w:val="24"/>
                <w:szCs w:val="24"/>
                <w:lang w:eastAsia="uk-UA"/>
              </w:rPr>
              <w:t>. Плата за гнучке приєднання розраховується за формулою:</w:t>
            </w:r>
          </w:p>
          <w:p w:rsidR="00147C1F" w:rsidRDefault="00147C1F" w:rsidP="00147C1F">
            <w:pPr>
              <w:shd w:val="clear" w:color="auto" w:fill="FFFFFF"/>
              <w:ind w:firstLine="610"/>
              <w:jc w:val="both"/>
              <w:rPr>
                <w:rFonts w:ascii="Times New Roman" w:eastAsia="Times New Roman" w:hAnsi="Times New Roman" w:cs="Times New Roman"/>
                <w:b/>
                <w:sz w:val="24"/>
                <w:szCs w:val="24"/>
                <w:lang w:eastAsia="uk-UA"/>
              </w:rPr>
            </w:pPr>
          </w:p>
          <w:p w:rsidR="00147C1F" w:rsidRDefault="00147C1F" w:rsidP="00147C1F">
            <w:pPr>
              <w:shd w:val="clear" w:color="auto" w:fill="FFFFFF"/>
              <w:jc w:val="both"/>
              <w:rPr>
                <w:rFonts w:ascii="Times New Roman" w:eastAsia="Times New Roman" w:hAnsi="Times New Roman" w:cs="Times New Roman"/>
                <w:sz w:val="28"/>
                <w:szCs w:val="28"/>
              </w:rPr>
            </w:pPr>
            <w:r>
              <w:rPr>
                <w:rFonts w:ascii="Times New Roman" w:eastAsia="Times New Roman" w:hAnsi="Times New Roman" w:cs="Times New Roman"/>
                <w:b/>
                <w:sz w:val="24"/>
                <w:szCs w:val="24"/>
                <w:lang w:eastAsia="uk-UA"/>
              </w:rPr>
              <w:t xml:space="preserve"> </w:t>
            </w:r>
            <m:oMath>
              <m:sSubSup>
                <m:sSubSupPr>
                  <m:ctrlPr>
                    <w:rPr>
                      <w:rFonts w:ascii="Cambria Math" w:hAnsi="Cambria Math"/>
                      <w:sz w:val="28"/>
                      <w:szCs w:val="28"/>
                    </w:rPr>
                  </m:ctrlPr>
                </m:sSubSupPr>
                <m:e>
                  <m:r>
                    <w:rPr>
                      <w:rFonts w:ascii="Cambria Math" w:hAnsi="Cambria Math"/>
                      <w:sz w:val="28"/>
                      <w:szCs w:val="28"/>
                    </w:rPr>
                    <m:t>П</m:t>
                  </m:r>
                </m:e>
                <m:sub>
                  <m:r>
                    <w:rPr>
                      <w:rFonts w:ascii="Cambria Math" w:hAnsi="Cambria Math"/>
                      <w:sz w:val="28"/>
                      <w:szCs w:val="28"/>
                    </w:rPr>
                    <m:t>нст</m:t>
                  </m:r>
                </m:sub>
                <m:sup>
                  <m:r>
                    <w:rPr>
                      <w:rFonts w:ascii="Cambria Math" w:hAnsi="Cambria Math"/>
                      <w:sz w:val="28"/>
                      <w:szCs w:val="28"/>
                    </w:rPr>
                    <m:t>гнучке</m:t>
                  </m:r>
                </m:sup>
              </m:sSubSup>
              <m:r>
                <w:rPr>
                  <w:rFonts w:ascii="Cambria Math" w:hAnsi="Cambria Math"/>
                  <w:sz w:val="28"/>
                  <w:szCs w:val="28"/>
                </w:rPr>
                <m:t>=</m:t>
              </m:r>
              <m:d>
                <m:dPr>
                  <m:ctrlPr>
                    <w:rPr>
                      <w:rFonts w:ascii="Cambria Math" w:hAnsi="Cambria Math"/>
                      <w:i/>
                      <w:sz w:val="28"/>
                      <w:szCs w:val="28"/>
                    </w:rPr>
                  </m:ctrlPr>
                </m:dPr>
                <m:e>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відбір</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відбір</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гнучке</m:t>
                      </m:r>
                    </m:sub>
                  </m:sSub>
                </m:e>
              </m:d>
              <m:r>
                <w:rPr>
                  <w:rFonts w:ascii="Cambria Math" w:hAnsi="Cambria Math"/>
                  <w:sz w:val="28"/>
                  <w:szCs w:val="28"/>
                </w:rPr>
                <m:t>+</m:t>
              </m:r>
              <m:d>
                <m:dPr>
                  <m:ctrlPr>
                    <w:rPr>
                      <w:rFonts w:ascii="Cambria Math" w:hAnsi="Cambria Math"/>
                      <w:i/>
                      <w:sz w:val="28"/>
                      <w:szCs w:val="28"/>
                    </w:rPr>
                  </m:ctrlPr>
                </m:dPr>
                <m:e>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відпуск</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відпуск</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гнучке</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м</m:t>
                  </m:r>
                </m:sub>
              </m:sSub>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r>
                <w:rPr>
                  <w:rFonts w:ascii="Cambria Math" w:hAnsi="Cambria Math"/>
                  <w:sz w:val="28"/>
                  <w:szCs w:val="28"/>
                </w:rPr>
                <m:t>, тис</m:t>
              </m:r>
              <m:r>
                <w:rPr>
                  <w:rFonts w:ascii="Cambria Math" w:hAnsi="Cambria Math"/>
                  <w:sz w:val="28"/>
                  <w:szCs w:val="28"/>
                </w:rPr>
                <m:t>.</m:t>
              </m:r>
              <m:r>
                <w:rPr>
                  <w:rFonts w:ascii="Cambria Math" w:hAnsi="Cambria Math"/>
                  <w:sz w:val="28"/>
                  <w:szCs w:val="28"/>
                </w:rPr>
                <m:t xml:space="preserve"> грн/кВт,</m:t>
              </m:r>
            </m:oMath>
          </w:p>
          <w:p w:rsidR="00147C1F" w:rsidRPr="00157C84" w:rsidRDefault="00147C1F" w:rsidP="00147C1F">
            <w:pPr>
              <w:shd w:val="clear" w:color="auto" w:fill="FFFFFF"/>
              <w:jc w:val="both"/>
              <w:rPr>
                <w:rFonts w:ascii="Times New Roman" w:eastAsia="Times New Roman" w:hAnsi="Times New Roman" w:cs="Times New Roman"/>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370"/>
              <w:gridCol w:w="1471"/>
              <w:gridCol w:w="242"/>
              <w:gridCol w:w="5634"/>
            </w:tblGrid>
            <w:tr w:rsidR="00147C1F" w:rsidRPr="009C6EEE" w:rsidTr="001A0E56">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r>
                    <w:t>де</w:t>
                  </w:r>
                </w:p>
              </w:tc>
              <w:tc>
                <w:tcPr>
                  <w:tcW w:w="1471" w:type="dxa"/>
                  <w:tcBorders>
                    <w:top w:val="single" w:sz="2" w:space="0" w:color="auto"/>
                    <w:left w:val="single" w:sz="2" w:space="0" w:color="auto"/>
                    <w:bottom w:val="single" w:sz="2" w:space="0" w:color="auto"/>
                    <w:right w:val="single" w:sz="2" w:space="0" w:color="auto"/>
                  </w:tcBorders>
                  <w:hideMark/>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гарант</m:t>
                          </m:r>
                        </m:sub>
                        <m:sup>
                          <m:r>
                            <w:rPr>
                              <w:rFonts w:ascii="Cambria Math" w:eastAsiaTheme="minorHAnsi" w:hAnsi="Cambria Math"/>
                              <w:sz w:val="28"/>
                              <w:szCs w:val="28"/>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Pr="009C6EEE" w:rsidRDefault="00147C1F" w:rsidP="00147C1F">
                  <w:pPr>
                    <w:pStyle w:val="rvps14"/>
                    <w:spacing w:before="150" w:beforeAutospacing="0" w:after="150" w:afterAutospacing="0"/>
                    <w:rPr>
                      <w:b/>
                    </w:rPr>
                  </w:pPr>
                  <w:r>
                    <w:rPr>
                      <w:b/>
                    </w:rPr>
                    <w:t xml:space="preserve"> гарантована </w:t>
                  </w:r>
                  <w:r w:rsidRPr="009C6EEE">
                    <w:rPr>
                      <w:b/>
                    </w:rPr>
                    <w:t xml:space="preserve">потужність відбору, замовлена до приєднання </w:t>
                  </w:r>
                </w:p>
              </w:tc>
            </w:tr>
            <w:tr w:rsidR="00147C1F" w:rsidRPr="009C6EEE" w:rsidTr="001A0E56">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eastAsiaTheme="minorHAnsi" w:hAnsi="Cambria Math"/>
                              <w:sz w:val="28"/>
                              <w:szCs w:val="28"/>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tcPr>
                <w:p w:rsidR="00147C1F" w:rsidRPr="009C6EEE" w:rsidRDefault="00147C1F" w:rsidP="00147C1F">
                  <w:pPr>
                    <w:pStyle w:val="rvps14"/>
                    <w:spacing w:before="150" w:beforeAutospacing="0" w:after="150" w:afterAutospacing="0"/>
                    <w:rPr>
                      <w:b/>
                    </w:rPr>
                  </w:pPr>
                  <w:r>
                    <w:rPr>
                      <w:b/>
                    </w:rPr>
                    <w:t xml:space="preserve"> не гарантована </w:t>
                  </w:r>
                  <w:r w:rsidRPr="009C6EEE">
                    <w:rPr>
                      <w:b/>
                    </w:rPr>
                    <w:t xml:space="preserve">потужність відбору, замовлена до приєднання </w:t>
                  </w:r>
                </w:p>
              </w:tc>
            </w:tr>
            <w:tr w:rsidR="00147C1F" w:rsidRPr="009C6EEE" w:rsidTr="001A0E56">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гарант</m:t>
                          </m:r>
                        </m:sub>
                        <m:sup>
                          <m:r>
                            <w:rPr>
                              <w:rFonts w:ascii="Cambria Math" w:eastAsiaTheme="minorHAnsi" w:hAnsi="Cambria Math"/>
                              <w:sz w:val="28"/>
                              <w:szCs w:val="28"/>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tcPr>
                <w:p w:rsidR="00147C1F" w:rsidRPr="009C6EEE" w:rsidRDefault="00147C1F" w:rsidP="00147C1F">
                  <w:pPr>
                    <w:pStyle w:val="rvps14"/>
                    <w:spacing w:before="150" w:beforeAutospacing="0" w:after="150" w:afterAutospacing="0"/>
                    <w:rPr>
                      <w:b/>
                    </w:rPr>
                  </w:pPr>
                  <w:r>
                    <w:rPr>
                      <w:b/>
                    </w:rPr>
                    <w:t xml:space="preserve"> гарантована </w:t>
                  </w:r>
                  <w:r w:rsidRPr="009C6EEE">
                    <w:rPr>
                      <w:b/>
                    </w:rPr>
                    <w:t>потужність від</w:t>
                  </w:r>
                  <w:r>
                    <w:rPr>
                      <w:b/>
                    </w:rPr>
                    <w:t>пуску</w:t>
                  </w:r>
                  <w:r w:rsidRPr="009C6EEE">
                    <w:rPr>
                      <w:b/>
                    </w:rPr>
                    <w:t xml:space="preserve">, замовлена до приєднання </w:t>
                  </w:r>
                </w:p>
              </w:tc>
            </w:tr>
            <w:tr w:rsidR="00147C1F" w:rsidTr="001A0E56">
              <w:tc>
                <w:tcPr>
                  <w:tcW w:w="370"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tcPr>
                <w:p w:rsidR="00147C1F" w:rsidRDefault="00465C73" w:rsidP="00147C1F">
                  <w:pPr>
                    <w:pStyle w:val="rvps14"/>
                    <w:spacing w:before="150" w:beforeAutospacing="0" w:after="150" w:afterAutospacing="0"/>
                  </w:pPr>
                  <m:oMathPara>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eastAsiaTheme="minorHAnsi" w:hAnsi="Cambria Math"/>
                              <w:sz w:val="28"/>
                              <w:szCs w:val="28"/>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tcPr>
                <w:p w:rsidR="00147C1F" w:rsidRPr="009C6EEE" w:rsidRDefault="00147C1F" w:rsidP="00147C1F">
                  <w:pPr>
                    <w:pStyle w:val="rvps14"/>
                    <w:spacing w:before="150" w:beforeAutospacing="0" w:after="150" w:afterAutospacing="0"/>
                    <w:rPr>
                      <w:b/>
                    </w:rPr>
                  </w:pPr>
                  <w:r>
                    <w:rPr>
                      <w:b/>
                    </w:rPr>
                    <w:t xml:space="preserve"> не гарантована </w:t>
                  </w:r>
                  <w:r w:rsidRPr="009C6EEE">
                    <w:rPr>
                      <w:b/>
                    </w:rPr>
                    <w:t>потужність від</w:t>
                  </w:r>
                  <w:r>
                    <w:rPr>
                      <w:b/>
                    </w:rPr>
                    <w:t>пуску</w:t>
                  </w:r>
                  <w:r w:rsidRPr="009C6EEE">
                    <w:rPr>
                      <w:b/>
                    </w:rPr>
                    <w:t xml:space="preserve">, замовлена до приєднання </w:t>
                  </w:r>
                </w:p>
              </w:tc>
            </w:tr>
            <w:tr w:rsidR="00147C1F" w:rsidTr="001A0E56">
              <w:tc>
                <w:tcPr>
                  <w:tcW w:w="370"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4"/>
                    <w:spacing w:before="150" w:beforeAutospacing="0" w:after="150" w:afterAutospacing="0"/>
                  </w:pPr>
                </w:p>
              </w:tc>
              <w:tc>
                <w:tcPr>
                  <w:tcW w:w="1471" w:type="dxa"/>
                  <w:tcBorders>
                    <w:top w:val="single" w:sz="2" w:space="0" w:color="auto"/>
                    <w:left w:val="single" w:sz="2" w:space="0" w:color="auto"/>
                    <w:bottom w:val="single" w:sz="2" w:space="0" w:color="auto"/>
                    <w:right w:val="single" w:sz="2" w:space="0" w:color="auto"/>
                  </w:tcBorders>
                  <w:hideMark/>
                </w:tcPr>
                <w:p w:rsidR="00147C1F" w:rsidRDefault="00465C73" w:rsidP="00147C1F">
                  <w:pPr>
                    <w:pStyle w:val="rvps14"/>
                    <w:spacing w:before="150" w:beforeAutospacing="0" w:after="150" w:afterAutospacing="0"/>
                  </w:pPr>
                  <m:oMathPara>
                    <m:oMath>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гнучке</m:t>
                          </m:r>
                        </m:sub>
                      </m:sSub>
                    </m:oMath>
                  </m:oMathPara>
                </w:p>
              </w:tc>
              <w:tc>
                <w:tcPr>
                  <w:tcW w:w="242" w:type="dxa"/>
                  <w:tcBorders>
                    <w:top w:val="single" w:sz="2" w:space="0" w:color="auto"/>
                    <w:left w:val="single" w:sz="2" w:space="0" w:color="auto"/>
                    <w:bottom w:val="single" w:sz="2" w:space="0" w:color="auto"/>
                    <w:right w:val="single" w:sz="2" w:space="0" w:color="auto"/>
                  </w:tcBorders>
                  <w:hideMark/>
                </w:tcPr>
                <w:p w:rsidR="00147C1F" w:rsidRDefault="00147C1F" w:rsidP="00147C1F">
                  <w:pPr>
                    <w:pStyle w:val="rvps12"/>
                    <w:spacing w:before="150" w:beforeAutospacing="0" w:after="150" w:afterAutospacing="0"/>
                    <w:jc w:val="center"/>
                  </w:pPr>
                  <w:r>
                    <w:t>-</w:t>
                  </w:r>
                </w:p>
              </w:tc>
              <w:tc>
                <w:tcPr>
                  <w:tcW w:w="5634" w:type="dxa"/>
                  <w:tcBorders>
                    <w:top w:val="single" w:sz="2" w:space="0" w:color="auto"/>
                    <w:left w:val="single" w:sz="2" w:space="0" w:color="auto"/>
                    <w:bottom w:val="single" w:sz="2" w:space="0" w:color="auto"/>
                    <w:right w:val="single" w:sz="2" w:space="0" w:color="auto"/>
                  </w:tcBorders>
                  <w:hideMark/>
                </w:tcPr>
                <w:p w:rsidR="00147C1F" w:rsidRPr="000E4487" w:rsidRDefault="00147C1F" w:rsidP="00147C1F">
                  <w:pPr>
                    <w:pStyle w:val="rvps14"/>
                    <w:spacing w:before="150" w:beforeAutospacing="0" w:after="150" w:afterAutospacing="0"/>
                    <w:rPr>
                      <w:b/>
                      <w:lang w:val="en-US"/>
                    </w:rPr>
                  </w:pPr>
                  <w:r w:rsidRPr="00A65C16">
                    <w:rPr>
                      <w:b/>
                    </w:rPr>
                    <w:t>коефіцієнт вартості гнучкого приєднання</w:t>
                  </w:r>
                  <w:r>
                    <w:rPr>
                      <w:b/>
                    </w:rPr>
                    <w:t>, який становить 0,</w:t>
                  </w:r>
                  <w:r>
                    <w:rPr>
                      <w:b/>
                      <w:lang w:val="en-US"/>
                    </w:rPr>
                    <w:t>3</w:t>
                  </w:r>
                </w:p>
              </w:tc>
            </w:tr>
          </w:tbl>
          <w:p w:rsidR="00147C1F" w:rsidRPr="00F94794" w:rsidRDefault="00147C1F" w:rsidP="00147C1F">
            <w:pPr>
              <w:shd w:val="clear" w:color="auto" w:fill="FFFFFF"/>
              <w:jc w:val="both"/>
              <w:rPr>
                <w:rFonts w:ascii="Times New Roman" w:eastAsia="Times New Roman" w:hAnsi="Times New Roman" w:cs="Times New Roman"/>
                <w:b/>
                <w:sz w:val="24"/>
                <w:szCs w:val="24"/>
                <w:lang w:eastAsia="uk-UA"/>
              </w:rPr>
            </w:pPr>
          </w:p>
        </w:tc>
      </w:tr>
      <w:tr w:rsidR="00147C1F" w:rsidRPr="00651365" w:rsidTr="00465C73">
        <w:trPr>
          <w:trHeight w:val="407"/>
        </w:trPr>
        <w:tc>
          <w:tcPr>
            <w:tcW w:w="15877" w:type="dxa"/>
            <w:gridSpan w:val="2"/>
          </w:tcPr>
          <w:p w:rsidR="00147C1F" w:rsidRPr="00147C1F" w:rsidRDefault="00147C1F" w:rsidP="00465C73">
            <w:pPr>
              <w:shd w:val="clear" w:color="auto" w:fill="FFFFFF"/>
              <w:ind w:firstLine="610"/>
              <w:jc w:val="center"/>
              <w:rPr>
                <w:rFonts w:ascii="Times New Roman" w:eastAsia="Times New Roman" w:hAnsi="Times New Roman" w:cs="Times New Roman"/>
                <w:b/>
                <w:sz w:val="24"/>
                <w:szCs w:val="24"/>
                <w:lang w:eastAsia="uk-UA"/>
              </w:rPr>
            </w:pPr>
            <w:r w:rsidRPr="00147C1F">
              <w:rPr>
                <w:rFonts w:ascii="Times New Roman" w:eastAsia="Times New Roman" w:hAnsi="Times New Roman" w:cs="Times New Roman"/>
                <w:b/>
                <w:sz w:val="24"/>
                <w:szCs w:val="24"/>
                <w:lang w:eastAsia="uk-UA"/>
              </w:rPr>
              <w:t>Додаток 1</w:t>
            </w:r>
            <w:r w:rsidR="00465C73">
              <w:rPr>
                <w:rFonts w:ascii="Times New Roman" w:eastAsia="Times New Roman" w:hAnsi="Times New Roman" w:cs="Times New Roman"/>
                <w:b/>
                <w:sz w:val="24"/>
                <w:szCs w:val="24"/>
                <w:lang w:eastAsia="uk-UA"/>
              </w:rPr>
              <w:t xml:space="preserve"> «</w:t>
            </w:r>
            <w:r w:rsidR="00465C73" w:rsidRPr="00465C73">
              <w:rPr>
                <w:rFonts w:ascii="Times New Roman" w:eastAsia="Times New Roman" w:hAnsi="Times New Roman" w:cs="Times New Roman"/>
                <w:b/>
                <w:sz w:val="24"/>
                <w:szCs w:val="24"/>
                <w:lang w:eastAsia="uk-UA"/>
              </w:rPr>
              <w:t>ЗВІТ</w:t>
            </w:r>
            <w:r w:rsidR="00465C73">
              <w:rPr>
                <w:rFonts w:ascii="Times New Roman" w:eastAsia="Times New Roman" w:hAnsi="Times New Roman" w:cs="Times New Roman"/>
                <w:b/>
                <w:sz w:val="24"/>
                <w:szCs w:val="24"/>
                <w:lang w:eastAsia="uk-UA"/>
              </w:rPr>
              <w:t xml:space="preserve"> </w:t>
            </w:r>
            <w:r w:rsidR="00465C73" w:rsidRPr="00465C73">
              <w:rPr>
                <w:rFonts w:ascii="Times New Roman" w:eastAsia="Times New Roman" w:hAnsi="Times New Roman" w:cs="Times New Roman"/>
                <w:b/>
                <w:sz w:val="24"/>
                <w:szCs w:val="24"/>
                <w:lang w:eastAsia="uk-UA"/>
              </w:rPr>
              <w:t>з моніторингу надання ОСП/ОСР послуг з приєднання</w:t>
            </w:r>
            <w:r w:rsidR="00465C73">
              <w:rPr>
                <w:rFonts w:ascii="Times New Roman" w:eastAsia="Times New Roman" w:hAnsi="Times New Roman" w:cs="Times New Roman"/>
                <w:b/>
                <w:sz w:val="24"/>
                <w:szCs w:val="24"/>
                <w:lang w:eastAsia="uk-UA"/>
              </w:rPr>
              <w:t>»</w:t>
            </w:r>
          </w:p>
        </w:tc>
      </w:tr>
      <w:tr w:rsidR="00147C1F" w:rsidRPr="00651365" w:rsidTr="00147C1F">
        <w:trPr>
          <w:trHeight w:val="417"/>
        </w:trPr>
        <w:tc>
          <w:tcPr>
            <w:tcW w:w="7938" w:type="dxa"/>
          </w:tcPr>
          <w:p w:rsidR="00147C1F" w:rsidRPr="00147C1F" w:rsidRDefault="00465C73" w:rsidP="00147C1F">
            <w:pPr>
              <w:pStyle w:val="rvps2"/>
              <w:shd w:val="clear" w:color="auto" w:fill="FFFFFF"/>
              <w:spacing w:before="0" w:beforeAutospacing="0" w:after="150" w:afterAutospacing="0"/>
              <w:ind w:firstLine="450"/>
              <w:jc w:val="both"/>
            </w:pPr>
            <w:r w:rsidRPr="00465C73">
              <w:t>ЗВІТ з моніторингу надання ОСП/ОСР послуг з приєднання</w:t>
            </w:r>
          </w:p>
        </w:tc>
        <w:tc>
          <w:tcPr>
            <w:tcW w:w="7939" w:type="dxa"/>
          </w:tcPr>
          <w:p w:rsidR="00147C1F" w:rsidRPr="00147C1F" w:rsidRDefault="00465C73" w:rsidP="00147C1F">
            <w:pPr>
              <w:shd w:val="clear" w:color="auto" w:fill="FFFFFF"/>
              <w:spacing w:after="150"/>
              <w:ind w:firstLine="450"/>
              <w:jc w:val="both"/>
              <w:rPr>
                <w:rFonts w:ascii="Times New Roman" w:eastAsia="Times New Roman" w:hAnsi="Times New Roman" w:cs="Times New Roman"/>
                <w:b/>
                <w:sz w:val="24"/>
                <w:szCs w:val="24"/>
                <w:lang w:eastAsia="uk-UA"/>
              </w:rPr>
            </w:pPr>
            <w:r w:rsidRPr="00465C73">
              <w:rPr>
                <w:rFonts w:ascii="Times New Roman" w:eastAsia="Times New Roman" w:hAnsi="Times New Roman" w:cs="Times New Roman"/>
                <w:b/>
                <w:sz w:val="24"/>
                <w:szCs w:val="24"/>
                <w:lang w:eastAsia="uk-UA"/>
              </w:rPr>
              <w:t xml:space="preserve">ЗВІТ з моніторингу надання ОСП/ОСР послуг з приєднання </w:t>
            </w:r>
            <w:r w:rsidR="00147C1F" w:rsidRPr="00147C1F">
              <w:rPr>
                <w:rFonts w:ascii="Times New Roman" w:eastAsia="Times New Roman" w:hAnsi="Times New Roman" w:cs="Times New Roman"/>
                <w:b/>
                <w:sz w:val="24"/>
                <w:szCs w:val="24"/>
                <w:lang w:eastAsia="uk-UA"/>
              </w:rPr>
              <w:t>в новій редакції</w:t>
            </w:r>
          </w:p>
        </w:tc>
      </w:tr>
    </w:tbl>
    <w:p w:rsidR="0021706D" w:rsidRPr="00651365" w:rsidRDefault="0021706D" w:rsidP="00647D68">
      <w:pPr>
        <w:rPr>
          <w:rFonts w:ascii="Times New Roman" w:hAnsi="Times New Roman" w:cs="Times New Roman"/>
          <w:b/>
          <w:sz w:val="28"/>
          <w:szCs w:val="28"/>
        </w:rPr>
      </w:pPr>
      <w:bookmarkStart w:id="10" w:name="_GoBack"/>
      <w:bookmarkEnd w:id="10"/>
    </w:p>
    <w:sectPr w:rsidR="0021706D" w:rsidRPr="00651365" w:rsidSect="002E3C17">
      <w:headerReference w:type="default" r:id="rId17"/>
      <w:pgSz w:w="16838" w:h="11906" w:orient="landscape"/>
      <w:pgMar w:top="993" w:right="850" w:bottom="850"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578" w:rsidRDefault="001F0578" w:rsidP="002E3C17">
      <w:pPr>
        <w:spacing w:after="0" w:line="240" w:lineRule="auto"/>
      </w:pPr>
      <w:r>
        <w:separator/>
      </w:r>
    </w:p>
  </w:endnote>
  <w:endnote w:type="continuationSeparator" w:id="0">
    <w:p w:rsidR="001F0578" w:rsidRDefault="001F0578" w:rsidP="002E3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578" w:rsidRDefault="001F0578" w:rsidP="002E3C17">
      <w:pPr>
        <w:spacing w:after="0" w:line="240" w:lineRule="auto"/>
      </w:pPr>
      <w:r>
        <w:separator/>
      </w:r>
    </w:p>
  </w:footnote>
  <w:footnote w:type="continuationSeparator" w:id="0">
    <w:p w:rsidR="001F0578" w:rsidRDefault="001F0578" w:rsidP="002E3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9940013"/>
      <w:docPartObj>
        <w:docPartGallery w:val="Page Numbers (Top of Page)"/>
        <w:docPartUnique/>
      </w:docPartObj>
    </w:sdtPr>
    <w:sdtEndPr/>
    <w:sdtContent>
      <w:p w:rsidR="001F0578" w:rsidRDefault="001F0578">
        <w:pPr>
          <w:pStyle w:val="ac"/>
          <w:jc w:val="center"/>
        </w:pPr>
        <w:r>
          <w:fldChar w:fldCharType="begin"/>
        </w:r>
        <w:r>
          <w:instrText>PAGE   \* MERGEFORMAT</w:instrText>
        </w:r>
        <w:r>
          <w:fldChar w:fldCharType="separate"/>
        </w:r>
        <w:r w:rsidR="001C0799">
          <w:rPr>
            <w:noProof/>
          </w:rPr>
          <w:t>9</w:t>
        </w:r>
        <w:r>
          <w:fldChar w:fldCharType="end"/>
        </w:r>
      </w:p>
    </w:sdtContent>
  </w:sdt>
  <w:p w:rsidR="001F0578" w:rsidRDefault="001F057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3891"/>
    <w:multiLevelType w:val="multilevel"/>
    <w:tmpl w:val="8C0C24E4"/>
    <w:lvl w:ilvl="0">
      <w:start w:val="3"/>
      <w:numFmt w:val="decimal"/>
      <w:lvlText w:val="%1."/>
      <w:lvlJc w:val="left"/>
      <w:pPr>
        <w:ind w:left="360" w:hanging="360"/>
      </w:pPr>
      <w:rPr>
        <w:rFonts w:hint="default"/>
      </w:rPr>
    </w:lvl>
    <w:lvl w:ilvl="1">
      <w:start w:val="3"/>
      <w:numFmt w:val="decimal"/>
      <w:lvlText w:val="%1.%2."/>
      <w:lvlJc w:val="left"/>
      <w:pPr>
        <w:ind w:left="3905"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1" w15:restartNumberingAfterBreak="0">
    <w:nsid w:val="227937F5"/>
    <w:multiLevelType w:val="multilevel"/>
    <w:tmpl w:val="6E923E26"/>
    <w:lvl w:ilvl="0">
      <w:start w:val="1"/>
      <w:numFmt w:val="decimal"/>
      <w:lvlText w:val="%1."/>
      <w:lvlJc w:val="left"/>
      <w:pPr>
        <w:ind w:left="928" w:hanging="360"/>
      </w:pPr>
      <w:rPr>
        <w:rFonts w:hint="default"/>
      </w:rPr>
    </w:lvl>
    <w:lvl w:ilvl="1">
      <w:start w:val="3"/>
      <w:numFmt w:val="decimal"/>
      <w:isLgl/>
      <w:lvlText w:val="%1.%2."/>
      <w:lvlJc w:val="left"/>
      <w:pPr>
        <w:ind w:left="426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733"/>
    <w:rsid w:val="00005B5D"/>
    <w:rsid w:val="00006018"/>
    <w:rsid w:val="00014D6F"/>
    <w:rsid w:val="00015D60"/>
    <w:rsid w:val="000200C2"/>
    <w:rsid w:val="00035C28"/>
    <w:rsid w:val="000364E5"/>
    <w:rsid w:val="000473B1"/>
    <w:rsid w:val="00047CAF"/>
    <w:rsid w:val="00051427"/>
    <w:rsid w:val="000568D6"/>
    <w:rsid w:val="00060732"/>
    <w:rsid w:val="00066CE1"/>
    <w:rsid w:val="00085338"/>
    <w:rsid w:val="00093958"/>
    <w:rsid w:val="000C0E83"/>
    <w:rsid w:val="000C5E45"/>
    <w:rsid w:val="000C6ACB"/>
    <w:rsid w:val="000E2608"/>
    <w:rsid w:val="000E4487"/>
    <w:rsid w:val="000E47DD"/>
    <w:rsid w:val="000F7F70"/>
    <w:rsid w:val="00101910"/>
    <w:rsid w:val="00110A18"/>
    <w:rsid w:val="001121BD"/>
    <w:rsid w:val="00117128"/>
    <w:rsid w:val="00132572"/>
    <w:rsid w:val="001373C9"/>
    <w:rsid w:val="001400E3"/>
    <w:rsid w:val="0014370C"/>
    <w:rsid w:val="00147C1F"/>
    <w:rsid w:val="00150ACC"/>
    <w:rsid w:val="00153B2B"/>
    <w:rsid w:val="00156F6C"/>
    <w:rsid w:val="00157C84"/>
    <w:rsid w:val="0016020C"/>
    <w:rsid w:val="00164A3E"/>
    <w:rsid w:val="00172C86"/>
    <w:rsid w:val="0018178C"/>
    <w:rsid w:val="001829F8"/>
    <w:rsid w:val="00183F9E"/>
    <w:rsid w:val="0019650A"/>
    <w:rsid w:val="001A0E56"/>
    <w:rsid w:val="001B16A7"/>
    <w:rsid w:val="001B4926"/>
    <w:rsid w:val="001B5339"/>
    <w:rsid w:val="001C0799"/>
    <w:rsid w:val="001C1503"/>
    <w:rsid w:val="001D4CC4"/>
    <w:rsid w:val="001D4CDC"/>
    <w:rsid w:val="001D733C"/>
    <w:rsid w:val="001E6219"/>
    <w:rsid w:val="001E6DA7"/>
    <w:rsid w:val="001F0578"/>
    <w:rsid w:val="001F3DBE"/>
    <w:rsid w:val="001F6D57"/>
    <w:rsid w:val="0020038C"/>
    <w:rsid w:val="0020226D"/>
    <w:rsid w:val="00205387"/>
    <w:rsid w:val="00210849"/>
    <w:rsid w:val="0021706D"/>
    <w:rsid w:val="00220DD5"/>
    <w:rsid w:val="00224B60"/>
    <w:rsid w:val="00231BFB"/>
    <w:rsid w:val="00242ACA"/>
    <w:rsid w:val="002446B1"/>
    <w:rsid w:val="00245761"/>
    <w:rsid w:val="00263988"/>
    <w:rsid w:val="0026777E"/>
    <w:rsid w:val="002731D9"/>
    <w:rsid w:val="002736B0"/>
    <w:rsid w:val="00281235"/>
    <w:rsid w:val="0028574F"/>
    <w:rsid w:val="00297C57"/>
    <w:rsid w:val="002A6687"/>
    <w:rsid w:val="002B381D"/>
    <w:rsid w:val="002C2E91"/>
    <w:rsid w:val="002D3E20"/>
    <w:rsid w:val="002D521E"/>
    <w:rsid w:val="002E1C38"/>
    <w:rsid w:val="002E3C17"/>
    <w:rsid w:val="002E74C3"/>
    <w:rsid w:val="002F1F3F"/>
    <w:rsid w:val="00305DED"/>
    <w:rsid w:val="00312FF2"/>
    <w:rsid w:val="00315542"/>
    <w:rsid w:val="00332685"/>
    <w:rsid w:val="00335B22"/>
    <w:rsid w:val="00346150"/>
    <w:rsid w:val="00351356"/>
    <w:rsid w:val="00352060"/>
    <w:rsid w:val="00360B3E"/>
    <w:rsid w:val="00361E33"/>
    <w:rsid w:val="003642DF"/>
    <w:rsid w:val="00366543"/>
    <w:rsid w:val="0036740E"/>
    <w:rsid w:val="00381D5A"/>
    <w:rsid w:val="003949BC"/>
    <w:rsid w:val="003A07BF"/>
    <w:rsid w:val="003B2F54"/>
    <w:rsid w:val="003C613E"/>
    <w:rsid w:val="003D638C"/>
    <w:rsid w:val="003E4A67"/>
    <w:rsid w:val="004036E8"/>
    <w:rsid w:val="004104E1"/>
    <w:rsid w:val="00417C62"/>
    <w:rsid w:val="004307BB"/>
    <w:rsid w:val="004321C7"/>
    <w:rsid w:val="0043596A"/>
    <w:rsid w:val="0044185B"/>
    <w:rsid w:val="0044622E"/>
    <w:rsid w:val="00453E11"/>
    <w:rsid w:val="004601A2"/>
    <w:rsid w:val="00465659"/>
    <w:rsid w:val="00465C73"/>
    <w:rsid w:val="0047531D"/>
    <w:rsid w:val="0049233D"/>
    <w:rsid w:val="004965CE"/>
    <w:rsid w:val="004A248B"/>
    <w:rsid w:val="004B62AF"/>
    <w:rsid w:val="004C2238"/>
    <w:rsid w:val="004C7927"/>
    <w:rsid w:val="004D58C2"/>
    <w:rsid w:val="004E4488"/>
    <w:rsid w:val="004F2ADD"/>
    <w:rsid w:val="004F770B"/>
    <w:rsid w:val="005012FF"/>
    <w:rsid w:val="005057E7"/>
    <w:rsid w:val="005058F6"/>
    <w:rsid w:val="00506330"/>
    <w:rsid w:val="00510E84"/>
    <w:rsid w:val="005125AD"/>
    <w:rsid w:val="00513D43"/>
    <w:rsid w:val="00514FFA"/>
    <w:rsid w:val="0051675E"/>
    <w:rsid w:val="00522E30"/>
    <w:rsid w:val="00543470"/>
    <w:rsid w:val="005478CE"/>
    <w:rsid w:val="00550821"/>
    <w:rsid w:val="005620E9"/>
    <w:rsid w:val="005638C0"/>
    <w:rsid w:val="0056480A"/>
    <w:rsid w:val="00590392"/>
    <w:rsid w:val="005A18BC"/>
    <w:rsid w:val="005B0265"/>
    <w:rsid w:val="005C06AE"/>
    <w:rsid w:val="005C4A86"/>
    <w:rsid w:val="005C4CE8"/>
    <w:rsid w:val="005C56F0"/>
    <w:rsid w:val="005C5EE1"/>
    <w:rsid w:val="005E37FB"/>
    <w:rsid w:val="005F78BC"/>
    <w:rsid w:val="00605360"/>
    <w:rsid w:val="0060540C"/>
    <w:rsid w:val="00613026"/>
    <w:rsid w:val="00616FD8"/>
    <w:rsid w:val="00617707"/>
    <w:rsid w:val="00620441"/>
    <w:rsid w:val="006222D3"/>
    <w:rsid w:val="00625296"/>
    <w:rsid w:val="00647D68"/>
    <w:rsid w:val="00650E74"/>
    <w:rsid w:val="00651365"/>
    <w:rsid w:val="00656E00"/>
    <w:rsid w:val="00676053"/>
    <w:rsid w:val="00676A19"/>
    <w:rsid w:val="00681465"/>
    <w:rsid w:val="00690733"/>
    <w:rsid w:val="006A5990"/>
    <w:rsid w:val="006B0A3B"/>
    <w:rsid w:val="006B1BC7"/>
    <w:rsid w:val="006C2667"/>
    <w:rsid w:val="006C712D"/>
    <w:rsid w:val="006D20C3"/>
    <w:rsid w:val="006D28F5"/>
    <w:rsid w:val="006D76EF"/>
    <w:rsid w:val="006D7E2A"/>
    <w:rsid w:val="006E27EA"/>
    <w:rsid w:val="006E2FE1"/>
    <w:rsid w:val="007033FA"/>
    <w:rsid w:val="007079EE"/>
    <w:rsid w:val="00714194"/>
    <w:rsid w:val="0072208A"/>
    <w:rsid w:val="00742CAE"/>
    <w:rsid w:val="00762EB6"/>
    <w:rsid w:val="00764F9B"/>
    <w:rsid w:val="0077487B"/>
    <w:rsid w:val="0079103B"/>
    <w:rsid w:val="00792A24"/>
    <w:rsid w:val="00797CD4"/>
    <w:rsid w:val="007A1ECC"/>
    <w:rsid w:val="007A3560"/>
    <w:rsid w:val="007A6AF0"/>
    <w:rsid w:val="007B08D6"/>
    <w:rsid w:val="007C5F0B"/>
    <w:rsid w:val="007D15BA"/>
    <w:rsid w:val="007D4581"/>
    <w:rsid w:val="007D619B"/>
    <w:rsid w:val="007D729C"/>
    <w:rsid w:val="007F5230"/>
    <w:rsid w:val="00802BA8"/>
    <w:rsid w:val="00805EF3"/>
    <w:rsid w:val="0081034E"/>
    <w:rsid w:val="00810E46"/>
    <w:rsid w:val="008322AA"/>
    <w:rsid w:val="00840040"/>
    <w:rsid w:val="00840E43"/>
    <w:rsid w:val="00844BE9"/>
    <w:rsid w:val="0085016C"/>
    <w:rsid w:val="00852B1C"/>
    <w:rsid w:val="008609E0"/>
    <w:rsid w:val="0086274E"/>
    <w:rsid w:val="00864695"/>
    <w:rsid w:val="00872F43"/>
    <w:rsid w:val="0087507D"/>
    <w:rsid w:val="00880D84"/>
    <w:rsid w:val="00892E0B"/>
    <w:rsid w:val="00894337"/>
    <w:rsid w:val="008A7766"/>
    <w:rsid w:val="008B675D"/>
    <w:rsid w:val="008C201D"/>
    <w:rsid w:val="008C242E"/>
    <w:rsid w:val="008D5D3F"/>
    <w:rsid w:val="008E345E"/>
    <w:rsid w:val="008E3F03"/>
    <w:rsid w:val="008F144D"/>
    <w:rsid w:val="008F73E4"/>
    <w:rsid w:val="00901686"/>
    <w:rsid w:val="00926FD5"/>
    <w:rsid w:val="0093433D"/>
    <w:rsid w:val="00942EA0"/>
    <w:rsid w:val="00947862"/>
    <w:rsid w:val="00951296"/>
    <w:rsid w:val="00953EA3"/>
    <w:rsid w:val="009645B0"/>
    <w:rsid w:val="00994828"/>
    <w:rsid w:val="00996846"/>
    <w:rsid w:val="009A00EB"/>
    <w:rsid w:val="009B280D"/>
    <w:rsid w:val="009B4306"/>
    <w:rsid w:val="009C388D"/>
    <w:rsid w:val="009C4FBA"/>
    <w:rsid w:val="009C5FE0"/>
    <w:rsid w:val="009C6EEE"/>
    <w:rsid w:val="009E68B2"/>
    <w:rsid w:val="009E7ADF"/>
    <w:rsid w:val="009F1A3A"/>
    <w:rsid w:val="009F1E38"/>
    <w:rsid w:val="009F3F3D"/>
    <w:rsid w:val="00A11C96"/>
    <w:rsid w:val="00A14509"/>
    <w:rsid w:val="00A17353"/>
    <w:rsid w:val="00A21195"/>
    <w:rsid w:val="00A238BE"/>
    <w:rsid w:val="00A25FE8"/>
    <w:rsid w:val="00A36834"/>
    <w:rsid w:val="00A547B8"/>
    <w:rsid w:val="00A61B75"/>
    <w:rsid w:val="00A65C16"/>
    <w:rsid w:val="00A7160A"/>
    <w:rsid w:val="00A73CFA"/>
    <w:rsid w:val="00A75292"/>
    <w:rsid w:val="00A823B5"/>
    <w:rsid w:val="00A87021"/>
    <w:rsid w:val="00AA0640"/>
    <w:rsid w:val="00AB3C10"/>
    <w:rsid w:val="00AD1BA7"/>
    <w:rsid w:val="00AD2947"/>
    <w:rsid w:val="00AD2AA2"/>
    <w:rsid w:val="00AE32AC"/>
    <w:rsid w:val="00AF62BB"/>
    <w:rsid w:val="00B04357"/>
    <w:rsid w:val="00B1746D"/>
    <w:rsid w:val="00B2239D"/>
    <w:rsid w:val="00B23E08"/>
    <w:rsid w:val="00B30AE9"/>
    <w:rsid w:val="00B33A62"/>
    <w:rsid w:val="00B42F3C"/>
    <w:rsid w:val="00B5205D"/>
    <w:rsid w:val="00B53CF4"/>
    <w:rsid w:val="00B560E4"/>
    <w:rsid w:val="00B84B2B"/>
    <w:rsid w:val="00B87E7D"/>
    <w:rsid w:val="00BA1EE3"/>
    <w:rsid w:val="00BA33CC"/>
    <w:rsid w:val="00BA53B5"/>
    <w:rsid w:val="00BB2ABA"/>
    <w:rsid w:val="00BB2F38"/>
    <w:rsid w:val="00BC5088"/>
    <w:rsid w:val="00BD4160"/>
    <w:rsid w:val="00BD609F"/>
    <w:rsid w:val="00BE6A7A"/>
    <w:rsid w:val="00BE735D"/>
    <w:rsid w:val="00BE78D8"/>
    <w:rsid w:val="00BE7B97"/>
    <w:rsid w:val="00BF07B9"/>
    <w:rsid w:val="00BF3E41"/>
    <w:rsid w:val="00C157F1"/>
    <w:rsid w:val="00C1614D"/>
    <w:rsid w:val="00C26471"/>
    <w:rsid w:val="00C435CE"/>
    <w:rsid w:val="00C4475B"/>
    <w:rsid w:val="00C57DA6"/>
    <w:rsid w:val="00C67904"/>
    <w:rsid w:val="00C752C3"/>
    <w:rsid w:val="00C86684"/>
    <w:rsid w:val="00C86D80"/>
    <w:rsid w:val="00C8777D"/>
    <w:rsid w:val="00CA14BC"/>
    <w:rsid w:val="00CC438A"/>
    <w:rsid w:val="00CC5B9F"/>
    <w:rsid w:val="00CF0723"/>
    <w:rsid w:val="00CF1791"/>
    <w:rsid w:val="00D012B4"/>
    <w:rsid w:val="00D10E75"/>
    <w:rsid w:val="00D16F83"/>
    <w:rsid w:val="00D2328A"/>
    <w:rsid w:val="00D426BB"/>
    <w:rsid w:val="00D47CEA"/>
    <w:rsid w:val="00D62CED"/>
    <w:rsid w:val="00D66DEE"/>
    <w:rsid w:val="00D73500"/>
    <w:rsid w:val="00D87C5D"/>
    <w:rsid w:val="00DA21E9"/>
    <w:rsid w:val="00DB41E8"/>
    <w:rsid w:val="00DC52E3"/>
    <w:rsid w:val="00DE17D6"/>
    <w:rsid w:val="00DF3F66"/>
    <w:rsid w:val="00DF4DF7"/>
    <w:rsid w:val="00DF7D1C"/>
    <w:rsid w:val="00E00EC5"/>
    <w:rsid w:val="00E03728"/>
    <w:rsid w:val="00E05867"/>
    <w:rsid w:val="00E079B6"/>
    <w:rsid w:val="00E152F1"/>
    <w:rsid w:val="00E165BB"/>
    <w:rsid w:val="00E167C2"/>
    <w:rsid w:val="00E22980"/>
    <w:rsid w:val="00E24788"/>
    <w:rsid w:val="00E367A3"/>
    <w:rsid w:val="00E37BCD"/>
    <w:rsid w:val="00E615F1"/>
    <w:rsid w:val="00E62FCD"/>
    <w:rsid w:val="00E80C91"/>
    <w:rsid w:val="00E81800"/>
    <w:rsid w:val="00E87C7C"/>
    <w:rsid w:val="00EA4236"/>
    <w:rsid w:val="00EA6998"/>
    <w:rsid w:val="00EA6D2C"/>
    <w:rsid w:val="00EB31FF"/>
    <w:rsid w:val="00EB57E3"/>
    <w:rsid w:val="00EB6139"/>
    <w:rsid w:val="00EC4CA9"/>
    <w:rsid w:val="00EC7AD4"/>
    <w:rsid w:val="00ED305E"/>
    <w:rsid w:val="00ED5210"/>
    <w:rsid w:val="00EE006B"/>
    <w:rsid w:val="00EF1540"/>
    <w:rsid w:val="00EF5507"/>
    <w:rsid w:val="00EF6D1A"/>
    <w:rsid w:val="00F01199"/>
    <w:rsid w:val="00F14CB4"/>
    <w:rsid w:val="00F21F05"/>
    <w:rsid w:val="00F27E65"/>
    <w:rsid w:val="00F31332"/>
    <w:rsid w:val="00F32405"/>
    <w:rsid w:val="00F51DC0"/>
    <w:rsid w:val="00F52A32"/>
    <w:rsid w:val="00F546FF"/>
    <w:rsid w:val="00F6176A"/>
    <w:rsid w:val="00F71706"/>
    <w:rsid w:val="00F761A3"/>
    <w:rsid w:val="00F82ABD"/>
    <w:rsid w:val="00F837DF"/>
    <w:rsid w:val="00F85086"/>
    <w:rsid w:val="00F859C4"/>
    <w:rsid w:val="00F90056"/>
    <w:rsid w:val="00F94794"/>
    <w:rsid w:val="00FA2D35"/>
    <w:rsid w:val="00FB3DF3"/>
    <w:rsid w:val="00FD14AA"/>
    <w:rsid w:val="00FD21BC"/>
    <w:rsid w:val="00FD524C"/>
    <w:rsid w:val="00FE560F"/>
    <w:rsid w:val="00FF46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5B908"/>
  <w15:chartTrackingRefBased/>
  <w15:docId w15:val="{09ECA8FC-C1CE-4BDF-9261-048ABDB7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0578"/>
  </w:style>
  <w:style w:type="paragraph" w:styleId="3">
    <w:name w:val="heading 3"/>
    <w:basedOn w:val="a"/>
    <w:link w:val="30"/>
    <w:uiPriority w:val="9"/>
    <w:qFormat/>
    <w:rsid w:val="00690733"/>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90733"/>
    <w:rPr>
      <w:rFonts w:ascii="Times New Roman" w:eastAsiaTheme="minorEastAsia" w:hAnsi="Times New Roman" w:cs="Times New Roman"/>
      <w:b/>
      <w:bCs/>
      <w:sz w:val="27"/>
      <w:szCs w:val="27"/>
      <w:lang w:eastAsia="uk-UA"/>
    </w:rPr>
  </w:style>
  <w:style w:type="table" w:styleId="a3">
    <w:name w:val="Table Grid"/>
    <w:basedOn w:val="a1"/>
    <w:uiPriority w:val="39"/>
    <w:rsid w:val="00690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0">
    <w:name w:val="rvts0"/>
    <w:basedOn w:val="a0"/>
    <w:rsid w:val="00690733"/>
  </w:style>
  <w:style w:type="paragraph" w:customStyle="1" w:styleId="rvps2">
    <w:name w:val="rvps2"/>
    <w:basedOn w:val="a"/>
    <w:link w:val="rvps2Char"/>
    <w:qFormat/>
    <w:rsid w:val="006907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690733"/>
  </w:style>
  <w:style w:type="character" w:customStyle="1" w:styleId="rvts40">
    <w:name w:val="rvts40"/>
    <w:basedOn w:val="a0"/>
    <w:rsid w:val="00690733"/>
  </w:style>
  <w:style w:type="paragraph" w:customStyle="1" w:styleId="rvps12">
    <w:name w:val="rvps12"/>
    <w:basedOn w:val="a"/>
    <w:rsid w:val="006907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90733"/>
    <w:rPr>
      <w:color w:val="0000FF"/>
      <w:u w:val="single"/>
    </w:rPr>
  </w:style>
  <w:style w:type="paragraph" w:customStyle="1" w:styleId="rvps11">
    <w:name w:val="rvps11"/>
    <w:basedOn w:val="a"/>
    <w:rsid w:val="0069073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6907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Placeholder Text"/>
    <w:basedOn w:val="a0"/>
    <w:uiPriority w:val="99"/>
    <w:semiHidden/>
    <w:rsid w:val="00A11C96"/>
    <w:rPr>
      <w:color w:val="808080"/>
    </w:rPr>
  </w:style>
  <w:style w:type="character" w:customStyle="1" w:styleId="rvts37">
    <w:name w:val="rvts37"/>
    <w:basedOn w:val="a0"/>
    <w:rsid w:val="009A00EB"/>
  </w:style>
  <w:style w:type="character" w:customStyle="1" w:styleId="rvts46">
    <w:name w:val="rvts46"/>
    <w:basedOn w:val="a0"/>
    <w:rsid w:val="009A00EB"/>
  </w:style>
  <w:style w:type="character" w:customStyle="1" w:styleId="rvts80">
    <w:name w:val="rvts80"/>
    <w:basedOn w:val="a0"/>
    <w:rsid w:val="009A00EB"/>
  </w:style>
  <w:style w:type="character" w:customStyle="1" w:styleId="1">
    <w:name w:val="Незакрита згадка1"/>
    <w:basedOn w:val="a0"/>
    <w:uiPriority w:val="99"/>
    <w:semiHidden/>
    <w:unhideWhenUsed/>
    <w:rsid w:val="00EA6D2C"/>
    <w:rPr>
      <w:color w:val="605E5C"/>
      <w:shd w:val="clear" w:color="auto" w:fill="E1DFDD"/>
    </w:rPr>
  </w:style>
  <w:style w:type="paragraph" w:customStyle="1" w:styleId="rvps7">
    <w:name w:val="rvps7"/>
    <w:basedOn w:val="a"/>
    <w:rsid w:val="002857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28574F"/>
  </w:style>
  <w:style w:type="paragraph" w:customStyle="1" w:styleId="rvps8">
    <w:name w:val="rvps8"/>
    <w:basedOn w:val="a"/>
    <w:rsid w:val="00764F9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annotation reference"/>
    <w:basedOn w:val="a0"/>
    <w:uiPriority w:val="99"/>
    <w:semiHidden/>
    <w:unhideWhenUsed/>
    <w:rsid w:val="008B675D"/>
    <w:rPr>
      <w:sz w:val="16"/>
      <w:szCs w:val="16"/>
    </w:rPr>
  </w:style>
  <w:style w:type="paragraph" w:styleId="a7">
    <w:name w:val="annotation text"/>
    <w:basedOn w:val="a"/>
    <w:link w:val="a8"/>
    <w:uiPriority w:val="99"/>
    <w:semiHidden/>
    <w:unhideWhenUsed/>
    <w:rsid w:val="008B675D"/>
    <w:pPr>
      <w:spacing w:line="240" w:lineRule="auto"/>
    </w:pPr>
    <w:rPr>
      <w:sz w:val="20"/>
      <w:szCs w:val="20"/>
    </w:rPr>
  </w:style>
  <w:style w:type="character" w:customStyle="1" w:styleId="a8">
    <w:name w:val="Текст примітки Знак"/>
    <w:basedOn w:val="a0"/>
    <w:link w:val="a7"/>
    <w:uiPriority w:val="99"/>
    <w:semiHidden/>
    <w:rsid w:val="008B675D"/>
    <w:rPr>
      <w:sz w:val="20"/>
      <w:szCs w:val="20"/>
    </w:rPr>
  </w:style>
  <w:style w:type="paragraph" w:styleId="a9">
    <w:name w:val="Balloon Text"/>
    <w:basedOn w:val="a"/>
    <w:link w:val="aa"/>
    <w:uiPriority w:val="99"/>
    <w:semiHidden/>
    <w:unhideWhenUsed/>
    <w:rsid w:val="008B675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8B675D"/>
    <w:rPr>
      <w:rFonts w:ascii="Segoe UI" w:hAnsi="Segoe UI" w:cs="Segoe UI"/>
      <w:sz w:val="18"/>
      <w:szCs w:val="18"/>
    </w:rPr>
  </w:style>
  <w:style w:type="paragraph" w:styleId="ab">
    <w:name w:val="List Paragraph"/>
    <w:basedOn w:val="a"/>
    <w:uiPriority w:val="34"/>
    <w:qFormat/>
    <w:rsid w:val="001B16A7"/>
    <w:pPr>
      <w:spacing w:after="200" w:line="276" w:lineRule="auto"/>
      <w:ind w:left="720"/>
      <w:contextualSpacing/>
    </w:pPr>
  </w:style>
  <w:style w:type="character" w:customStyle="1" w:styleId="rvts58">
    <w:name w:val="rvts58"/>
    <w:basedOn w:val="a0"/>
    <w:rsid w:val="00550821"/>
  </w:style>
  <w:style w:type="character" w:customStyle="1" w:styleId="rvts19">
    <w:name w:val="rvts19"/>
    <w:basedOn w:val="a0"/>
    <w:rsid w:val="00BE78D8"/>
  </w:style>
  <w:style w:type="character" w:customStyle="1" w:styleId="rvps2Char">
    <w:name w:val="rvps2 Char"/>
    <w:link w:val="rvps2"/>
    <w:rsid w:val="004F770B"/>
    <w:rPr>
      <w:rFonts w:ascii="Times New Roman" w:eastAsia="Times New Roman" w:hAnsi="Times New Roman" w:cs="Times New Roman"/>
      <w:sz w:val="24"/>
      <w:szCs w:val="24"/>
      <w:lang w:eastAsia="uk-UA"/>
    </w:rPr>
  </w:style>
  <w:style w:type="paragraph" w:styleId="ac">
    <w:name w:val="header"/>
    <w:basedOn w:val="a"/>
    <w:link w:val="ad"/>
    <w:uiPriority w:val="99"/>
    <w:unhideWhenUsed/>
    <w:rsid w:val="002E3C17"/>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2E3C17"/>
  </w:style>
  <w:style w:type="paragraph" w:styleId="ae">
    <w:name w:val="footer"/>
    <w:basedOn w:val="a"/>
    <w:link w:val="af"/>
    <w:uiPriority w:val="99"/>
    <w:unhideWhenUsed/>
    <w:rsid w:val="002E3C17"/>
    <w:pPr>
      <w:tabs>
        <w:tab w:val="center" w:pos="4819"/>
        <w:tab w:val="right" w:pos="9639"/>
      </w:tabs>
      <w:spacing w:after="0" w:line="240" w:lineRule="auto"/>
    </w:pPr>
  </w:style>
  <w:style w:type="character" w:customStyle="1" w:styleId="af">
    <w:name w:val="Нижній колонтитул Знак"/>
    <w:basedOn w:val="a0"/>
    <w:link w:val="ae"/>
    <w:uiPriority w:val="99"/>
    <w:rsid w:val="002E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4094">
      <w:bodyDiv w:val="1"/>
      <w:marLeft w:val="0"/>
      <w:marRight w:val="0"/>
      <w:marTop w:val="0"/>
      <w:marBottom w:val="0"/>
      <w:divBdr>
        <w:top w:val="none" w:sz="0" w:space="0" w:color="auto"/>
        <w:left w:val="none" w:sz="0" w:space="0" w:color="auto"/>
        <w:bottom w:val="none" w:sz="0" w:space="0" w:color="auto"/>
        <w:right w:val="none" w:sz="0" w:space="0" w:color="auto"/>
      </w:divBdr>
      <w:divsChild>
        <w:div w:id="1034815039">
          <w:marLeft w:val="0"/>
          <w:marRight w:val="0"/>
          <w:marTop w:val="150"/>
          <w:marBottom w:val="150"/>
          <w:divBdr>
            <w:top w:val="none" w:sz="0" w:space="0" w:color="auto"/>
            <w:left w:val="none" w:sz="0" w:space="0" w:color="auto"/>
            <w:bottom w:val="none" w:sz="0" w:space="0" w:color="auto"/>
            <w:right w:val="none" w:sz="0" w:space="0" w:color="auto"/>
          </w:divBdr>
        </w:div>
      </w:divsChild>
    </w:div>
    <w:div w:id="75322707">
      <w:bodyDiv w:val="1"/>
      <w:marLeft w:val="0"/>
      <w:marRight w:val="0"/>
      <w:marTop w:val="0"/>
      <w:marBottom w:val="0"/>
      <w:divBdr>
        <w:top w:val="none" w:sz="0" w:space="0" w:color="auto"/>
        <w:left w:val="none" w:sz="0" w:space="0" w:color="auto"/>
        <w:bottom w:val="none" w:sz="0" w:space="0" w:color="auto"/>
        <w:right w:val="none" w:sz="0" w:space="0" w:color="auto"/>
      </w:divBdr>
      <w:divsChild>
        <w:div w:id="848325373">
          <w:marLeft w:val="0"/>
          <w:marRight w:val="0"/>
          <w:marTop w:val="0"/>
          <w:marBottom w:val="150"/>
          <w:divBdr>
            <w:top w:val="none" w:sz="0" w:space="0" w:color="auto"/>
            <w:left w:val="none" w:sz="0" w:space="0" w:color="auto"/>
            <w:bottom w:val="none" w:sz="0" w:space="0" w:color="auto"/>
            <w:right w:val="none" w:sz="0" w:space="0" w:color="auto"/>
          </w:divBdr>
        </w:div>
      </w:divsChild>
    </w:div>
    <w:div w:id="259334116">
      <w:bodyDiv w:val="1"/>
      <w:marLeft w:val="0"/>
      <w:marRight w:val="0"/>
      <w:marTop w:val="0"/>
      <w:marBottom w:val="0"/>
      <w:divBdr>
        <w:top w:val="none" w:sz="0" w:space="0" w:color="auto"/>
        <w:left w:val="none" w:sz="0" w:space="0" w:color="auto"/>
        <w:bottom w:val="none" w:sz="0" w:space="0" w:color="auto"/>
        <w:right w:val="none" w:sz="0" w:space="0" w:color="auto"/>
      </w:divBdr>
    </w:div>
    <w:div w:id="262539324">
      <w:bodyDiv w:val="1"/>
      <w:marLeft w:val="0"/>
      <w:marRight w:val="0"/>
      <w:marTop w:val="0"/>
      <w:marBottom w:val="0"/>
      <w:divBdr>
        <w:top w:val="none" w:sz="0" w:space="0" w:color="auto"/>
        <w:left w:val="none" w:sz="0" w:space="0" w:color="auto"/>
        <w:bottom w:val="none" w:sz="0" w:space="0" w:color="auto"/>
        <w:right w:val="none" w:sz="0" w:space="0" w:color="auto"/>
      </w:divBdr>
      <w:divsChild>
        <w:div w:id="982002141">
          <w:marLeft w:val="0"/>
          <w:marRight w:val="0"/>
          <w:marTop w:val="0"/>
          <w:marBottom w:val="150"/>
          <w:divBdr>
            <w:top w:val="none" w:sz="0" w:space="0" w:color="auto"/>
            <w:left w:val="none" w:sz="0" w:space="0" w:color="auto"/>
            <w:bottom w:val="none" w:sz="0" w:space="0" w:color="auto"/>
            <w:right w:val="none" w:sz="0" w:space="0" w:color="auto"/>
          </w:divBdr>
        </w:div>
        <w:div w:id="667749221">
          <w:marLeft w:val="0"/>
          <w:marRight w:val="0"/>
          <w:marTop w:val="0"/>
          <w:marBottom w:val="150"/>
          <w:divBdr>
            <w:top w:val="none" w:sz="0" w:space="0" w:color="auto"/>
            <w:left w:val="none" w:sz="0" w:space="0" w:color="auto"/>
            <w:bottom w:val="none" w:sz="0" w:space="0" w:color="auto"/>
            <w:right w:val="none" w:sz="0" w:space="0" w:color="auto"/>
          </w:divBdr>
        </w:div>
      </w:divsChild>
    </w:div>
    <w:div w:id="304360281">
      <w:bodyDiv w:val="1"/>
      <w:marLeft w:val="0"/>
      <w:marRight w:val="0"/>
      <w:marTop w:val="0"/>
      <w:marBottom w:val="0"/>
      <w:divBdr>
        <w:top w:val="none" w:sz="0" w:space="0" w:color="auto"/>
        <w:left w:val="none" w:sz="0" w:space="0" w:color="auto"/>
        <w:bottom w:val="none" w:sz="0" w:space="0" w:color="auto"/>
        <w:right w:val="none" w:sz="0" w:space="0" w:color="auto"/>
      </w:divBdr>
      <w:divsChild>
        <w:div w:id="1697854354">
          <w:marLeft w:val="0"/>
          <w:marRight w:val="0"/>
          <w:marTop w:val="0"/>
          <w:marBottom w:val="150"/>
          <w:divBdr>
            <w:top w:val="none" w:sz="0" w:space="0" w:color="auto"/>
            <w:left w:val="none" w:sz="0" w:space="0" w:color="auto"/>
            <w:bottom w:val="none" w:sz="0" w:space="0" w:color="auto"/>
            <w:right w:val="none" w:sz="0" w:space="0" w:color="auto"/>
          </w:divBdr>
        </w:div>
      </w:divsChild>
    </w:div>
    <w:div w:id="371342619">
      <w:bodyDiv w:val="1"/>
      <w:marLeft w:val="0"/>
      <w:marRight w:val="0"/>
      <w:marTop w:val="0"/>
      <w:marBottom w:val="0"/>
      <w:divBdr>
        <w:top w:val="none" w:sz="0" w:space="0" w:color="auto"/>
        <w:left w:val="none" w:sz="0" w:space="0" w:color="auto"/>
        <w:bottom w:val="none" w:sz="0" w:space="0" w:color="auto"/>
        <w:right w:val="none" w:sz="0" w:space="0" w:color="auto"/>
      </w:divBdr>
      <w:divsChild>
        <w:div w:id="886142907">
          <w:marLeft w:val="0"/>
          <w:marRight w:val="0"/>
          <w:marTop w:val="0"/>
          <w:marBottom w:val="150"/>
          <w:divBdr>
            <w:top w:val="none" w:sz="0" w:space="0" w:color="auto"/>
            <w:left w:val="none" w:sz="0" w:space="0" w:color="auto"/>
            <w:bottom w:val="none" w:sz="0" w:space="0" w:color="auto"/>
            <w:right w:val="none" w:sz="0" w:space="0" w:color="auto"/>
          </w:divBdr>
        </w:div>
        <w:div w:id="1171287325">
          <w:marLeft w:val="0"/>
          <w:marRight w:val="0"/>
          <w:marTop w:val="0"/>
          <w:marBottom w:val="150"/>
          <w:divBdr>
            <w:top w:val="none" w:sz="0" w:space="0" w:color="auto"/>
            <w:left w:val="none" w:sz="0" w:space="0" w:color="auto"/>
            <w:bottom w:val="none" w:sz="0" w:space="0" w:color="auto"/>
            <w:right w:val="none" w:sz="0" w:space="0" w:color="auto"/>
          </w:divBdr>
        </w:div>
      </w:divsChild>
    </w:div>
    <w:div w:id="392434521">
      <w:bodyDiv w:val="1"/>
      <w:marLeft w:val="0"/>
      <w:marRight w:val="0"/>
      <w:marTop w:val="0"/>
      <w:marBottom w:val="0"/>
      <w:divBdr>
        <w:top w:val="none" w:sz="0" w:space="0" w:color="auto"/>
        <w:left w:val="none" w:sz="0" w:space="0" w:color="auto"/>
        <w:bottom w:val="none" w:sz="0" w:space="0" w:color="auto"/>
        <w:right w:val="none" w:sz="0" w:space="0" w:color="auto"/>
      </w:divBdr>
      <w:divsChild>
        <w:div w:id="462774788">
          <w:marLeft w:val="0"/>
          <w:marRight w:val="0"/>
          <w:marTop w:val="0"/>
          <w:marBottom w:val="0"/>
          <w:divBdr>
            <w:top w:val="none" w:sz="0" w:space="0" w:color="auto"/>
            <w:left w:val="none" w:sz="0" w:space="0" w:color="auto"/>
            <w:bottom w:val="none" w:sz="0" w:space="0" w:color="auto"/>
            <w:right w:val="none" w:sz="0" w:space="0" w:color="auto"/>
          </w:divBdr>
        </w:div>
        <w:div w:id="1349987326">
          <w:marLeft w:val="0"/>
          <w:marRight w:val="0"/>
          <w:marTop w:val="0"/>
          <w:marBottom w:val="0"/>
          <w:divBdr>
            <w:top w:val="none" w:sz="0" w:space="0" w:color="auto"/>
            <w:left w:val="none" w:sz="0" w:space="0" w:color="auto"/>
            <w:bottom w:val="none" w:sz="0" w:space="0" w:color="auto"/>
            <w:right w:val="none" w:sz="0" w:space="0" w:color="auto"/>
          </w:divBdr>
        </w:div>
        <w:div w:id="1912812847">
          <w:marLeft w:val="0"/>
          <w:marRight w:val="0"/>
          <w:marTop w:val="0"/>
          <w:marBottom w:val="0"/>
          <w:divBdr>
            <w:top w:val="none" w:sz="0" w:space="0" w:color="auto"/>
            <w:left w:val="none" w:sz="0" w:space="0" w:color="auto"/>
            <w:bottom w:val="none" w:sz="0" w:space="0" w:color="auto"/>
            <w:right w:val="none" w:sz="0" w:space="0" w:color="auto"/>
          </w:divBdr>
        </w:div>
        <w:div w:id="1690254694">
          <w:marLeft w:val="0"/>
          <w:marRight w:val="0"/>
          <w:marTop w:val="0"/>
          <w:marBottom w:val="0"/>
          <w:divBdr>
            <w:top w:val="none" w:sz="0" w:space="0" w:color="auto"/>
            <w:left w:val="none" w:sz="0" w:space="0" w:color="auto"/>
            <w:bottom w:val="none" w:sz="0" w:space="0" w:color="auto"/>
            <w:right w:val="none" w:sz="0" w:space="0" w:color="auto"/>
          </w:divBdr>
        </w:div>
      </w:divsChild>
    </w:div>
    <w:div w:id="425463285">
      <w:bodyDiv w:val="1"/>
      <w:marLeft w:val="0"/>
      <w:marRight w:val="0"/>
      <w:marTop w:val="0"/>
      <w:marBottom w:val="0"/>
      <w:divBdr>
        <w:top w:val="none" w:sz="0" w:space="0" w:color="auto"/>
        <w:left w:val="none" w:sz="0" w:space="0" w:color="auto"/>
        <w:bottom w:val="none" w:sz="0" w:space="0" w:color="auto"/>
        <w:right w:val="none" w:sz="0" w:space="0" w:color="auto"/>
      </w:divBdr>
      <w:divsChild>
        <w:div w:id="1879589733">
          <w:marLeft w:val="0"/>
          <w:marRight w:val="0"/>
          <w:marTop w:val="0"/>
          <w:marBottom w:val="150"/>
          <w:divBdr>
            <w:top w:val="none" w:sz="0" w:space="0" w:color="auto"/>
            <w:left w:val="none" w:sz="0" w:space="0" w:color="auto"/>
            <w:bottom w:val="none" w:sz="0" w:space="0" w:color="auto"/>
            <w:right w:val="none" w:sz="0" w:space="0" w:color="auto"/>
          </w:divBdr>
        </w:div>
        <w:div w:id="1580600361">
          <w:marLeft w:val="0"/>
          <w:marRight w:val="0"/>
          <w:marTop w:val="0"/>
          <w:marBottom w:val="150"/>
          <w:divBdr>
            <w:top w:val="none" w:sz="0" w:space="0" w:color="auto"/>
            <w:left w:val="none" w:sz="0" w:space="0" w:color="auto"/>
            <w:bottom w:val="none" w:sz="0" w:space="0" w:color="auto"/>
            <w:right w:val="none" w:sz="0" w:space="0" w:color="auto"/>
          </w:divBdr>
        </w:div>
      </w:divsChild>
    </w:div>
    <w:div w:id="443423340">
      <w:bodyDiv w:val="1"/>
      <w:marLeft w:val="0"/>
      <w:marRight w:val="0"/>
      <w:marTop w:val="0"/>
      <w:marBottom w:val="0"/>
      <w:divBdr>
        <w:top w:val="none" w:sz="0" w:space="0" w:color="auto"/>
        <w:left w:val="none" w:sz="0" w:space="0" w:color="auto"/>
        <w:bottom w:val="none" w:sz="0" w:space="0" w:color="auto"/>
        <w:right w:val="none" w:sz="0" w:space="0" w:color="auto"/>
      </w:divBdr>
    </w:div>
    <w:div w:id="445660875">
      <w:bodyDiv w:val="1"/>
      <w:marLeft w:val="0"/>
      <w:marRight w:val="0"/>
      <w:marTop w:val="0"/>
      <w:marBottom w:val="0"/>
      <w:divBdr>
        <w:top w:val="none" w:sz="0" w:space="0" w:color="auto"/>
        <w:left w:val="none" w:sz="0" w:space="0" w:color="auto"/>
        <w:bottom w:val="none" w:sz="0" w:space="0" w:color="auto"/>
        <w:right w:val="none" w:sz="0" w:space="0" w:color="auto"/>
      </w:divBdr>
    </w:div>
    <w:div w:id="458955471">
      <w:bodyDiv w:val="1"/>
      <w:marLeft w:val="0"/>
      <w:marRight w:val="0"/>
      <w:marTop w:val="0"/>
      <w:marBottom w:val="0"/>
      <w:divBdr>
        <w:top w:val="none" w:sz="0" w:space="0" w:color="auto"/>
        <w:left w:val="none" w:sz="0" w:space="0" w:color="auto"/>
        <w:bottom w:val="none" w:sz="0" w:space="0" w:color="auto"/>
        <w:right w:val="none" w:sz="0" w:space="0" w:color="auto"/>
      </w:divBdr>
    </w:div>
    <w:div w:id="471099303">
      <w:bodyDiv w:val="1"/>
      <w:marLeft w:val="0"/>
      <w:marRight w:val="0"/>
      <w:marTop w:val="0"/>
      <w:marBottom w:val="0"/>
      <w:divBdr>
        <w:top w:val="none" w:sz="0" w:space="0" w:color="auto"/>
        <w:left w:val="none" w:sz="0" w:space="0" w:color="auto"/>
        <w:bottom w:val="none" w:sz="0" w:space="0" w:color="auto"/>
        <w:right w:val="none" w:sz="0" w:space="0" w:color="auto"/>
      </w:divBdr>
      <w:divsChild>
        <w:div w:id="1330909602">
          <w:marLeft w:val="0"/>
          <w:marRight w:val="0"/>
          <w:marTop w:val="0"/>
          <w:marBottom w:val="0"/>
          <w:divBdr>
            <w:top w:val="none" w:sz="0" w:space="0" w:color="auto"/>
            <w:left w:val="none" w:sz="0" w:space="0" w:color="auto"/>
            <w:bottom w:val="none" w:sz="0" w:space="0" w:color="auto"/>
            <w:right w:val="none" w:sz="0" w:space="0" w:color="auto"/>
          </w:divBdr>
        </w:div>
        <w:div w:id="192810344">
          <w:marLeft w:val="0"/>
          <w:marRight w:val="0"/>
          <w:marTop w:val="0"/>
          <w:marBottom w:val="0"/>
          <w:divBdr>
            <w:top w:val="none" w:sz="0" w:space="0" w:color="auto"/>
            <w:left w:val="none" w:sz="0" w:space="0" w:color="auto"/>
            <w:bottom w:val="none" w:sz="0" w:space="0" w:color="auto"/>
            <w:right w:val="none" w:sz="0" w:space="0" w:color="auto"/>
          </w:divBdr>
        </w:div>
        <w:div w:id="1608661437">
          <w:marLeft w:val="0"/>
          <w:marRight w:val="0"/>
          <w:marTop w:val="0"/>
          <w:marBottom w:val="0"/>
          <w:divBdr>
            <w:top w:val="none" w:sz="0" w:space="0" w:color="auto"/>
            <w:left w:val="none" w:sz="0" w:space="0" w:color="auto"/>
            <w:bottom w:val="none" w:sz="0" w:space="0" w:color="auto"/>
            <w:right w:val="none" w:sz="0" w:space="0" w:color="auto"/>
          </w:divBdr>
        </w:div>
      </w:divsChild>
    </w:div>
    <w:div w:id="515196796">
      <w:bodyDiv w:val="1"/>
      <w:marLeft w:val="0"/>
      <w:marRight w:val="0"/>
      <w:marTop w:val="0"/>
      <w:marBottom w:val="0"/>
      <w:divBdr>
        <w:top w:val="none" w:sz="0" w:space="0" w:color="auto"/>
        <w:left w:val="none" w:sz="0" w:space="0" w:color="auto"/>
        <w:bottom w:val="none" w:sz="0" w:space="0" w:color="auto"/>
        <w:right w:val="none" w:sz="0" w:space="0" w:color="auto"/>
      </w:divBdr>
    </w:div>
    <w:div w:id="671840477">
      <w:bodyDiv w:val="1"/>
      <w:marLeft w:val="0"/>
      <w:marRight w:val="0"/>
      <w:marTop w:val="0"/>
      <w:marBottom w:val="0"/>
      <w:divBdr>
        <w:top w:val="none" w:sz="0" w:space="0" w:color="auto"/>
        <w:left w:val="none" w:sz="0" w:space="0" w:color="auto"/>
        <w:bottom w:val="none" w:sz="0" w:space="0" w:color="auto"/>
        <w:right w:val="none" w:sz="0" w:space="0" w:color="auto"/>
      </w:divBdr>
      <w:divsChild>
        <w:div w:id="1616642503">
          <w:marLeft w:val="0"/>
          <w:marRight w:val="0"/>
          <w:marTop w:val="0"/>
          <w:marBottom w:val="150"/>
          <w:divBdr>
            <w:top w:val="none" w:sz="0" w:space="0" w:color="auto"/>
            <w:left w:val="none" w:sz="0" w:space="0" w:color="auto"/>
            <w:bottom w:val="none" w:sz="0" w:space="0" w:color="auto"/>
            <w:right w:val="none" w:sz="0" w:space="0" w:color="auto"/>
          </w:divBdr>
        </w:div>
      </w:divsChild>
    </w:div>
    <w:div w:id="698238269">
      <w:bodyDiv w:val="1"/>
      <w:marLeft w:val="0"/>
      <w:marRight w:val="0"/>
      <w:marTop w:val="0"/>
      <w:marBottom w:val="0"/>
      <w:divBdr>
        <w:top w:val="none" w:sz="0" w:space="0" w:color="auto"/>
        <w:left w:val="none" w:sz="0" w:space="0" w:color="auto"/>
        <w:bottom w:val="none" w:sz="0" w:space="0" w:color="auto"/>
        <w:right w:val="none" w:sz="0" w:space="0" w:color="auto"/>
      </w:divBdr>
      <w:divsChild>
        <w:div w:id="1527475851">
          <w:marLeft w:val="0"/>
          <w:marRight w:val="0"/>
          <w:marTop w:val="0"/>
          <w:marBottom w:val="150"/>
          <w:divBdr>
            <w:top w:val="none" w:sz="0" w:space="0" w:color="auto"/>
            <w:left w:val="none" w:sz="0" w:space="0" w:color="auto"/>
            <w:bottom w:val="none" w:sz="0" w:space="0" w:color="auto"/>
            <w:right w:val="none" w:sz="0" w:space="0" w:color="auto"/>
          </w:divBdr>
        </w:div>
      </w:divsChild>
    </w:div>
    <w:div w:id="700546151">
      <w:bodyDiv w:val="1"/>
      <w:marLeft w:val="0"/>
      <w:marRight w:val="0"/>
      <w:marTop w:val="0"/>
      <w:marBottom w:val="0"/>
      <w:divBdr>
        <w:top w:val="none" w:sz="0" w:space="0" w:color="auto"/>
        <w:left w:val="none" w:sz="0" w:space="0" w:color="auto"/>
        <w:bottom w:val="none" w:sz="0" w:space="0" w:color="auto"/>
        <w:right w:val="none" w:sz="0" w:space="0" w:color="auto"/>
      </w:divBdr>
      <w:divsChild>
        <w:div w:id="929434926">
          <w:marLeft w:val="0"/>
          <w:marRight w:val="0"/>
          <w:marTop w:val="0"/>
          <w:marBottom w:val="150"/>
          <w:divBdr>
            <w:top w:val="none" w:sz="0" w:space="0" w:color="auto"/>
            <w:left w:val="none" w:sz="0" w:space="0" w:color="auto"/>
            <w:bottom w:val="none" w:sz="0" w:space="0" w:color="auto"/>
            <w:right w:val="none" w:sz="0" w:space="0" w:color="auto"/>
          </w:divBdr>
        </w:div>
      </w:divsChild>
    </w:div>
    <w:div w:id="773137532">
      <w:bodyDiv w:val="1"/>
      <w:marLeft w:val="0"/>
      <w:marRight w:val="0"/>
      <w:marTop w:val="0"/>
      <w:marBottom w:val="0"/>
      <w:divBdr>
        <w:top w:val="none" w:sz="0" w:space="0" w:color="auto"/>
        <w:left w:val="none" w:sz="0" w:space="0" w:color="auto"/>
        <w:bottom w:val="none" w:sz="0" w:space="0" w:color="auto"/>
        <w:right w:val="none" w:sz="0" w:space="0" w:color="auto"/>
      </w:divBdr>
      <w:divsChild>
        <w:div w:id="1492214090">
          <w:marLeft w:val="0"/>
          <w:marRight w:val="0"/>
          <w:marTop w:val="0"/>
          <w:marBottom w:val="150"/>
          <w:divBdr>
            <w:top w:val="none" w:sz="0" w:space="0" w:color="auto"/>
            <w:left w:val="none" w:sz="0" w:space="0" w:color="auto"/>
            <w:bottom w:val="none" w:sz="0" w:space="0" w:color="auto"/>
            <w:right w:val="none" w:sz="0" w:space="0" w:color="auto"/>
          </w:divBdr>
        </w:div>
      </w:divsChild>
    </w:div>
    <w:div w:id="840395674">
      <w:bodyDiv w:val="1"/>
      <w:marLeft w:val="0"/>
      <w:marRight w:val="0"/>
      <w:marTop w:val="0"/>
      <w:marBottom w:val="0"/>
      <w:divBdr>
        <w:top w:val="none" w:sz="0" w:space="0" w:color="auto"/>
        <w:left w:val="none" w:sz="0" w:space="0" w:color="auto"/>
        <w:bottom w:val="none" w:sz="0" w:space="0" w:color="auto"/>
        <w:right w:val="none" w:sz="0" w:space="0" w:color="auto"/>
      </w:divBdr>
    </w:div>
    <w:div w:id="852843405">
      <w:bodyDiv w:val="1"/>
      <w:marLeft w:val="0"/>
      <w:marRight w:val="0"/>
      <w:marTop w:val="0"/>
      <w:marBottom w:val="0"/>
      <w:divBdr>
        <w:top w:val="none" w:sz="0" w:space="0" w:color="auto"/>
        <w:left w:val="none" w:sz="0" w:space="0" w:color="auto"/>
        <w:bottom w:val="none" w:sz="0" w:space="0" w:color="auto"/>
        <w:right w:val="none" w:sz="0" w:space="0" w:color="auto"/>
      </w:divBdr>
    </w:div>
    <w:div w:id="900098038">
      <w:bodyDiv w:val="1"/>
      <w:marLeft w:val="0"/>
      <w:marRight w:val="0"/>
      <w:marTop w:val="0"/>
      <w:marBottom w:val="0"/>
      <w:divBdr>
        <w:top w:val="none" w:sz="0" w:space="0" w:color="auto"/>
        <w:left w:val="none" w:sz="0" w:space="0" w:color="auto"/>
        <w:bottom w:val="none" w:sz="0" w:space="0" w:color="auto"/>
        <w:right w:val="none" w:sz="0" w:space="0" w:color="auto"/>
      </w:divBdr>
      <w:divsChild>
        <w:div w:id="854030920">
          <w:marLeft w:val="0"/>
          <w:marRight w:val="0"/>
          <w:marTop w:val="0"/>
          <w:marBottom w:val="150"/>
          <w:divBdr>
            <w:top w:val="none" w:sz="0" w:space="0" w:color="auto"/>
            <w:left w:val="none" w:sz="0" w:space="0" w:color="auto"/>
            <w:bottom w:val="none" w:sz="0" w:space="0" w:color="auto"/>
            <w:right w:val="none" w:sz="0" w:space="0" w:color="auto"/>
          </w:divBdr>
        </w:div>
        <w:div w:id="69469910">
          <w:marLeft w:val="0"/>
          <w:marRight w:val="0"/>
          <w:marTop w:val="0"/>
          <w:marBottom w:val="150"/>
          <w:divBdr>
            <w:top w:val="none" w:sz="0" w:space="0" w:color="auto"/>
            <w:left w:val="none" w:sz="0" w:space="0" w:color="auto"/>
            <w:bottom w:val="none" w:sz="0" w:space="0" w:color="auto"/>
            <w:right w:val="none" w:sz="0" w:space="0" w:color="auto"/>
          </w:divBdr>
        </w:div>
        <w:div w:id="249393505">
          <w:marLeft w:val="0"/>
          <w:marRight w:val="0"/>
          <w:marTop w:val="0"/>
          <w:marBottom w:val="150"/>
          <w:divBdr>
            <w:top w:val="none" w:sz="0" w:space="0" w:color="auto"/>
            <w:left w:val="none" w:sz="0" w:space="0" w:color="auto"/>
            <w:bottom w:val="none" w:sz="0" w:space="0" w:color="auto"/>
            <w:right w:val="none" w:sz="0" w:space="0" w:color="auto"/>
          </w:divBdr>
        </w:div>
      </w:divsChild>
    </w:div>
    <w:div w:id="914358808">
      <w:bodyDiv w:val="1"/>
      <w:marLeft w:val="0"/>
      <w:marRight w:val="0"/>
      <w:marTop w:val="0"/>
      <w:marBottom w:val="0"/>
      <w:divBdr>
        <w:top w:val="none" w:sz="0" w:space="0" w:color="auto"/>
        <w:left w:val="none" w:sz="0" w:space="0" w:color="auto"/>
        <w:bottom w:val="none" w:sz="0" w:space="0" w:color="auto"/>
        <w:right w:val="none" w:sz="0" w:space="0" w:color="auto"/>
      </w:divBdr>
    </w:div>
    <w:div w:id="960763120">
      <w:bodyDiv w:val="1"/>
      <w:marLeft w:val="0"/>
      <w:marRight w:val="0"/>
      <w:marTop w:val="0"/>
      <w:marBottom w:val="0"/>
      <w:divBdr>
        <w:top w:val="none" w:sz="0" w:space="0" w:color="auto"/>
        <w:left w:val="none" w:sz="0" w:space="0" w:color="auto"/>
        <w:bottom w:val="none" w:sz="0" w:space="0" w:color="auto"/>
        <w:right w:val="none" w:sz="0" w:space="0" w:color="auto"/>
      </w:divBdr>
    </w:div>
    <w:div w:id="961958314">
      <w:bodyDiv w:val="1"/>
      <w:marLeft w:val="0"/>
      <w:marRight w:val="0"/>
      <w:marTop w:val="0"/>
      <w:marBottom w:val="0"/>
      <w:divBdr>
        <w:top w:val="none" w:sz="0" w:space="0" w:color="auto"/>
        <w:left w:val="none" w:sz="0" w:space="0" w:color="auto"/>
        <w:bottom w:val="none" w:sz="0" w:space="0" w:color="auto"/>
        <w:right w:val="none" w:sz="0" w:space="0" w:color="auto"/>
      </w:divBdr>
    </w:div>
    <w:div w:id="1105267707">
      <w:bodyDiv w:val="1"/>
      <w:marLeft w:val="0"/>
      <w:marRight w:val="0"/>
      <w:marTop w:val="0"/>
      <w:marBottom w:val="0"/>
      <w:divBdr>
        <w:top w:val="none" w:sz="0" w:space="0" w:color="auto"/>
        <w:left w:val="none" w:sz="0" w:space="0" w:color="auto"/>
        <w:bottom w:val="none" w:sz="0" w:space="0" w:color="auto"/>
        <w:right w:val="none" w:sz="0" w:space="0" w:color="auto"/>
      </w:divBdr>
    </w:div>
    <w:div w:id="1273122773">
      <w:bodyDiv w:val="1"/>
      <w:marLeft w:val="0"/>
      <w:marRight w:val="0"/>
      <w:marTop w:val="0"/>
      <w:marBottom w:val="0"/>
      <w:divBdr>
        <w:top w:val="none" w:sz="0" w:space="0" w:color="auto"/>
        <w:left w:val="none" w:sz="0" w:space="0" w:color="auto"/>
        <w:bottom w:val="none" w:sz="0" w:space="0" w:color="auto"/>
        <w:right w:val="none" w:sz="0" w:space="0" w:color="auto"/>
      </w:divBdr>
      <w:divsChild>
        <w:div w:id="248201197">
          <w:marLeft w:val="0"/>
          <w:marRight w:val="0"/>
          <w:marTop w:val="0"/>
          <w:marBottom w:val="0"/>
          <w:divBdr>
            <w:top w:val="none" w:sz="0" w:space="0" w:color="auto"/>
            <w:left w:val="none" w:sz="0" w:space="0" w:color="auto"/>
            <w:bottom w:val="none" w:sz="0" w:space="0" w:color="auto"/>
            <w:right w:val="none" w:sz="0" w:space="0" w:color="auto"/>
          </w:divBdr>
        </w:div>
      </w:divsChild>
    </w:div>
    <w:div w:id="1336305954">
      <w:bodyDiv w:val="1"/>
      <w:marLeft w:val="0"/>
      <w:marRight w:val="0"/>
      <w:marTop w:val="0"/>
      <w:marBottom w:val="0"/>
      <w:divBdr>
        <w:top w:val="none" w:sz="0" w:space="0" w:color="auto"/>
        <w:left w:val="none" w:sz="0" w:space="0" w:color="auto"/>
        <w:bottom w:val="none" w:sz="0" w:space="0" w:color="auto"/>
        <w:right w:val="none" w:sz="0" w:space="0" w:color="auto"/>
      </w:divBdr>
      <w:divsChild>
        <w:div w:id="31537815">
          <w:marLeft w:val="0"/>
          <w:marRight w:val="0"/>
          <w:marTop w:val="0"/>
          <w:marBottom w:val="0"/>
          <w:divBdr>
            <w:top w:val="none" w:sz="0" w:space="0" w:color="auto"/>
            <w:left w:val="none" w:sz="0" w:space="0" w:color="auto"/>
            <w:bottom w:val="none" w:sz="0" w:space="0" w:color="auto"/>
            <w:right w:val="none" w:sz="0" w:space="0" w:color="auto"/>
          </w:divBdr>
        </w:div>
      </w:divsChild>
    </w:div>
    <w:div w:id="1369183213">
      <w:bodyDiv w:val="1"/>
      <w:marLeft w:val="0"/>
      <w:marRight w:val="0"/>
      <w:marTop w:val="0"/>
      <w:marBottom w:val="0"/>
      <w:divBdr>
        <w:top w:val="none" w:sz="0" w:space="0" w:color="auto"/>
        <w:left w:val="none" w:sz="0" w:space="0" w:color="auto"/>
        <w:bottom w:val="none" w:sz="0" w:space="0" w:color="auto"/>
        <w:right w:val="none" w:sz="0" w:space="0" w:color="auto"/>
      </w:divBdr>
      <w:divsChild>
        <w:div w:id="1551258322">
          <w:marLeft w:val="0"/>
          <w:marRight w:val="0"/>
          <w:marTop w:val="0"/>
          <w:marBottom w:val="150"/>
          <w:divBdr>
            <w:top w:val="none" w:sz="0" w:space="0" w:color="auto"/>
            <w:left w:val="none" w:sz="0" w:space="0" w:color="auto"/>
            <w:bottom w:val="none" w:sz="0" w:space="0" w:color="auto"/>
            <w:right w:val="none" w:sz="0" w:space="0" w:color="auto"/>
          </w:divBdr>
        </w:div>
      </w:divsChild>
    </w:div>
    <w:div w:id="1423838625">
      <w:bodyDiv w:val="1"/>
      <w:marLeft w:val="0"/>
      <w:marRight w:val="0"/>
      <w:marTop w:val="0"/>
      <w:marBottom w:val="0"/>
      <w:divBdr>
        <w:top w:val="none" w:sz="0" w:space="0" w:color="auto"/>
        <w:left w:val="none" w:sz="0" w:space="0" w:color="auto"/>
        <w:bottom w:val="none" w:sz="0" w:space="0" w:color="auto"/>
        <w:right w:val="none" w:sz="0" w:space="0" w:color="auto"/>
      </w:divBdr>
      <w:divsChild>
        <w:div w:id="2054500347">
          <w:marLeft w:val="0"/>
          <w:marRight w:val="0"/>
          <w:marTop w:val="0"/>
          <w:marBottom w:val="0"/>
          <w:divBdr>
            <w:top w:val="none" w:sz="0" w:space="0" w:color="auto"/>
            <w:left w:val="none" w:sz="0" w:space="0" w:color="auto"/>
            <w:bottom w:val="none" w:sz="0" w:space="0" w:color="auto"/>
            <w:right w:val="none" w:sz="0" w:space="0" w:color="auto"/>
          </w:divBdr>
        </w:div>
      </w:divsChild>
    </w:div>
    <w:div w:id="1463042386">
      <w:bodyDiv w:val="1"/>
      <w:marLeft w:val="0"/>
      <w:marRight w:val="0"/>
      <w:marTop w:val="0"/>
      <w:marBottom w:val="0"/>
      <w:divBdr>
        <w:top w:val="none" w:sz="0" w:space="0" w:color="auto"/>
        <w:left w:val="none" w:sz="0" w:space="0" w:color="auto"/>
        <w:bottom w:val="none" w:sz="0" w:space="0" w:color="auto"/>
        <w:right w:val="none" w:sz="0" w:space="0" w:color="auto"/>
      </w:divBdr>
      <w:divsChild>
        <w:div w:id="511262555">
          <w:marLeft w:val="0"/>
          <w:marRight w:val="0"/>
          <w:marTop w:val="150"/>
          <w:marBottom w:val="150"/>
          <w:divBdr>
            <w:top w:val="none" w:sz="0" w:space="0" w:color="auto"/>
            <w:left w:val="none" w:sz="0" w:space="0" w:color="auto"/>
            <w:bottom w:val="none" w:sz="0" w:space="0" w:color="auto"/>
            <w:right w:val="none" w:sz="0" w:space="0" w:color="auto"/>
          </w:divBdr>
        </w:div>
      </w:divsChild>
    </w:div>
    <w:div w:id="1487940346">
      <w:bodyDiv w:val="1"/>
      <w:marLeft w:val="0"/>
      <w:marRight w:val="0"/>
      <w:marTop w:val="0"/>
      <w:marBottom w:val="0"/>
      <w:divBdr>
        <w:top w:val="none" w:sz="0" w:space="0" w:color="auto"/>
        <w:left w:val="none" w:sz="0" w:space="0" w:color="auto"/>
        <w:bottom w:val="none" w:sz="0" w:space="0" w:color="auto"/>
        <w:right w:val="none" w:sz="0" w:space="0" w:color="auto"/>
      </w:divBdr>
    </w:div>
    <w:div w:id="1531258787">
      <w:bodyDiv w:val="1"/>
      <w:marLeft w:val="0"/>
      <w:marRight w:val="0"/>
      <w:marTop w:val="0"/>
      <w:marBottom w:val="0"/>
      <w:divBdr>
        <w:top w:val="none" w:sz="0" w:space="0" w:color="auto"/>
        <w:left w:val="none" w:sz="0" w:space="0" w:color="auto"/>
        <w:bottom w:val="none" w:sz="0" w:space="0" w:color="auto"/>
        <w:right w:val="none" w:sz="0" w:space="0" w:color="auto"/>
      </w:divBdr>
    </w:div>
    <w:div w:id="1626503871">
      <w:bodyDiv w:val="1"/>
      <w:marLeft w:val="0"/>
      <w:marRight w:val="0"/>
      <w:marTop w:val="0"/>
      <w:marBottom w:val="0"/>
      <w:divBdr>
        <w:top w:val="none" w:sz="0" w:space="0" w:color="auto"/>
        <w:left w:val="none" w:sz="0" w:space="0" w:color="auto"/>
        <w:bottom w:val="none" w:sz="0" w:space="0" w:color="auto"/>
        <w:right w:val="none" w:sz="0" w:space="0" w:color="auto"/>
      </w:divBdr>
    </w:div>
    <w:div w:id="1684437251">
      <w:bodyDiv w:val="1"/>
      <w:marLeft w:val="0"/>
      <w:marRight w:val="0"/>
      <w:marTop w:val="0"/>
      <w:marBottom w:val="0"/>
      <w:divBdr>
        <w:top w:val="none" w:sz="0" w:space="0" w:color="auto"/>
        <w:left w:val="none" w:sz="0" w:space="0" w:color="auto"/>
        <w:bottom w:val="none" w:sz="0" w:space="0" w:color="auto"/>
        <w:right w:val="none" w:sz="0" w:space="0" w:color="auto"/>
      </w:divBdr>
      <w:divsChild>
        <w:div w:id="956521327">
          <w:marLeft w:val="0"/>
          <w:marRight w:val="0"/>
          <w:marTop w:val="0"/>
          <w:marBottom w:val="0"/>
          <w:divBdr>
            <w:top w:val="none" w:sz="0" w:space="0" w:color="auto"/>
            <w:left w:val="none" w:sz="0" w:space="0" w:color="auto"/>
            <w:bottom w:val="none" w:sz="0" w:space="0" w:color="auto"/>
            <w:right w:val="none" w:sz="0" w:space="0" w:color="auto"/>
          </w:divBdr>
        </w:div>
      </w:divsChild>
    </w:div>
    <w:div w:id="1691026214">
      <w:bodyDiv w:val="1"/>
      <w:marLeft w:val="0"/>
      <w:marRight w:val="0"/>
      <w:marTop w:val="0"/>
      <w:marBottom w:val="0"/>
      <w:divBdr>
        <w:top w:val="none" w:sz="0" w:space="0" w:color="auto"/>
        <w:left w:val="none" w:sz="0" w:space="0" w:color="auto"/>
        <w:bottom w:val="none" w:sz="0" w:space="0" w:color="auto"/>
        <w:right w:val="none" w:sz="0" w:space="0" w:color="auto"/>
      </w:divBdr>
      <w:divsChild>
        <w:div w:id="1597136401">
          <w:marLeft w:val="0"/>
          <w:marRight w:val="0"/>
          <w:marTop w:val="0"/>
          <w:marBottom w:val="0"/>
          <w:divBdr>
            <w:top w:val="none" w:sz="0" w:space="0" w:color="auto"/>
            <w:left w:val="none" w:sz="0" w:space="0" w:color="auto"/>
            <w:bottom w:val="none" w:sz="0" w:space="0" w:color="auto"/>
            <w:right w:val="none" w:sz="0" w:space="0" w:color="auto"/>
          </w:divBdr>
        </w:div>
      </w:divsChild>
    </w:div>
    <w:div w:id="1750299618">
      <w:bodyDiv w:val="1"/>
      <w:marLeft w:val="0"/>
      <w:marRight w:val="0"/>
      <w:marTop w:val="0"/>
      <w:marBottom w:val="0"/>
      <w:divBdr>
        <w:top w:val="none" w:sz="0" w:space="0" w:color="auto"/>
        <w:left w:val="none" w:sz="0" w:space="0" w:color="auto"/>
        <w:bottom w:val="none" w:sz="0" w:space="0" w:color="auto"/>
        <w:right w:val="none" w:sz="0" w:space="0" w:color="auto"/>
      </w:divBdr>
      <w:divsChild>
        <w:div w:id="938953400">
          <w:marLeft w:val="0"/>
          <w:marRight w:val="0"/>
          <w:marTop w:val="0"/>
          <w:marBottom w:val="150"/>
          <w:divBdr>
            <w:top w:val="none" w:sz="0" w:space="0" w:color="auto"/>
            <w:left w:val="none" w:sz="0" w:space="0" w:color="auto"/>
            <w:bottom w:val="none" w:sz="0" w:space="0" w:color="auto"/>
            <w:right w:val="none" w:sz="0" w:space="0" w:color="auto"/>
          </w:divBdr>
        </w:div>
      </w:divsChild>
    </w:div>
    <w:div w:id="1754399953">
      <w:bodyDiv w:val="1"/>
      <w:marLeft w:val="0"/>
      <w:marRight w:val="0"/>
      <w:marTop w:val="0"/>
      <w:marBottom w:val="0"/>
      <w:divBdr>
        <w:top w:val="none" w:sz="0" w:space="0" w:color="auto"/>
        <w:left w:val="none" w:sz="0" w:space="0" w:color="auto"/>
        <w:bottom w:val="none" w:sz="0" w:space="0" w:color="auto"/>
        <w:right w:val="none" w:sz="0" w:space="0" w:color="auto"/>
      </w:divBdr>
    </w:div>
    <w:div w:id="1808087426">
      <w:bodyDiv w:val="1"/>
      <w:marLeft w:val="0"/>
      <w:marRight w:val="0"/>
      <w:marTop w:val="0"/>
      <w:marBottom w:val="0"/>
      <w:divBdr>
        <w:top w:val="none" w:sz="0" w:space="0" w:color="auto"/>
        <w:left w:val="none" w:sz="0" w:space="0" w:color="auto"/>
        <w:bottom w:val="none" w:sz="0" w:space="0" w:color="auto"/>
        <w:right w:val="none" w:sz="0" w:space="0" w:color="auto"/>
      </w:divBdr>
      <w:divsChild>
        <w:div w:id="366686935">
          <w:marLeft w:val="0"/>
          <w:marRight w:val="0"/>
          <w:marTop w:val="0"/>
          <w:marBottom w:val="0"/>
          <w:divBdr>
            <w:top w:val="none" w:sz="0" w:space="0" w:color="auto"/>
            <w:left w:val="none" w:sz="0" w:space="0" w:color="auto"/>
            <w:bottom w:val="none" w:sz="0" w:space="0" w:color="auto"/>
            <w:right w:val="none" w:sz="0" w:space="0" w:color="auto"/>
          </w:divBdr>
        </w:div>
      </w:divsChild>
    </w:div>
    <w:div w:id="1848933935">
      <w:bodyDiv w:val="1"/>
      <w:marLeft w:val="0"/>
      <w:marRight w:val="0"/>
      <w:marTop w:val="0"/>
      <w:marBottom w:val="0"/>
      <w:divBdr>
        <w:top w:val="none" w:sz="0" w:space="0" w:color="auto"/>
        <w:left w:val="none" w:sz="0" w:space="0" w:color="auto"/>
        <w:bottom w:val="none" w:sz="0" w:space="0" w:color="auto"/>
        <w:right w:val="none" w:sz="0" w:space="0" w:color="auto"/>
      </w:divBdr>
    </w:div>
    <w:div w:id="1869755947">
      <w:bodyDiv w:val="1"/>
      <w:marLeft w:val="0"/>
      <w:marRight w:val="0"/>
      <w:marTop w:val="0"/>
      <w:marBottom w:val="0"/>
      <w:divBdr>
        <w:top w:val="none" w:sz="0" w:space="0" w:color="auto"/>
        <w:left w:val="none" w:sz="0" w:space="0" w:color="auto"/>
        <w:bottom w:val="none" w:sz="0" w:space="0" w:color="auto"/>
        <w:right w:val="none" w:sz="0" w:space="0" w:color="auto"/>
      </w:divBdr>
    </w:div>
    <w:div w:id="1885097179">
      <w:bodyDiv w:val="1"/>
      <w:marLeft w:val="0"/>
      <w:marRight w:val="0"/>
      <w:marTop w:val="0"/>
      <w:marBottom w:val="0"/>
      <w:divBdr>
        <w:top w:val="none" w:sz="0" w:space="0" w:color="auto"/>
        <w:left w:val="none" w:sz="0" w:space="0" w:color="auto"/>
        <w:bottom w:val="none" w:sz="0" w:space="0" w:color="auto"/>
        <w:right w:val="none" w:sz="0" w:space="0" w:color="auto"/>
      </w:divBdr>
      <w:divsChild>
        <w:div w:id="806967888">
          <w:marLeft w:val="0"/>
          <w:marRight w:val="0"/>
          <w:marTop w:val="0"/>
          <w:marBottom w:val="0"/>
          <w:divBdr>
            <w:top w:val="none" w:sz="0" w:space="0" w:color="auto"/>
            <w:left w:val="none" w:sz="0" w:space="0" w:color="auto"/>
            <w:bottom w:val="none" w:sz="0" w:space="0" w:color="auto"/>
            <w:right w:val="none" w:sz="0" w:space="0" w:color="auto"/>
          </w:divBdr>
        </w:div>
        <w:div w:id="1682051012">
          <w:marLeft w:val="0"/>
          <w:marRight w:val="0"/>
          <w:marTop w:val="0"/>
          <w:marBottom w:val="0"/>
          <w:divBdr>
            <w:top w:val="none" w:sz="0" w:space="0" w:color="auto"/>
            <w:left w:val="none" w:sz="0" w:space="0" w:color="auto"/>
            <w:bottom w:val="none" w:sz="0" w:space="0" w:color="auto"/>
            <w:right w:val="none" w:sz="0" w:space="0" w:color="auto"/>
          </w:divBdr>
        </w:div>
        <w:div w:id="391974901">
          <w:marLeft w:val="0"/>
          <w:marRight w:val="0"/>
          <w:marTop w:val="0"/>
          <w:marBottom w:val="0"/>
          <w:divBdr>
            <w:top w:val="none" w:sz="0" w:space="0" w:color="auto"/>
            <w:left w:val="none" w:sz="0" w:space="0" w:color="auto"/>
            <w:bottom w:val="none" w:sz="0" w:space="0" w:color="auto"/>
            <w:right w:val="none" w:sz="0" w:space="0" w:color="auto"/>
          </w:divBdr>
        </w:div>
      </w:divsChild>
    </w:div>
    <w:div w:id="1900436626">
      <w:bodyDiv w:val="1"/>
      <w:marLeft w:val="0"/>
      <w:marRight w:val="0"/>
      <w:marTop w:val="0"/>
      <w:marBottom w:val="0"/>
      <w:divBdr>
        <w:top w:val="none" w:sz="0" w:space="0" w:color="auto"/>
        <w:left w:val="none" w:sz="0" w:space="0" w:color="auto"/>
        <w:bottom w:val="none" w:sz="0" w:space="0" w:color="auto"/>
        <w:right w:val="none" w:sz="0" w:space="0" w:color="auto"/>
      </w:divBdr>
      <w:divsChild>
        <w:div w:id="1311209366">
          <w:marLeft w:val="0"/>
          <w:marRight w:val="0"/>
          <w:marTop w:val="150"/>
          <w:marBottom w:val="150"/>
          <w:divBdr>
            <w:top w:val="none" w:sz="0" w:space="0" w:color="auto"/>
            <w:left w:val="none" w:sz="0" w:space="0" w:color="auto"/>
            <w:bottom w:val="none" w:sz="0" w:space="0" w:color="auto"/>
            <w:right w:val="none" w:sz="0" w:space="0" w:color="auto"/>
          </w:divBdr>
        </w:div>
      </w:divsChild>
    </w:div>
    <w:div w:id="1962567298">
      <w:bodyDiv w:val="1"/>
      <w:marLeft w:val="0"/>
      <w:marRight w:val="0"/>
      <w:marTop w:val="0"/>
      <w:marBottom w:val="0"/>
      <w:divBdr>
        <w:top w:val="none" w:sz="0" w:space="0" w:color="auto"/>
        <w:left w:val="none" w:sz="0" w:space="0" w:color="auto"/>
        <w:bottom w:val="none" w:sz="0" w:space="0" w:color="auto"/>
        <w:right w:val="none" w:sz="0" w:space="0" w:color="auto"/>
      </w:divBdr>
      <w:divsChild>
        <w:div w:id="817184222">
          <w:marLeft w:val="0"/>
          <w:marRight w:val="0"/>
          <w:marTop w:val="0"/>
          <w:marBottom w:val="150"/>
          <w:divBdr>
            <w:top w:val="none" w:sz="0" w:space="0" w:color="auto"/>
            <w:left w:val="none" w:sz="0" w:space="0" w:color="auto"/>
            <w:bottom w:val="none" w:sz="0" w:space="0" w:color="auto"/>
            <w:right w:val="none" w:sz="0" w:space="0" w:color="auto"/>
          </w:divBdr>
        </w:div>
      </w:divsChild>
    </w:div>
    <w:div w:id="1973367650">
      <w:bodyDiv w:val="1"/>
      <w:marLeft w:val="0"/>
      <w:marRight w:val="0"/>
      <w:marTop w:val="0"/>
      <w:marBottom w:val="0"/>
      <w:divBdr>
        <w:top w:val="none" w:sz="0" w:space="0" w:color="auto"/>
        <w:left w:val="none" w:sz="0" w:space="0" w:color="auto"/>
        <w:bottom w:val="none" w:sz="0" w:space="0" w:color="auto"/>
        <w:right w:val="none" w:sz="0" w:space="0" w:color="auto"/>
      </w:divBdr>
    </w:div>
    <w:div w:id="1977106920">
      <w:bodyDiv w:val="1"/>
      <w:marLeft w:val="0"/>
      <w:marRight w:val="0"/>
      <w:marTop w:val="0"/>
      <w:marBottom w:val="0"/>
      <w:divBdr>
        <w:top w:val="none" w:sz="0" w:space="0" w:color="auto"/>
        <w:left w:val="none" w:sz="0" w:space="0" w:color="auto"/>
        <w:bottom w:val="none" w:sz="0" w:space="0" w:color="auto"/>
        <w:right w:val="none" w:sz="0" w:space="0" w:color="auto"/>
      </w:divBdr>
    </w:div>
    <w:div w:id="2008701895">
      <w:bodyDiv w:val="1"/>
      <w:marLeft w:val="0"/>
      <w:marRight w:val="0"/>
      <w:marTop w:val="0"/>
      <w:marBottom w:val="0"/>
      <w:divBdr>
        <w:top w:val="none" w:sz="0" w:space="0" w:color="auto"/>
        <w:left w:val="none" w:sz="0" w:space="0" w:color="auto"/>
        <w:bottom w:val="none" w:sz="0" w:space="0" w:color="auto"/>
        <w:right w:val="none" w:sz="0" w:space="0" w:color="auto"/>
      </w:divBdr>
      <w:divsChild>
        <w:div w:id="600186588">
          <w:marLeft w:val="0"/>
          <w:marRight w:val="0"/>
          <w:marTop w:val="0"/>
          <w:marBottom w:val="0"/>
          <w:divBdr>
            <w:top w:val="none" w:sz="0" w:space="0" w:color="auto"/>
            <w:left w:val="none" w:sz="0" w:space="0" w:color="auto"/>
            <w:bottom w:val="none" w:sz="0" w:space="0" w:color="auto"/>
            <w:right w:val="none" w:sz="0" w:space="0" w:color="auto"/>
          </w:divBdr>
          <w:divsChild>
            <w:div w:id="29294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3191">
      <w:bodyDiv w:val="1"/>
      <w:marLeft w:val="0"/>
      <w:marRight w:val="0"/>
      <w:marTop w:val="0"/>
      <w:marBottom w:val="0"/>
      <w:divBdr>
        <w:top w:val="none" w:sz="0" w:space="0" w:color="auto"/>
        <w:left w:val="none" w:sz="0" w:space="0" w:color="auto"/>
        <w:bottom w:val="none" w:sz="0" w:space="0" w:color="auto"/>
        <w:right w:val="none" w:sz="0" w:space="0" w:color="auto"/>
      </w:divBdr>
      <w:divsChild>
        <w:div w:id="529487423">
          <w:marLeft w:val="0"/>
          <w:marRight w:val="0"/>
          <w:marTop w:val="0"/>
          <w:marBottom w:val="0"/>
          <w:divBdr>
            <w:top w:val="none" w:sz="0" w:space="0" w:color="auto"/>
            <w:left w:val="none" w:sz="0" w:space="0" w:color="auto"/>
            <w:bottom w:val="none" w:sz="0" w:space="0" w:color="auto"/>
            <w:right w:val="none" w:sz="0" w:space="0" w:color="auto"/>
          </w:divBdr>
        </w:div>
        <w:div w:id="965769908">
          <w:marLeft w:val="0"/>
          <w:marRight w:val="0"/>
          <w:marTop w:val="0"/>
          <w:marBottom w:val="0"/>
          <w:divBdr>
            <w:top w:val="none" w:sz="0" w:space="0" w:color="auto"/>
            <w:left w:val="none" w:sz="0" w:space="0" w:color="auto"/>
            <w:bottom w:val="none" w:sz="0" w:space="0" w:color="auto"/>
            <w:right w:val="none" w:sz="0" w:space="0" w:color="auto"/>
          </w:divBdr>
        </w:div>
      </w:divsChild>
    </w:div>
    <w:div w:id="2014214463">
      <w:bodyDiv w:val="1"/>
      <w:marLeft w:val="0"/>
      <w:marRight w:val="0"/>
      <w:marTop w:val="0"/>
      <w:marBottom w:val="0"/>
      <w:divBdr>
        <w:top w:val="none" w:sz="0" w:space="0" w:color="auto"/>
        <w:left w:val="none" w:sz="0" w:space="0" w:color="auto"/>
        <w:bottom w:val="none" w:sz="0" w:space="0" w:color="auto"/>
        <w:right w:val="none" w:sz="0" w:space="0" w:color="auto"/>
      </w:divBdr>
      <w:divsChild>
        <w:div w:id="525288896">
          <w:marLeft w:val="0"/>
          <w:marRight w:val="0"/>
          <w:marTop w:val="150"/>
          <w:marBottom w:val="150"/>
          <w:divBdr>
            <w:top w:val="none" w:sz="0" w:space="0" w:color="auto"/>
            <w:left w:val="none" w:sz="0" w:space="0" w:color="auto"/>
            <w:bottom w:val="none" w:sz="0" w:space="0" w:color="auto"/>
            <w:right w:val="none" w:sz="0" w:space="0" w:color="auto"/>
          </w:divBdr>
        </w:div>
        <w:div w:id="1146970534">
          <w:marLeft w:val="0"/>
          <w:marRight w:val="0"/>
          <w:marTop w:val="150"/>
          <w:marBottom w:val="150"/>
          <w:divBdr>
            <w:top w:val="none" w:sz="0" w:space="0" w:color="auto"/>
            <w:left w:val="none" w:sz="0" w:space="0" w:color="auto"/>
            <w:bottom w:val="none" w:sz="0" w:space="0" w:color="auto"/>
            <w:right w:val="none" w:sz="0" w:space="0" w:color="auto"/>
          </w:divBdr>
        </w:div>
        <w:div w:id="1101292672">
          <w:marLeft w:val="0"/>
          <w:marRight w:val="0"/>
          <w:marTop w:val="150"/>
          <w:marBottom w:val="150"/>
          <w:divBdr>
            <w:top w:val="none" w:sz="0" w:space="0" w:color="auto"/>
            <w:left w:val="none" w:sz="0" w:space="0" w:color="auto"/>
            <w:bottom w:val="none" w:sz="0" w:space="0" w:color="auto"/>
            <w:right w:val="none" w:sz="0" w:space="0" w:color="auto"/>
          </w:divBdr>
        </w:div>
      </w:divsChild>
    </w:div>
    <w:div w:id="2121146497">
      <w:bodyDiv w:val="1"/>
      <w:marLeft w:val="0"/>
      <w:marRight w:val="0"/>
      <w:marTop w:val="0"/>
      <w:marBottom w:val="0"/>
      <w:divBdr>
        <w:top w:val="none" w:sz="0" w:space="0" w:color="auto"/>
        <w:left w:val="none" w:sz="0" w:space="0" w:color="auto"/>
        <w:bottom w:val="none" w:sz="0" w:space="0" w:color="auto"/>
        <w:right w:val="none" w:sz="0" w:space="0" w:color="auto"/>
      </w:divBdr>
      <w:divsChild>
        <w:div w:id="131432982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zakon.rada.gov.ua/laws/file/imgs/128/p480243n459-18.bm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file/imgs/128/p480243n270v1-14.emf" TargetMode="External"/><Relationship Id="rId12" Type="http://schemas.openxmlformats.org/officeDocument/2006/relationships/image" Target="media/image3.gi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file/imgs/128/p480243n271v1-16.bmp" TargetMode="External"/><Relationship Id="rId5" Type="http://schemas.openxmlformats.org/officeDocument/2006/relationships/footnotes" Target="footnotes.xml"/><Relationship Id="rId15" Type="http://schemas.openxmlformats.org/officeDocument/2006/relationships/hyperlink" Target="https://zakon.rada.gov.ua/laws/file/imgs/117/p480243n459-19.bmp" TargetMode="External"/><Relationship Id="rId10" Type="http://schemas.openxmlformats.org/officeDocument/2006/relationships/image" Target="media/image2.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file/imgs/117/p480243n270v1-15.emf" TargetMode="External"/><Relationship Id="rId14" Type="http://schemas.openxmlformats.org/officeDocument/2006/relationships/image" Target="media/image4.gi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2962</TotalTime>
  <Pages>11</Pages>
  <Words>20445</Words>
  <Characters>11655</Characters>
  <Application>Microsoft Office Word</Application>
  <DocSecurity>0</DocSecurity>
  <Lines>97</Lines>
  <Paragraphs>64</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32036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Кічковський</dc:creator>
  <cp:keywords/>
  <dc:description/>
  <cp:lastModifiedBy>Максим Кічковський</cp:lastModifiedBy>
  <cp:revision>105</cp:revision>
  <cp:lastPrinted>2025-04-29T11:21:00Z</cp:lastPrinted>
  <dcterms:created xsi:type="dcterms:W3CDTF">2024-03-08T13:07:00Z</dcterms:created>
  <dcterms:modified xsi:type="dcterms:W3CDTF">2026-05-26T09:26:00Z</dcterms:modified>
</cp:coreProperties>
</file>