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909" w:rsidRPr="00503794" w:rsidRDefault="00447909" w:rsidP="00447909">
      <w:pPr>
        <w:tabs>
          <w:tab w:val="left" w:pos="709"/>
        </w:tabs>
        <w:jc w:val="center"/>
        <w:rPr>
          <w:b/>
          <w:bCs/>
          <w:sz w:val="26"/>
          <w:szCs w:val="26"/>
          <w:lang w:val="uk-UA"/>
        </w:rPr>
      </w:pPr>
      <w:r w:rsidRPr="00503794">
        <w:rPr>
          <w:b/>
          <w:bCs/>
          <w:sz w:val="26"/>
          <w:szCs w:val="26"/>
          <w:lang w:val="uk-UA"/>
        </w:rPr>
        <w:t>АНАЛІЗ ВПЛИВУ</w:t>
      </w:r>
    </w:p>
    <w:p w:rsidR="008A3632" w:rsidRPr="00503794" w:rsidRDefault="006A499E" w:rsidP="0069499D">
      <w:pPr>
        <w:tabs>
          <w:tab w:val="left" w:pos="709"/>
        </w:tabs>
        <w:jc w:val="center"/>
        <w:rPr>
          <w:b/>
          <w:bCs/>
          <w:sz w:val="26"/>
          <w:szCs w:val="26"/>
          <w:lang w:val="uk-UA"/>
        </w:rPr>
      </w:pPr>
      <w:r w:rsidRPr="00503794">
        <w:rPr>
          <w:b/>
          <w:bCs/>
          <w:sz w:val="26"/>
          <w:szCs w:val="26"/>
          <w:lang w:val="uk-UA"/>
        </w:rPr>
        <w:t xml:space="preserve">проєкту рішення, що має ознаки регуляторного </w:t>
      </w:r>
      <w:proofErr w:type="spellStart"/>
      <w:r w:rsidRPr="00503794">
        <w:rPr>
          <w:b/>
          <w:bCs/>
          <w:sz w:val="26"/>
          <w:szCs w:val="26"/>
          <w:lang w:val="uk-UA"/>
        </w:rPr>
        <w:t>акта</w:t>
      </w:r>
      <w:proofErr w:type="spellEnd"/>
      <w:r w:rsidR="001B3E00" w:rsidRPr="00503794">
        <w:rPr>
          <w:b/>
          <w:bCs/>
          <w:sz w:val="26"/>
          <w:szCs w:val="26"/>
          <w:lang w:val="uk-UA"/>
        </w:rPr>
        <w:t>,</w:t>
      </w:r>
      <w:r w:rsidRPr="00503794">
        <w:rPr>
          <w:b/>
          <w:bCs/>
          <w:sz w:val="26"/>
          <w:szCs w:val="26"/>
          <w:lang w:val="uk-UA"/>
        </w:rPr>
        <w:t xml:space="preserve"> –  </w:t>
      </w:r>
    </w:p>
    <w:p w:rsidR="002D34BB" w:rsidRPr="00503794" w:rsidRDefault="00447909" w:rsidP="0069499D">
      <w:pPr>
        <w:tabs>
          <w:tab w:val="left" w:pos="709"/>
        </w:tabs>
        <w:jc w:val="center"/>
        <w:rPr>
          <w:b/>
          <w:sz w:val="26"/>
          <w:szCs w:val="26"/>
          <w:lang w:val="uk-UA"/>
        </w:rPr>
      </w:pPr>
      <w:r w:rsidRPr="00503794">
        <w:rPr>
          <w:b/>
          <w:bCs/>
          <w:sz w:val="26"/>
          <w:szCs w:val="26"/>
          <w:lang w:val="uk-UA"/>
        </w:rPr>
        <w:t>постанови Національної комісії, що здійснює державне регулювання у сферах ен</w:t>
      </w:r>
      <w:r w:rsidR="0007200E" w:rsidRPr="00503794">
        <w:rPr>
          <w:b/>
          <w:bCs/>
          <w:sz w:val="26"/>
          <w:szCs w:val="26"/>
          <w:lang w:val="uk-UA"/>
        </w:rPr>
        <w:t>ергетики та комунальних послуг,</w:t>
      </w:r>
      <w:r w:rsidR="00A03C34" w:rsidRPr="00503794">
        <w:rPr>
          <w:b/>
          <w:bCs/>
          <w:sz w:val="26"/>
          <w:szCs w:val="26"/>
          <w:lang w:val="uk-UA"/>
        </w:rPr>
        <w:t xml:space="preserve"> </w:t>
      </w:r>
      <w:r w:rsidR="00C8128C" w:rsidRPr="00503794">
        <w:rPr>
          <w:b/>
          <w:sz w:val="26"/>
          <w:szCs w:val="26"/>
          <w:lang w:val="uk-UA"/>
        </w:rPr>
        <w:t>«</w:t>
      </w:r>
      <w:r w:rsidR="005D2D4E" w:rsidRPr="002B2BDA">
        <w:rPr>
          <w:b/>
          <w:color w:val="000000" w:themeColor="text1"/>
          <w:sz w:val="26"/>
          <w:szCs w:val="26"/>
        </w:rPr>
        <w:t xml:space="preserve">Про </w:t>
      </w:r>
      <w:proofErr w:type="spellStart"/>
      <w:r w:rsidR="005D2D4E" w:rsidRPr="002B2BDA">
        <w:rPr>
          <w:b/>
          <w:color w:val="000000" w:themeColor="text1"/>
          <w:sz w:val="26"/>
          <w:szCs w:val="26"/>
        </w:rPr>
        <w:t>визнання</w:t>
      </w:r>
      <w:proofErr w:type="spellEnd"/>
      <w:r w:rsidR="005D2D4E" w:rsidRPr="002B2BDA">
        <w:rPr>
          <w:b/>
          <w:color w:val="000000" w:themeColor="text1"/>
          <w:sz w:val="26"/>
          <w:szCs w:val="26"/>
        </w:rPr>
        <w:t xml:space="preserve"> такою, що </w:t>
      </w:r>
      <w:proofErr w:type="spellStart"/>
      <w:r w:rsidR="005D2D4E" w:rsidRPr="002B2BDA">
        <w:rPr>
          <w:b/>
          <w:color w:val="000000" w:themeColor="text1"/>
          <w:sz w:val="26"/>
          <w:szCs w:val="26"/>
        </w:rPr>
        <w:t>втратила</w:t>
      </w:r>
      <w:proofErr w:type="spellEnd"/>
      <w:r w:rsidR="005D2D4E" w:rsidRPr="002B2BDA">
        <w:rPr>
          <w:b/>
          <w:color w:val="000000" w:themeColor="text1"/>
          <w:sz w:val="26"/>
          <w:szCs w:val="26"/>
        </w:rPr>
        <w:t xml:space="preserve"> </w:t>
      </w:r>
      <w:proofErr w:type="spellStart"/>
      <w:r w:rsidR="005D2D4E" w:rsidRPr="002B2BDA">
        <w:rPr>
          <w:b/>
          <w:color w:val="000000" w:themeColor="text1"/>
          <w:sz w:val="26"/>
          <w:szCs w:val="26"/>
        </w:rPr>
        <w:t>чинність</w:t>
      </w:r>
      <w:proofErr w:type="spellEnd"/>
      <w:r w:rsidR="005D2D4E" w:rsidRPr="002B2BDA">
        <w:rPr>
          <w:b/>
          <w:color w:val="000000" w:themeColor="text1"/>
          <w:sz w:val="26"/>
          <w:szCs w:val="26"/>
        </w:rPr>
        <w:t xml:space="preserve">, постанови НКРЕКП </w:t>
      </w:r>
      <w:proofErr w:type="spellStart"/>
      <w:r w:rsidR="007D2E50" w:rsidRPr="007D2E50">
        <w:rPr>
          <w:b/>
          <w:color w:val="000000" w:themeColor="text1"/>
          <w:sz w:val="26"/>
          <w:szCs w:val="26"/>
        </w:rPr>
        <w:t>від</w:t>
      </w:r>
      <w:proofErr w:type="spellEnd"/>
      <w:r w:rsidR="007D2E50" w:rsidRPr="007D2E50">
        <w:rPr>
          <w:b/>
          <w:color w:val="000000" w:themeColor="text1"/>
          <w:sz w:val="26"/>
          <w:szCs w:val="26"/>
        </w:rPr>
        <w:t xml:space="preserve"> 29 </w:t>
      </w:r>
      <w:proofErr w:type="spellStart"/>
      <w:r w:rsidR="007D2E50" w:rsidRPr="007D2E50">
        <w:rPr>
          <w:b/>
          <w:color w:val="000000" w:themeColor="text1"/>
          <w:sz w:val="26"/>
          <w:szCs w:val="26"/>
        </w:rPr>
        <w:t>грудня</w:t>
      </w:r>
      <w:proofErr w:type="spellEnd"/>
      <w:r w:rsidR="007D2E50" w:rsidRPr="007D2E50">
        <w:rPr>
          <w:b/>
          <w:color w:val="000000" w:themeColor="text1"/>
          <w:sz w:val="26"/>
          <w:szCs w:val="26"/>
        </w:rPr>
        <w:t xml:space="preserve"> 2017 року </w:t>
      </w:r>
      <w:r w:rsidR="005D2D4E" w:rsidRPr="002B2BDA">
        <w:rPr>
          <w:b/>
          <w:color w:val="000000" w:themeColor="text1"/>
          <w:sz w:val="26"/>
          <w:szCs w:val="26"/>
        </w:rPr>
        <w:t>№ 1618»</w:t>
      </w:r>
    </w:p>
    <w:p w:rsidR="00581D4A" w:rsidRPr="00503794" w:rsidRDefault="00581D4A" w:rsidP="0007200E">
      <w:pPr>
        <w:rPr>
          <w:b/>
          <w:sz w:val="26"/>
          <w:szCs w:val="26"/>
          <w:lang w:val="uk-UA"/>
        </w:rPr>
      </w:pPr>
    </w:p>
    <w:p w:rsidR="00447909" w:rsidRPr="00503794" w:rsidRDefault="00F03495" w:rsidP="00CB4735">
      <w:pPr>
        <w:jc w:val="center"/>
        <w:rPr>
          <w:b/>
          <w:sz w:val="26"/>
          <w:szCs w:val="26"/>
          <w:lang w:val="uk-UA"/>
        </w:rPr>
      </w:pPr>
      <w:r w:rsidRPr="00503794">
        <w:rPr>
          <w:b/>
          <w:sz w:val="26"/>
          <w:szCs w:val="26"/>
          <w:lang w:val="uk-UA"/>
        </w:rPr>
        <w:t>І. Визначення проблеми</w:t>
      </w:r>
    </w:p>
    <w:p w:rsidR="00DE2961" w:rsidRPr="00503794" w:rsidRDefault="00DE2961" w:rsidP="00CB4735">
      <w:pPr>
        <w:jc w:val="center"/>
        <w:rPr>
          <w:b/>
          <w:sz w:val="26"/>
          <w:szCs w:val="26"/>
          <w:lang w:val="uk-UA"/>
        </w:rPr>
      </w:pPr>
    </w:p>
    <w:p w:rsidR="008640C2" w:rsidRPr="00E80E7F" w:rsidRDefault="008640C2" w:rsidP="008640C2">
      <w:pPr>
        <w:ind w:firstLine="709"/>
        <w:jc w:val="both"/>
        <w:rPr>
          <w:sz w:val="26"/>
          <w:szCs w:val="26"/>
          <w:lang w:val="uk-UA"/>
        </w:rPr>
      </w:pPr>
      <w:r w:rsidRPr="00E80E7F">
        <w:rPr>
          <w:sz w:val="26"/>
          <w:szCs w:val="26"/>
          <w:lang w:val="uk-UA"/>
        </w:rPr>
        <w:t xml:space="preserve">Згідно </w:t>
      </w:r>
      <w:r w:rsidR="00434CA5" w:rsidRPr="00E80E7F">
        <w:rPr>
          <w:sz w:val="26"/>
          <w:szCs w:val="26"/>
          <w:lang w:val="uk-UA"/>
        </w:rPr>
        <w:t>і</w:t>
      </w:r>
      <w:r w:rsidRPr="00E80E7F">
        <w:rPr>
          <w:sz w:val="26"/>
          <w:szCs w:val="26"/>
          <w:lang w:val="uk-UA"/>
        </w:rPr>
        <w:t>з законами України «Про Національну комісію, що здійснює державне регулювання у сферах енергетики та комунальних послу</w:t>
      </w:r>
      <w:r w:rsidR="008319C6" w:rsidRPr="00E80E7F">
        <w:rPr>
          <w:sz w:val="26"/>
          <w:szCs w:val="26"/>
          <w:lang w:val="uk-UA"/>
        </w:rPr>
        <w:t>г</w:t>
      </w:r>
      <w:r w:rsidRPr="00E80E7F">
        <w:rPr>
          <w:sz w:val="26"/>
          <w:szCs w:val="26"/>
          <w:lang w:val="uk-UA"/>
        </w:rPr>
        <w:t>»</w:t>
      </w:r>
      <w:r w:rsidR="0050169C" w:rsidRPr="000C1AC6">
        <w:rPr>
          <w:sz w:val="26"/>
          <w:szCs w:val="26"/>
          <w:lang w:val="uk-UA"/>
        </w:rPr>
        <w:t xml:space="preserve"> </w:t>
      </w:r>
      <w:r w:rsidR="0050169C">
        <w:rPr>
          <w:sz w:val="26"/>
          <w:szCs w:val="26"/>
          <w:lang w:val="uk-UA"/>
        </w:rPr>
        <w:t>та</w:t>
      </w:r>
      <w:r w:rsidRPr="00E80E7F">
        <w:rPr>
          <w:sz w:val="26"/>
          <w:szCs w:val="26"/>
          <w:lang w:val="uk-UA"/>
        </w:rPr>
        <w:t xml:space="preserve"> «Про ринок електричної енергії» Національна комісія, що здійснює державне регулювання у сферах енергетики та комунальних послу</w:t>
      </w:r>
      <w:r w:rsidR="008319C6" w:rsidRPr="00E80E7F">
        <w:rPr>
          <w:sz w:val="26"/>
          <w:szCs w:val="26"/>
          <w:lang w:val="uk-UA"/>
        </w:rPr>
        <w:t>г</w:t>
      </w:r>
      <w:r w:rsidRPr="00E80E7F">
        <w:rPr>
          <w:sz w:val="26"/>
          <w:szCs w:val="26"/>
          <w:lang w:val="uk-UA"/>
        </w:rPr>
        <w:t xml:space="preserve"> (далі – НКРЕКП, Регулятор), здійснює державне регулювання ринку електричної енергії.</w:t>
      </w:r>
    </w:p>
    <w:p w:rsidR="00E80E7F" w:rsidRPr="00E80E7F" w:rsidRDefault="00E80E7F" w:rsidP="00E80E7F">
      <w:pPr>
        <w:ind w:firstLine="567"/>
        <w:jc w:val="both"/>
        <w:rPr>
          <w:sz w:val="26"/>
          <w:szCs w:val="26"/>
          <w:lang w:val="uk-UA" w:eastAsia="en-US"/>
        </w:rPr>
      </w:pPr>
      <w:r w:rsidRPr="00E80E7F">
        <w:rPr>
          <w:sz w:val="26"/>
          <w:szCs w:val="26"/>
          <w:lang w:val="uk-UA"/>
        </w:rPr>
        <w:t>Відповідно до статті 74 Закону України «Про ринок електричної енергії»  (далі – Закон) плата за послуги комерційного обліку, що надаються оператором системи розподілу на території здійснення його ліцензованої діяльності, розраховується відповідно до методики, затвердженої Регулятором (НКРЕКП).</w:t>
      </w:r>
    </w:p>
    <w:p w:rsidR="00E80E7F" w:rsidRPr="00E80E7F" w:rsidRDefault="0050169C" w:rsidP="00E80E7F">
      <w:pPr>
        <w:ind w:firstLine="567"/>
        <w:jc w:val="both"/>
        <w:rPr>
          <w:sz w:val="26"/>
          <w:szCs w:val="26"/>
          <w:lang w:val="uk-UA"/>
        </w:rPr>
      </w:pPr>
      <w:r>
        <w:rPr>
          <w:sz w:val="26"/>
          <w:szCs w:val="26"/>
          <w:lang w:val="uk-UA"/>
        </w:rPr>
        <w:t>К</w:t>
      </w:r>
      <w:r w:rsidR="00E80E7F" w:rsidRPr="00E80E7F">
        <w:rPr>
          <w:sz w:val="26"/>
          <w:szCs w:val="26"/>
          <w:lang w:val="uk-UA"/>
        </w:rPr>
        <w:t>омерційний облік на ринку електричної енергії організовується адміністратором комерційного обліку та здійснюється постачальниками послуг комерційного обліку (суб’єктом господарювання, який надає послуги комерційного обліку на ринку електричної енергії), відповідно до вимог Закону, Кодексу комерційного обліку електричної енергії, затвердженого постановою НКРЕКП від 14.03.2018 № 311, та Правил роздрібного ринку електричної енергії, затверджених постановою НКРЕКП від 14.03.2018 № 312.</w:t>
      </w:r>
    </w:p>
    <w:p w:rsidR="00E80E7F" w:rsidRPr="00E80E7F" w:rsidRDefault="00E80E7F" w:rsidP="00E80E7F">
      <w:pPr>
        <w:ind w:firstLine="567"/>
        <w:jc w:val="both"/>
        <w:rPr>
          <w:sz w:val="26"/>
          <w:szCs w:val="26"/>
          <w:lang w:val="uk-UA"/>
        </w:rPr>
      </w:pPr>
      <w:r w:rsidRPr="00E80E7F">
        <w:rPr>
          <w:sz w:val="26"/>
          <w:szCs w:val="26"/>
          <w:lang w:val="uk-UA"/>
        </w:rPr>
        <w:t>У рамках системної роботи щодо вдосконалення</w:t>
      </w:r>
      <w:r w:rsidR="00B53D66">
        <w:rPr>
          <w:sz w:val="26"/>
          <w:szCs w:val="26"/>
          <w:lang w:val="uk-UA"/>
        </w:rPr>
        <w:t xml:space="preserve"> норм </w:t>
      </w:r>
      <w:r w:rsidR="00B53D66" w:rsidRPr="000C1AC6">
        <w:rPr>
          <w:color w:val="000000" w:themeColor="text1"/>
          <w:sz w:val="26"/>
          <w:szCs w:val="26"/>
          <w:lang w:val="uk-UA"/>
        </w:rPr>
        <w:t xml:space="preserve">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 </w:t>
      </w:r>
      <w:r w:rsidR="00B53D66" w:rsidRPr="000C1AC6">
        <w:rPr>
          <w:sz w:val="26"/>
          <w:szCs w:val="26"/>
          <w:lang w:val="uk-UA"/>
        </w:rPr>
        <w:t xml:space="preserve">затвердженої постановою НКРЕКП від </w:t>
      </w:r>
      <w:r w:rsidR="00747C37" w:rsidRPr="000C1AC6">
        <w:rPr>
          <w:sz w:val="26"/>
          <w:szCs w:val="26"/>
          <w:lang w:val="uk-UA"/>
        </w:rPr>
        <w:t>09</w:t>
      </w:r>
      <w:r w:rsidR="00B53D66" w:rsidRPr="000C1AC6">
        <w:rPr>
          <w:sz w:val="26"/>
          <w:szCs w:val="26"/>
          <w:lang w:val="uk-UA"/>
        </w:rPr>
        <w:t>.0</w:t>
      </w:r>
      <w:r w:rsidR="00747C37" w:rsidRPr="000C1AC6">
        <w:rPr>
          <w:sz w:val="26"/>
          <w:szCs w:val="26"/>
          <w:lang w:val="uk-UA"/>
        </w:rPr>
        <w:t>7</w:t>
      </w:r>
      <w:r w:rsidR="00B53D66" w:rsidRPr="000C1AC6">
        <w:rPr>
          <w:sz w:val="26"/>
          <w:szCs w:val="26"/>
          <w:lang w:val="uk-UA"/>
        </w:rPr>
        <w:t>.201</w:t>
      </w:r>
      <w:r w:rsidR="00747C37" w:rsidRPr="000C1AC6">
        <w:rPr>
          <w:sz w:val="26"/>
          <w:szCs w:val="26"/>
          <w:lang w:val="uk-UA"/>
        </w:rPr>
        <w:t>9</w:t>
      </w:r>
      <w:r w:rsidR="00B53D66" w:rsidRPr="000C1AC6">
        <w:rPr>
          <w:sz w:val="26"/>
          <w:szCs w:val="26"/>
          <w:lang w:val="uk-UA"/>
        </w:rPr>
        <w:t xml:space="preserve"> № </w:t>
      </w:r>
      <w:r w:rsidR="00747C37" w:rsidRPr="000C1AC6">
        <w:rPr>
          <w:sz w:val="26"/>
          <w:szCs w:val="26"/>
          <w:lang w:val="uk-UA"/>
        </w:rPr>
        <w:t>1381</w:t>
      </w:r>
      <w:r w:rsidR="00B53D66">
        <w:rPr>
          <w:sz w:val="26"/>
          <w:szCs w:val="26"/>
          <w:lang w:val="uk-UA"/>
        </w:rPr>
        <w:t xml:space="preserve"> (далі – Методика</w:t>
      </w:r>
      <w:r w:rsidR="005D2D4E">
        <w:rPr>
          <w:sz w:val="26"/>
          <w:szCs w:val="26"/>
          <w:lang w:val="uk-UA"/>
        </w:rPr>
        <w:t xml:space="preserve"> 1381</w:t>
      </w:r>
      <w:r w:rsidR="00B53D66">
        <w:rPr>
          <w:sz w:val="26"/>
          <w:szCs w:val="26"/>
          <w:lang w:val="uk-UA"/>
        </w:rPr>
        <w:t>),</w:t>
      </w:r>
      <w:r w:rsidRPr="00E80E7F">
        <w:rPr>
          <w:sz w:val="26"/>
          <w:szCs w:val="26"/>
          <w:lang w:val="uk-UA"/>
        </w:rPr>
        <w:t xml:space="preserve"> </w:t>
      </w:r>
      <w:r w:rsidR="00B53D66" w:rsidRPr="000C1AC6">
        <w:rPr>
          <w:color w:val="000000" w:themeColor="text1"/>
          <w:sz w:val="26"/>
          <w:szCs w:val="26"/>
          <w:lang w:val="uk-UA"/>
        </w:rPr>
        <w:t>Регулятором розроблено</w:t>
      </w:r>
      <w:r w:rsidR="00B53D66" w:rsidRPr="00E80E7F">
        <w:rPr>
          <w:color w:val="000000"/>
          <w:sz w:val="26"/>
          <w:szCs w:val="26"/>
          <w:lang w:val="uk-UA"/>
        </w:rPr>
        <w:t xml:space="preserve"> </w:t>
      </w:r>
      <w:proofErr w:type="spellStart"/>
      <w:r w:rsidR="00B53D66" w:rsidRPr="00E80E7F">
        <w:rPr>
          <w:color w:val="000000"/>
          <w:sz w:val="26"/>
          <w:szCs w:val="26"/>
          <w:lang w:val="uk-UA"/>
        </w:rPr>
        <w:t>проєкт</w:t>
      </w:r>
      <w:proofErr w:type="spellEnd"/>
      <w:r w:rsidR="00B53D66" w:rsidRPr="00E80E7F">
        <w:rPr>
          <w:color w:val="000000"/>
          <w:sz w:val="26"/>
          <w:szCs w:val="26"/>
          <w:lang w:val="uk-UA"/>
        </w:rPr>
        <w:t xml:space="preserve"> постанови НКРЕКП «Про затвердження Змін до Методики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 (далі – </w:t>
      </w:r>
      <w:proofErr w:type="spellStart"/>
      <w:r w:rsidR="00B53D66" w:rsidRPr="00E80E7F">
        <w:rPr>
          <w:color w:val="000000"/>
          <w:sz w:val="26"/>
          <w:szCs w:val="26"/>
          <w:lang w:val="uk-UA"/>
        </w:rPr>
        <w:t>проєкт</w:t>
      </w:r>
      <w:proofErr w:type="spellEnd"/>
      <w:r w:rsidR="00B53D66" w:rsidRPr="00E80E7F">
        <w:rPr>
          <w:color w:val="000000"/>
          <w:sz w:val="26"/>
          <w:szCs w:val="26"/>
          <w:lang w:val="uk-UA"/>
        </w:rPr>
        <w:t xml:space="preserve"> постанови)</w:t>
      </w:r>
      <w:r w:rsidR="00B53D66">
        <w:rPr>
          <w:color w:val="000000"/>
          <w:sz w:val="26"/>
          <w:szCs w:val="26"/>
          <w:lang w:val="uk-UA"/>
        </w:rPr>
        <w:t xml:space="preserve">, </w:t>
      </w:r>
      <w:r w:rsidR="00B53D66">
        <w:rPr>
          <w:sz w:val="26"/>
          <w:szCs w:val="26"/>
          <w:lang w:val="uk-UA"/>
        </w:rPr>
        <w:t>який передбачає впровадження уніфікованого підходу</w:t>
      </w:r>
      <w:r w:rsidR="00B53D66" w:rsidRPr="00E80E7F">
        <w:rPr>
          <w:sz w:val="26"/>
          <w:szCs w:val="26"/>
          <w:lang w:val="uk-UA"/>
        </w:rPr>
        <w:t xml:space="preserve"> </w:t>
      </w:r>
      <w:r w:rsidR="00B53D66">
        <w:rPr>
          <w:sz w:val="26"/>
          <w:szCs w:val="26"/>
          <w:lang w:val="uk-UA"/>
        </w:rPr>
        <w:t xml:space="preserve">щодо запровадження </w:t>
      </w:r>
      <w:r w:rsidRPr="00B53D66">
        <w:rPr>
          <w:sz w:val="26"/>
          <w:szCs w:val="26"/>
          <w:lang w:val="uk-UA"/>
        </w:rPr>
        <w:t>механізм</w:t>
      </w:r>
      <w:r w:rsidR="00B53D66" w:rsidRPr="00B53D66">
        <w:rPr>
          <w:sz w:val="26"/>
          <w:szCs w:val="26"/>
          <w:lang w:val="uk-UA"/>
        </w:rPr>
        <w:t>у</w:t>
      </w:r>
      <w:r w:rsidRPr="00E80E7F">
        <w:rPr>
          <w:sz w:val="26"/>
          <w:szCs w:val="26"/>
          <w:lang w:val="uk-UA"/>
        </w:rPr>
        <w:t xml:space="preserve"> формування плати за надані оператором системи розподілу (далі – ОСР) послуги комерційного обліку електричної енергії на території здійснення його ліцензованої діяльності</w:t>
      </w:r>
      <w:r w:rsidRPr="00E80E7F">
        <w:rPr>
          <w:color w:val="000000"/>
          <w:sz w:val="26"/>
          <w:szCs w:val="26"/>
          <w:lang w:val="uk-UA"/>
        </w:rPr>
        <w:t>.</w:t>
      </w:r>
    </w:p>
    <w:p w:rsidR="005D2D4E" w:rsidRDefault="0050169C" w:rsidP="005D2D4E">
      <w:pPr>
        <w:ind w:firstLine="567"/>
        <w:jc w:val="both"/>
        <w:rPr>
          <w:color w:val="000000"/>
          <w:sz w:val="26"/>
          <w:szCs w:val="26"/>
          <w:lang w:val="uk-UA"/>
        </w:rPr>
      </w:pPr>
      <w:r>
        <w:rPr>
          <w:sz w:val="26"/>
          <w:szCs w:val="26"/>
          <w:lang w:val="uk-UA"/>
        </w:rPr>
        <w:t xml:space="preserve"> У зв’язку з цим</w:t>
      </w:r>
      <w:r w:rsidR="000C1AC6">
        <w:rPr>
          <w:sz w:val="26"/>
          <w:szCs w:val="26"/>
          <w:lang w:val="uk-UA"/>
        </w:rPr>
        <w:t>,</w:t>
      </w:r>
      <w:r>
        <w:rPr>
          <w:sz w:val="26"/>
          <w:szCs w:val="26"/>
          <w:lang w:val="uk-UA"/>
        </w:rPr>
        <w:t xml:space="preserve"> </w:t>
      </w:r>
      <w:r w:rsidR="005D2D4E" w:rsidRPr="005D2D4E">
        <w:rPr>
          <w:color w:val="000000"/>
          <w:sz w:val="26"/>
          <w:szCs w:val="26"/>
          <w:lang w:val="uk-UA"/>
        </w:rPr>
        <w:t xml:space="preserve">виникла необхідність у визнанні такої, що втратила чинність постанови НКРЕКП від </w:t>
      </w:r>
      <w:r w:rsidR="007D2E50" w:rsidRPr="007D2E50">
        <w:rPr>
          <w:color w:val="000000"/>
          <w:sz w:val="26"/>
          <w:szCs w:val="26"/>
          <w:lang w:val="uk-UA"/>
        </w:rPr>
        <w:t xml:space="preserve">29 грудня 2017 року </w:t>
      </w:r>
      <w:r w:rsidR="005D2D4E" w:rsidRPr="005D2D4E">
        <w:rPr>
          <w:color w:val="000000"/>
          <w:sz w:val="26"/>
          <w:szCs w:val="26"/>
          <w:lang w:val="uk-UA"/>
        </w:rPr>
        <w:t>№ 1618</w:t>
      </w:r>
      <w:r w:rsidR="005D2D4E">
        <w:rPr>
          <w:color w:val="000000"/>
          <w:sz w:val="26"/>
          <w:szCs w:val="26"/>
          <w:lang w:val="uk-UA"/>
        </w:rPr>
        <w:t xml:space="preserve"> </w:t>
      </w:r>
      <w:r w:rsidR="005D2D4E" w:rsidRPr="005D2D4E">
        <w:rPr>
          <w:color w:val="000000"/>
          <w:sz w:val="26"/>
          <w:szCs w:val="26"/>
          <w:lang w:val="uk-UA"/>
        </w:rPr>
        <w:t>«Про затвердження Методики розрахунку вартості робіт з підключення електроустановок споживачів до електричних мереж ліцензіата та інших додаткових робіт і послуг, пов’язаних із ліцензованою діяльністю»</w:t>
      </w:r>
      <w:r w:rsidR="005D2D4E">
        <w:rPr>
          <w:color w:val="000000"/>
          <w:sz w:val="26"/>
          <w:szCs w:val="26"/>
          <w:lang w:val="uk-UA"/>
        </w:rPr>
        <w:t xml:space="preserve"> (далі – Методика 1618)</w:t>
      </w:r>
      <w:r w:rsidR="005D2D4E" w:rsidRPr="005D2D4E">
        <w:rPr>
          <w:color w:val="000000"/>
          <w:sz w:val="26"/>
          <w:szCs w:val="26"/>
          <w:lang w:val="uk-UA"/>
        </w:rPr>
        <w:t>.</w:t>
      </w:r>
    </w:p>
    <w:p w:rsidR="00C51199" w:rsidRPr="00E80E7F" w:rsidRDefault="00281937" w:rsidP="005D2D4E">
      <w:pPr>
        <w:ind w:firstLine="567"/>
        <w:jc w:val="both"/>
        <w:rPr>
          <w:sz w:val="26"/>
          <w:szCs w:val="26"/>
          <w:lang w:val="uk-UA"/>
        </w:rPr>
      </w:pPr>
      <w:proofErr w:type="spellStart"/>
      <w:r w:rsidRPr="00E80E7F">
        <w:rPr>
          <w:rStyle w:val="fontstyle01"/>
          <w:rFonts w:ascii="Times New Roman" w:hAnsi="Times New Roman"/>
          <w:sz w:val="26"/>
          <w:szCs w:val="26"/>
          <w:lang w:val="uk-UA"/>
        </w:rPr>
        <w:t>Проєкт</w:t>
      </w:r>
      <w:proofErr w:type="spellEnd"/>
      <w:r w:rsidRPr="00E80E7F">
        <w:rPr>
          <w:rStyle w:val="fontstyle01"/>
          <w:rFonts w:ascii="Times New Roman" w:hAnsi="Times New Roman"/>
          <w:sz w:val="26"/>
          <w:szCs w:val="26"/>
          <w:lang w:val="uk-UA"/>
        </w:rPr>
        <w:t xml:space="preserve"> </w:t>
      </w:r>
      <w:r w:rsidR="00590C3D" w:rsidRPr="00E80E7F">
        <w:rPr>
          <w:rStyle w:val="fontstyle01"/>
          <w:rFonts w:ascii="Times New Roman" w:hAnsi="Times New Roman"/>
          <w:sz w:val="26"/>
          <w:szCs w:val="26"/>
          <w:lang w:val="uk-UA"/>
        </w:rPr>
        <w:t xml:space="preserve">постанови </w:t>
      </w:r>
      <w:r w:rsidRPr="00E80E7F">
        <w:rPr>
          <w:rStyle w:val="fontstyle01"/>
          <w:rFonts w:ascii="Times New Roman" w:hAnsi="Times New Roman"/>
          <w:sz w:val="26"/>
          <w:szCs w:val="26"/>
          <w:lang w:val="uk-UA"/>
        </w:rPr>
        <w:t xml:space="preserve">містить ознаки регуляторного </w:t>
      </w:r>
      <w:proofErr w:type="spellStart"/>
      <w:r w:rsidRPr="00E80E7F">
        <w:rPr>
          <w:rStyle w:val="fontstyle01"/>
          <w:rFonts w:ascii="Times New Roman" w:hAnsi="Times New Roman"/>
          <w:sz w:val="26"/>
          <w:szCs w:val="26"/>
          <w:lang w:val="uk-UA"/>
        </w:rPr>
        <w:t>акта</w:t>
      </w:r>
      <w:proofErr w:type="spellEnd"/>
      <w:r w:rsidRPr="00E80E7F">
        <w:rPr>
          <w:rStyle w:val="fontstyle01"/>
          <w:rFonts w:ascii="Times New Roman" w:hAnsi="Times New Roman"/>
          <w:sz w:val="26"/>
          <w:szCs w:val="26"/>
          <w:lang w:val="uk-UA"/>
        </w:rPr>
        <w:t xml:space="preserve"> та потребує проходження регуляторної процедури відповідно до частини першої</w:t>
      </w:r>
      <w:r w:rsidRPr="00E80E7F">
        <w:rPr>
          <w:sz w:val="26"/>
          <w:szCs w:val="26"/>
          <w:lang w:val="uk-UA"/>
        </w:rPr>
        <w:t xml:space="preserve"> </w:t>
      </w:r>
      <w:r w:rsidRPr="00E80E7F">
        <w:rPr>
          <w:rStyle w:val="fontstyle01"/>
          <w:rFonts w:ascii="Times New Roman" w:hAnsi="Times New Roman"/>
          <w:sz w:val="26"/>
          <w:szCs w:val="26"/>
          <w:lang w:val="uk-UA"/>
        </w:rPr>
        <w:t>статті 15 Закону України «Про Національну комісію, що здійснює державне</w:t>
      </w:r>
      <w:r w:rsidRPr="00E80E7F">
        <w:rPr>
          <w:sz w:val="26"/>
          <w:szCs w:val="26"/>
          <w:lang w:val="uk-UA"/>
        </w:rPr>
        <w:t xml:space="preserve"> </w:t>
      </w:r>
      <w:r w:rsidRPr="00E80E7F">
        <w:rPr>
          <w:rStyle w:val="fontstyle01"/>
          <w:rFonts w:ascii="Times New Roman" w:hAnsi="Times New Roman"/>
          <w:sz w:val="26"/>
          <w:szCs w:val="26"/>
          <w:lang w:val="uk-UA"/>
        </w:rPr>
        <w:t>регулювання у сферах енергетики та комунальних послуг».</w:t>
      </w:r>
    </w:p>
    <w:p w:rsidR="00335777" w:rsidRPr="00E80E7F" w:rsidRDefault="00447909" w:rsidP="00447909">
      <w:pPr>
        <w:pStyle w:val="a3"/>
        <w:spacing w:before="0" w:beforeAutospacing="0" w:after="0" w:afterAutospacing="0"/>
        <w:ind w:firstLine="709"/>
        <w:rPr>
          <w:bCs/>
          <w:sz w:val="26"/>
          <w:szCs w:val="26"/>
          <w:lang w:val="uk-UA"/>
        </w:rPr>
      </w:pPr>
      <w:r w:rsidRPr="00E80E7F">
        <w:rPr>
          <w:bCs/>
          <w:sz w:val="26"/>
          <w:szCs w:val="26"/>
          <w:lang w:val="uk-UA"/>
        </w:rPr>
        <w:t>Визначення основних груп (підгруп), на які проблема справляє вплив:</w:t>
      </w:r>
    </w:p>
    <w:p w:rsidR="00447909" w:rsidRPr="00E80E7F" w:rsidRDefault="00447909" w:rsidP="00447909">
      <w:pPr>
        <w:pStyle w:val="a3"/>
        <w:spacing w:before="0" w:beforeAutospacing="0" w:after="0" w:afterAutospacing="0"/>
        <w:ind w:firstLine="709"/>
        <w:rPr>
          <w:bCs/>
          <w:sz w:val="20"/>
          <w:szCs w:val="20"/>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111"/>
        <w:gridCol w:w="2126"/>
      </w:tblGrid>
      <w:tr w:rsidR="00335777" w:rsidRPr="00CF35E4" w:rsidTr="005D6D50">
        <w:tc>
          <w:tcPr>
            <w:tcW w:w="3227" w:type="dxa"/>
          </w:tcPr>
          <w:p w:rsidR="00335777" w:rsidRPr="00CF35E4" w:rsidRDefault="00335777" w:rsidP="001F27E5">
            <w:pPr>
              <w:pStyle w:val="a3"/>
              <w:spacing w:before="0" w:beforeAutospacing="0" w:after="0" w:afterAutospacing="0"/>
              <w:jc w:val="center"/>
              <w:rPr>
                <w:lang w:val="uk-UA"/>
              </w:rPr>
            </w:pPr>
            <w:r w:rsidRPr="00CF35E4">
              <w:rPr>
                <w:lang w:val="uk-UA"/>
              </w:rPr>
              <w:t>Групи (підгрупи)</w:t>
            </w:r>
          </w:p>
        </w:tc>
        <w:tc>
          <w:tcPr>
            <w:tcW w:w="4111" w:type="dxa"/>
          </w:tcPr>
          <w:p w:rsidR="00335777" w:rsidRPr="00CF35E4" w:rsidRDefault="00335777" w:rsidP="008319C6">
            <w:pPr>
              <w:pStyle w:val="a3"/>
              <w:spacing w:before="0" w:beforeAutospacing="0" w:after="0" w:afterAutospacing="0"/>
              <w:jc w:val="center"/>
              <w:rPr>
                <w:lang w:val="uk-UA"/>
              </w:rPr>
            </w:pPr>
            <w:r w:rsidRPr="00CF35E4">
              <w:rPr>
                <w:lang w:val="uk-UA"/>
              </w:rPr>
              <w:t>Так</w:t>
            </w:r>
          </w:p>
        </w:tc>
        <w:tc>
          <w:tcPr>
            <w:tcW w:w="2126" w:type="dxa"/>
          </w:tcPr>
          <w:p w:rsidR="00335777" w:rsidRPr="00CF35E4" w:rsidRDefault="00335777" w:rsidP="001F27E5">
            <w:pPr>
              <w:pStyle w:val="a3"/>
              <w:spacing w:before="0" w:beforeAutospacing="0" w:after="0" w:afterAutospacing="0"/>
              <w:jc w:val="center"/>
              <w:rPr>
                <w:lang w:val="uk-UA"/>
              </w:rPr>
            </w:pPr>
            <w:r w:rsidRPr="00CF35E4">
              <w:rPr>
                <w:lang w:val="uk-UA"/>
              </w:rPr>
              <w:t>Ні</w:t>
            </w:r>
          </w:p>
        </w:tc>
      </w:tr>
      <w:tr w:rsidR="00335777" w:rsidRPr="00CF35E4" w:rsidTr="005D6D50">
        <w:tc>
          <w:tcPr>
            <w:tcW w:w="3227" w:type="dxa"/>
          </w:tcPr>
          <w:p w:rsidR="00335777" w:rsidRPr="00CF35E4" w:rsidRDefault="00335777" w:rsidP="001F27E5">
            <w:pPr>
              <w:pStyle w:val="a3"/>
              <w:spacing w:before="0" w:beforeAutospacing="0" w:after="0" w:afterAutospacing="0"/>
              <w:jc w:val="both"/>
              <w:rPr>
                <w:lang w:val="uk-UA"/>
              </w:rPr>
            </w:pPr>
            <w:r w:rsidRPr="00CF35E4">
              <w:rPr>
                <w:lang w:val="uk-UA"/>
              </w:rPr>
              <w:t>Громадяни</w:t>
            </w:r>
          </w:p>
        </w:tc>
        <w:tc>
          <w:tcPr>
            <w:tcW w:w="4111" w:type="dxa"/>
          </w:tcPr>
          <w:p w:rsidR="00D053DC" w:rsidRPr="00CF35E4" w:rsidRDefault="008319C6" w:rsidP="008319C6">
            <w:pPr>
              <w:jc w:val="center"/>
              <w:rPr>
                <w:lang w:val="uk-UA"/>
              </w:rPr>
            </w:pPr>
            <w:r w:rsidRPr="00CF35E4">
              <w:rPr>
                <w:lang w:val="uk-UA"/>
              </w:rPr>
              <w:t>+</w:t>
            </w:r>
          </w:p>
        </w:tc>
        <w:tc>
          <w:tcPr>
            <w:tcW w:w="2126" w:type="dxa"/>
          </w:tcPr>
          <w:p w:rsidR="00335777" w:rsidRPr="00CF35E4" w:rsidRDefault="00335777" w:rsidP="00EF060F">
            <w:pPr>
              <w:pStyle w:val="a3"/>
              <w:spacing w:before="0" w:beforeAutospacing="0" w:after="0" w:afterAutospacing="0"/>
              <w:jc w:val="center"/>
              <w:rPr>
                <w:lang w:val="uk-UA"/>
              </w:rPr>
            </w:pPr>
          </w:p>
        </w:tc>
      </w:tr>
      <w:tr w:rsidR="00335777" w:rsidRPr="00CF35E4" w:rsidTr="005D6D50">
        <w:tc>
          <w:tcPr>
            <w:tcW w:w="3227" w:type="dxa"/>
          </w:tcPr>
          <w:p w:rsidR="00335777" w:rsidRPr="00CF35E4" w:rsidRDefault="00335777" w:rsidP="001F27E5">
            <w:pPr>
              <w:pStyle w:val="a3"/>
              <w:spacing w:before="0" w:beforeAutospacing="0" w:after="0" w:afterAutospacing="0"/>
              <w:jc w:val="both"/>
              <w:rPr>
                <w:lang w:val="uk-UA"/>
              </w:rPr>
            </w:pPr>
            <w:r w:rsidRPr="00CF35E4">
              <w:rPr>
                <w:lang w:val="uk-UA"/>
              </w:rPr>
              <w:t>Держава</w:t>
            </w:r>
          </w:p>
        </w:tc>
        <w:tc>
          <w:tcPr>
            <w:tcW w:w="4111" w:type="dxa"/>
          </w:tcPr>
          <w:p w:rsidR="007D7441" w:rsidRPr="00CF35E4" w:rsidRDefault="008319C6" w:rsidP="008319C6">
            <w:pPr>
              <w:jc w:val="center"/>
              <w:rPr>
                <w:lang w:val="uk-UA"/>
              </w:rPr>
            </w:pPr>
            <w:r w:rsidRPr="00CF35E4">
              <w:rPr>
                <w:lang w:val="uk-UA"/>
              </w:rPr>
              <w:t>+</w:t>
            </w:r>
          </w:p>
        </w:tc>
        <w:tc>
          <w:tcPr>
            <w:tcW w:w="2126" w:type="dxa"/>
          </w:tcPr>
          <w:p w:rsidR="00335777" w:rsidRPr="00CF35E4" w:rsidRDefault="00335777" w:rsidP="00EF060F">
            <w:pPr>
              <w:pStyle w:val="a3"/>
              <w:spacing w:before="0" w:beforeAutospacing="0" w:after="0" w:afterAutospacing="0"/>
              <w:jc w:val="center"/>
              <w:rPr>
                <w:lang w:val="uk-UA"/>
              </w:rPr>
            </w:pPr>
          </w:p>
        </w:tc>
      </w:tr>
      <w:tr w:rsidR="00335777" w:rsidRPr="00CF35E4" w:rsidTr="005D6D50">
        <w:tc>
          <w:tcPr>
            <w:tcW w:w="3227" w:type="dxa"/>
          </w:tcPr>
          <w:p w:rsidR="00335777" w:rsidRPr="00CF35E4" w:rsidRDefault="00335777" w:rsidP="00341A47">
            <w:pPr>
              <w:pStyle w:val="a3"/>
              <w:spacing w:before="0" w:beforeAutospacing="0" w:after="0" w:afterAutospacing="0"/>
              <w:jc w:val="both"/>
              <w:rPr>
                <w:lang w:val="uk-UA"/>
              </w:rPr>
            </w:pPr>
            <w:r w:rsidRPr="00CF35E4">
              <w:rPr>
                <w:lang w:val="uk-UA"/>
              </w:rPr>
              <w:t xml:space="preserve">Суб’єкти господарювання </w:t>
            </w:r>
          </w:p>
        </w:tc>
        <w:tc>
          <w:tcPr>
            <w:tcW w:w="4111" w:type="dxa"/>
          </w:tcPr>
          <w:p w:rsidR="007D7441" w:rsidRPr="00CF35E4" w:rsidRDefault="008319C6" w:rsidP="008319C6">
            <w:pPr>
              <w:pStyle w:val="a3"/>
              <w:spacing w:before="0" w:beforeAutospacing="0" w:after="0" w:afterAutospacing="0"/>
              <w:jc w:val="center"/>
              <w:rPr>
                <w:lang w:val="uk-UA"/>
              </w:rPr>
            </w:pPr>
            <w:r w:rsidRPr="00CF35E4">
              <w:rPr>
                <w:lang w:val="uk-UA"/>
              </w:rPr>
              <w:t>+</w:t>
            </w:r>
          </w:p>
        </w:tc>
        <w:tc>
          <w:tcPr>
            <w:tcW w:w="2126" w:type="dxa"/>
          </w:tcPr>
          <w:p w:rsidR="00335777" w:rsidRPr="00CF35E4" w:rsidRDefault="00335777" w:rsidP="00EF060F">
            <w:pPr>
              <w:pStyle w:val="a3"/>
              <w:spacing w:before="0" w:beforeAutospacing="0" w:after="0" w:afterAutospacing="0"/>
              <w:jc w:val="center"/>
              <w:rPr>
                <w:lang w:val="uk-UA"/>
              </w:rPr>
            </w:pPr>
          </w:p>
        </w:tc>
      </w:tr>
    </w:tbl>
    <w:p w:rsidR="000C1CFA" w:rsidRPr="00CF35E4" w:rsidRDefault="000C1CFA" w:rsidP="00447909">
      <w:pPr>
        <w:ind w:firstLine="708"/>
        <w:rPr>
          <w:bCs/>
          <w:sz w:val="20"/>
          <w:szCs w:val="20"/>
          <w:lang w:val="uk-UA"/>
        </w:rPr>
      </w:pPr>
    </w:p>
    <w:p w:rsidR="005A08AE" w:rsidRPr="00503794" w:rsidRDefault="005A08AE" w:rsidP="00CB4735">
      <w:pPr>
        <w:jc w:val="center"/>
        <w:rPr>
          <w:b/>
          <w:sz w:val="26"/>
          <w:szCs w:val="26"/>
          <w:lang w:val="uk-UA"/>
        </w:rPr>
      </w:pPr>
      <w:r w:rsidRPr="00503794">
        <w:rPr>
          <w:b/>
          <w:sz w:val="26"/>
          <w:szCs w:val="26"/>
          <w:lang w:val="uk-UA"/>
        </w:rPr>
        <w:t>II. Цілі державного регулювання</w:t>
      </w:r>
    </w:p>
    <w:p w:rsidR="00DE2961" w:rsidRPr="00CF35E4" w:rsidRDefault="00DE2961" w:rsidP="00434CA5">
      <w:pPr>
        <w:widowControl w:val="0"/>
        <w:ind w:firstLine="709"/>
        <w:jc w:val="both"/>
        <w:rPr>
          <w:sz w:val="20"/>
          <w:szCs w:val="20"/>
          <w:lang w:val="uk-UA"/>
        </w:rPr>
      </w:pPr>
    </w:p>
    <w:p w:rsidR="00FD118D" w:rsidRPr="00E80E7F" w:rsidRDefault="005D2D4E" w:rsidP="00434CA5">
      <w:pPr>
        <w:widowControl w:val="0"/>
        <w:ind w:firstLine="709"/>
        <w:jc w:val="both"/>
        <w:rPr>
          <w:sz w:val="26"/>
          <w:szCs w:val="26"/>
          <w:lang w:val="uk-UA"/>
        </w:rPr>
      </w:pPr>
      <w:r>
        <w:rPr>
          <w:sz w:val="26"/>
          <w:szCs w:val="26"/>
          <w:lang w:val="uk-UA"/>
        </w:rPr>
        <w:t>У зв’язку з</w:t>
      </w:r>
      <w:r w:rsidR="00F10853" w:rsidRPr="00503794">
        <w:rPr>
          <w:sz w:val="26"/>
          <w:szCs w:val="26"/>
          <w:lang w:val="uk-UA"/>
        </w:rPr>
        <w:t xml:space="preserve"> прийняття</w:t>
      </w:r>
      <w:r>
        <w:rPr>
          <w:sz w:val="26"/>
          <w:szCs w:val="26"/>
          <w:lang w:val="uk-UA"/>
        </w:rPr>
        <w:t>м</w:t>
      </w:r>
      <w:r w:rsidR="00F10853" w:rsidRPr="00503794">
        <w:rPr>
          <w:sz w:val="26"/>
          <w:szCs w:val="26"/>
          <w:lang w:val="uk-UA"/>
        </w:rPr>
        <w:t xml:space="preserve"> постанови НКРЕКП </w:t>
      </w:r>
      <w:r w:rsidR="00EC5CB0" w:rsidRPr="00503794">
        <w:rPr>
          <w:sz w:val="26"/>
          <w:szCs w:val="26"/>
          <w:lang w:val="uk-UA"/>
        </w:rPr>
        <w:t>«</w:t>
      </w:r>
      <w:r w:rsidR="00E80E7F" w:rsidRPr="00E80E7F">
        <w:rPr>
          <w:bCs/>
          <w:sz w:val="26"/>
          <w:szCs w:val="26"/>
          <w:lang w:val="uk-UA"/>
        </w:rPr>
        <w:t>Про затвердження Змін до Методики</w:t>
      </w:r>
      <w:r>
        <w:rPr>
          <w:bCs/>
          <w:sz w:val="26"/>
          <w:szCs w:val="26"/>
          <w:lang w:val="uk-UA"/>
        </w:rPr>
        <w:t xml:space="preserve"> 1381</w:t>
      </w:r>
      <w:r w:rsidR="00E80E7F" w:rsidRPr="00E80E7F">
        <w:rPr>
          <w:bCs/>
          <w:sz w:val="26"/>
          <w:szCs w:val="26"/>
          <w:lang w:val="uk-UA"/>
        </w:rPr>
        <w:t xml:space="preserve"> розрахунку плати за послуги комерційного обліку електричної енергії, що надаються оператором системи розподілу на території здійснення його ліцензованої діяльності</w:t>
      </w:r>
      <w:r w:rsidR="00EC5CB0" w:rsidRPr="00EF060F">
        <w:rPr>
          <w:bCs/>
          <w:sz w:val="26"/>
          <w:szCs w:val="26"/>
          <w:lang w:val="uk-UA"/>
        </w:rPr>
        <w:t>»</w:t>
      </w:r>
      <w:r w:rsidR="00914C8A" w:rsidRPr="00503794">
        <w:rPr>
          <w:sz w:val="26"/>
          <w:szCs w:val="26"/>
          <w:lang w:val="uk-UA"/>
        </w:rPr>
        <w:t xml:space="preserve"> </w:t>
      </w:r>
      <w:r>
        <w:rPr>
          <w:sz w:val="26"/>
          <w:szCs w:val="26"/>
          <w:lang w:val="uk-UA"/>
        </w:rPr>
        <w:t>якою передбачено механізм</w:t>
      </w:r>
      <w:r w:rsidR="006A499E" w:rsidRPr="00503794">
        <w:rPr>
          <w:sz w:val="26"/>
          <w:szCs w:val="26"/>
          <w:lang w:val="uk-UA"/>
        </w:rPr>
        <w:t xml:space="preserve"> </w:t>
      </w:r>
      <w:r w:rsidR="00E80E7F" w:rsidRPr="00E80E7F">
        <w:rPr>
          <w:color w:val="000000" w:themeColor="text1"/>
          <w:sz w:val="26"/>
          <w:szCs w:val="26"/>
          <w:lang w:val="uk-UA"/>
        </w:rPr>
        <w:t xml:space="preserve">вдосконалення </w:t>
      </w:r>
      <w:r w:rsidR="00E80E7F" w:rsidRPr="00E80E7F">
        <w:rPr>
          <w:sz w:val="26"/>
          <w:szCs w:val="26"/>
          <w:lang w:val="uk-UA"/>
        </w:rPr>
        <w:t>механізму формування плати за надані оператором системи розподілу (далі – ОСР) послуги комерційного обліку електричної енергії на території здійснення його ліцензованої діяльності</w:t>
      </w:r>
      <w:r>
        <w:rPr>
          <w:sz w:val="26"/>
          <w:szCs w:val="26"/>
          <w:lang w:val="uk-UA"/>
        </w:rPr>
        <w:t xml:space="preserve">, </w:t>
      </w:r>
      <w:r w:rsidRPr="005D2D4E">
        <w:rPr>
          <w:color w:val="000000"/>
          <w:sz w:val="26"/>
          <w:szCs w:val="26"/>
          <w:lang w:val="uk-UA"/>
        </w:rPr>
        <w:t xml:space="preserve">виникла необхідність у визнанні такої, що втратила чинність постанови НКРЕКП </w:t>
      </w:r>
      <w:r w:rsidR="007D2E50" w:rsidRPr="007D2E50">
        <w:rPr>
          <w:color w:val="000000"/>
          <w:sz w:val="26"/>
          <w:szCs w:val="26"/>
          <w:lang w:val="uk-UA"/>
        </w:rPr>
        <w:t xml:space="preserve">від 29 грудня 2017 року </w:t>
      </w:r>
      <w:r w:rsidRPr="005D2D4E">
        <w:rPr>
          <w:color w:val="000000"/>
          <w:sz w:val="26"/>
          <w:szCs w:val="26"/>
          <w:lang w:val="uk-UA"/>
        </w:rPr>
        <w:t>№ 1618.</w:t>
      </w:r>
    </w:p>
    <w:p w:rsidR="00434CA5" w:rsidRDefault="00434CA5" w:rsidP="00434CA5">
      <w:pPr>
        <w:widowControl w:val="0"/>
        <w:ind w:firstLine="709"/>
        <w:jc w:val="both"/>
        <w:rPr>
          <w:b/>
          <w:sz w:val="26"/>
          <w:szCs w:val="26"/>
          <w:lang w:val="uk-UA"/>
        </w:rPr>
      </w:pPr>
    </w:p>
    <w:p w:rsidR="00CF35E4" w:rsidRPr="00503794" w:rsidRDefault="00CF35E4" w:rsidP="00434CA5">
      <w:pPr>
        <w:widowControl w:val="0"/>
        <w:ind w:firstLine="709"/>
        <w:jc w:val="both"/>
        <w:rPr>
          <w:b/>
          <w:sz w:val="26"/>
          <w:szCs w:val="26"/>
          <w:lang w:val="uk-UA"/>
        </w:rPr>
      </w:pPr>
    </w:p>
    <w:p w:rsidR="00C918F0" w:rsidRPr="00503794" w:rsidRDefault="00C918F0" w:rsidP="00914C8A">
      <w:pPr>
        <w:jc w:val="center"/>
        <w:rPr>
          <w:b/>
          <w:sz w:val="26"/>
          <w:szCs w:val="26"/>
          <w:lang w:val="uk-UA"/>
        </w:rPr>
      </w:pPr>
      <w:r w:rsidRPr="00503794">
        <w:rPr>
          <w:b/>
          <w:sz w:val="26"/>
          <w:szCs w:val="26"/>
          <w:lang w:val="uk-UA"/>
        </w:rPr>
        <w:t xml:space="preserve">ІІІ. Визначення та оцінка альтернативних способів досягнення </w:t>
      </w:r>
      <w:r w:rsidR="00914C8A" w:rsidRPr="00503794">
        <w:rPr>
          <w:b/>
          <w:sz w:val="26"/>
          <w:szCs w:val="26"/>
          <w:lang w:val="uk-UA"/>
        </w:rPr>
        <w:t>цілей</w:t>
      </w:r>
    </w:p>
    <w:p w:rsidR="00C918F0" w:rsidRPr="00503794" w:rsidRDefault="00C918F0" w:rsidP="00C918F0">
      <w:pPr>
        <w:jc w:val="both"/>
        <w:rPr>
          <w:sz w:val="26"/>
          <w:szCs w:val="26"/>
          <w:lang w:val="uk-UA"/>
        </w:rPr>
      </w:pPr>
    </w:p>
    <w:p w:rsidR="00C918F0" w:rsidRPr="00503794" w:rsidRDefault="00C918F0" w:rsidP="0018292F">
      <w:pPr>
        <w:ind w:firstLine="709"/>
        <w:jc w:val="both"/>
        <w:rPr>
          <w:sz w:val="26"/>
          <w:szCs w:val="26"/>
          <w:lang w:val="uk-UA"/>
        </w:rPr>
      </w:pPr>
      <w:r w:rsidRPr="00503794">
        <w:rPr>
          <w:sz w:val="26"/>
          <w:szCs w:val="26"/>
          <w:lang w:val="uk-UA"/>
        </w:rPr>
        <w:t>1. Виз</w:t>
      </w:r>
      <w:r w:rsidR="00633DCD" w:rsidRPr="00503794">
        <w:rPr>
          <w:sz w:val="26"/>
          <w:szCs w:val="26"/>
          <w:lang w:val="uk-UA"/>
        </w:rPr>
        <w:t>начення альтернативних способів:</w:t>
      </w:r>
    </w:p>
    <w:p w:rsidR="0018292F" w:rsidRPr="00CF35E4" w:rsidRDefault="0018292F" w:rsidP="0018292F">
      <w:pPr>
        <w:ind w:firstLine="709"/>
        <w:jc w:val="both"/>
        <w:rPr>
          <w:sz w:val="20"/>
          <w:szCs w:val="20"/>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37"/>
      </w:tblGrid>
      <w:tr w:rsidR="00C918F0" w:rsidRPr="00CF35E4" w:rsidTr="005D6D50">
        <w:trPr>
          <w:trHeight w:val="631"/>
        </w:trPr>
        <w:tc>
          <w:tcPr>
            <w:tcW w:w="3261" w:type="dxa"/>
            <w:vAlign w:val="center"/>
          </w:tcPr>
          <w:p w:rsidR="00C918F0" w:rsidRPr="00CF35E4" w:rsidRDefault="00C918F0" w:rsidP="00B63360">
            <w:pPr>
              <w:pStyle w:val="21"/>
              <w:spacing w:after="0" w:line="240" w:lineRule="auto"/>
              <w:jc w:val="center"/>
              <w:rPr>
                <w:b/>
              </w:rPr>
            </w:pPr>
            <w:r w:rsidRPr="00CF35E4">
              <w:rPr>
                <w:b/>
              </w:rPr>
              <w:t>Вид альтернативи</w:t>
            </w:r>
          </w:p>
        </w:tc>
        <w:tc>
          <w:tcPr>
            <w:tcW w:w="6237" w:type="dxa"/>
            <w:vAlign w:val="center"/>
          </w:tcPr>
          <w:p w:rsidR="00C918F0" w:rsidRPr="00CF35E4" w:rsidRDefault="00C918F0" w:rsidP="00B63360">
            <w:pPr>
              <w:pStyle w:val="21"/>
              <w:spacing w:after="0" w:line="240" w:lineRule="auto"/>
              <w:jc w:val="center"/>
              <w:rPr>
                <w:b/>
              </w:rPr>
            </w:pPr>
            <w:r w:rsidRPr="00CF35E4">
              <w:rPr>
                <w:b/>
              </w:rPr>
              <w:t>Опис</w:t>
            </w:r>
            <w:r w:rsidR="00F066FE" w:rsidRPr="00CF35E4">
              <w:rPr>
                <w:b/>
              </w:rPr>
              <w:t xml:space="preserve"> </w:t>
            </w:r>
            <w:r w:rsidRPr="00CF35E4">
              <w:rPr>
                <w:b/>
              </w:rPr>
              <w:t>альтернативи</w:t>
            </w:r>
          </w:p>
        </w:tc>
      </w:tr>
      <w:tr w:rsidR="00C918F0" w:rsidRPr="007D2E50" w:rsidTr="005D6D50">
        <w:tc>
          <w:tcPr>
            <w:tcW w:w="3261" w:type="dxa"/>
          </w:tcPr>
          <w:p w:rsidR="00C918F0" w:rsidRPr="00CF35E4" w:rsidRDefault="00C918F0" w:rsidP="00B63360">
            <w:pPr>
              <w:pStyle w:val="21"/>
              <w:spacing w:after="0" w:line="240" w:lineRule="auto"/>
              <w:jc w:val="both"/>
              <w:rPr>
                <w:b/>
              </w:rPr>
            </w:pPr>
            <w:r w:rsidRPr="00CF35E4">
              <w:rPr>
                <w:b/>
              </w:rPr>
              <w:t>Альтернатива 1</w:t>
            </w:r>
          </w:p>
          <w:p w:rsidR="00C918F0" w:rsidRPr="00CF35E4" w:rsidRDefault="00C918F0" w:rsidP="00B63360">
            <w:pPr>
              <w:pStyle w:val="21"/>
              <w:spacing w:after="0" w:line="240" w:lineRule="auto"/>
            </w:pPr>
            <w:r w:rsidRPr="00CF35E4">
              <w:t>Збереження чинного регулю</w:t>
            </w:r>
            <w:r w:rsidR="0007200E" w:rsidRPr="00CF35E4">
              <w:t>вання</w:t>
            </w:r>
          </w:p>
        </w:tc>
        <w:tc>
          <w:tcPr>
            <w:tcW w:w="6237" w:type="dxa"/>
          </w:tcPr>
          <w:p w:rsidR="00B63360" w:rsidRPr="00CF35E4" w:rsidRDefault="0050169C" w:rsidP="00747C37">
            <w:pPr>
              <w:pStyle w:val="rvps2"/>
              <w:spacing w:before="0" w:beforeAutospacing="0" w:after="0" w:afterAutospacing="0"/>
              <w:jc w:val="both"/>
            </w:pPr>
            <w:r>
              <w:t>Збереження ч</w:t>
            </w:r>
            <w:r w:rsidR="00C51199" w:rsidRPr="00CF35E4">
              <w:t>инн</w:t>
            </w:r>
            <w:r>
              <w:t>ої</w:t>
            </w:r>
            <w:r w:rsidR="00C51199" w:rsidRPr="00CF35E4">
              <w:t xml:space="preserve"> редакці</w:t>
            </w:r>
            <w:r>
              <w:t>ї</w:t>
            </w:r>
            <w:r w:rsidR="00C51199" w:rsidRPr="00CF35E4">
              <w:t xml:space="preserve"> </w:t>
            </w:r>
            <w:r w:rsidR="00747C37">
              <w:t>Методики</w:t>
            </w:r>
            <w:r w:rsidR="005D2D4E">
              <w:t xml:space="preserve"> 1618</w:t>
            </w:r>
            <w:r w:rsidR="00C51199" w:rsidRPr="00CF35E4">
              <w:t xml:space="preserve"> </w:t>
            </w:r>
            <w:r w:rsidR="00B07F14" w:rsidRPr="0068053F">
              <w:t xml:space="preserve">не забезпечує </w:t>
            </w:r>
            <w:r w:rsidR="004A58B7" w:rsidRPr="0068053F">
              <w:t>дієвого</w:t>
            </w:r>
            <w:r w:rsidR="00E80E7F" w:rsidRPr="0068053F">
              <w:t xml:space="preserve"> механізму</w:t>
            </w:r>
            <w:r w:rsidR="006705BC" w:rsidRPr="00CF35E4">
              <w:t xml:space="preserve"> </w:t>
            </w:r>
            <w:r w:rsidR="00E80E7F" w:rsidRPr="00E80E7F">
              <w:rPr>
                <w:sz w:val="26"/>
                <w:szCs w:val="26"/>
              </w:rPr>
              <w:t>формування плати за надані ОСР послуги комерційного обліку електричної енергії на території здійснення його ліцензованої діяльності</w:t>
            </w:r>
            <w:r w:rsidR="00FD101A" w:rsidRPr="00CF35E4">
              <w:t>.</w:t>
            </w:r>
            <w:r w:rsidR="00190E89" w:rsidRPr="00CF35E4">
              <w:t xml:space="preserve"> </w:t>
            </w:r>
          </w:p>
        </w:tc>
      </w:tr>
      <w:tr w:rsidR="00C918F0" w:rsidRPr="00CF35E4" w:rsidTr="005D6D50">
        <w:tc>
          <w:tcPr>
            <w:tcW w:w="3261" w:type="dxa"/>
          </w:tcPr>
          <w:p w:rsidR="00043C8E" w:rsidRPr="00CF35E4" w:rsidRDefault="00043C8E" w:rsidP="00B63360">
            <w:pPr>
              <w:pStyle w:val="21"/>
              <w:spacing w:after="0" w:line="240" w:lineRule="auto"/>
              <w:jc w:val="both"/>
              <w:rPr>
                <w:b/>
              </w:rPr>
            </w:pPr>
            <w:r w:rsidRPr="00CF35E4">
              <w:rPr>
                <w:b/>
              </w:rPr>
              <w:t>Альтернатива 2</w:t>
            </w:r>
          </w:p>
          <w:p w:rsidR="00C918F0" w:rsidRPr="00CF35E4" w:rsidRDefault="00D87875" w:rsidP="00B63360">
            <w:pPr>
              <w:pStyle w:val="21"/>
              <w:spacing w:after="0" w:line="240" w:lineRule="auto"/>
            </w:pPr>
            <w:r w:rsidRPr="00CF35E4">
              <w:t xml:space="preserve">Прийняття </w:t>
            </w:r>
            <w:r w:rsidR="00AD33D3" w:rsidRPr="00CF35E4">
              <w:t xml:space="preserve">нового регуляторного </w:t>
            </w:r>
            <w:proofErr w:type="spellStart"/>
            <w:r w:rsidR="00AD33D3" w:rsidRPr="00CF35E4">
              <w:t>акта</w:t>
            </w:r>
            <w:proofErr w:type="spellEnd"/>
          </w:p>
        </w:tc>
        <w:tc>
          <w:tcPr>
            <w:tcW w:w="6237" w:type="dxa"/>
          </w:tcPr>
          <w:p w:rsidR="00B63360" w:rsidRPr="00CF35E4" w:rsidRDefault="00D87875" w:rsidP="00B63360">
            <w:pPr>
              <w:pStyle w:val="21"/>
              <w:spacing w:after="0" w:line="240" w:lineRule="auto"/>
              <w:jc w:val="both"/>
            </w:pPr>
            <w:r w:rsidRPr="00CF35E4">
              <w:t xml:space="preserve">Прийняття нового регуляторного </w:t>
            </w:r>
            <w:proofErr w:type="spellStart"/>
            <w:r w:rsidRPr="00CF35E4">
              <w:t>акта</w:t>
            </w:r>
            <w:proofErr w:type="spellEnd"/>
            <w:r w:rsidRPr="00CF35E4">
              <w:t xml:space="preserve"> є недоцільним, оскільки на сьогодні </w:t>
            </w:r>
            <w:r w:rsidR="00547777">
              <w:t>схвалений</w:t>
            </w:r>
            <w:r w:rsidRPr="00CF35E4">
              <w:t xml:space="preserve"> регуляторний акт, яким регулю</w:t>
            </w:r>
            <w:r w:rsidR="00547777">
              <w:t>є</w:t>
            </w:r>
            <w:r w:rsidRPr="00CF35E4">
              <w:t xml:space="preserve">ться </w:t>
            </w:r>
            <w:r w:rsidR="00547777" w:rsidRPr="0068053F">
              <w:t>механізм</w:t>
            </w:r>
            <w:r w:rsidR="00547777" w:rsidRPr="00CF35E4">
              <w:t xml:space="preserve"> </w:t>
            </w:r>
            <w:r w:rsidR="00547777" w:rsidRPr="00E80E7F">
              <w:rPr>
                <w:sz w:val="26"/>
                <w:szCs w:val="26"/>
              </w:rPr>
              <w:t xml:space="preserve">формування плати за надані ОСР послуги комерційного обліку </w:t>
            </w:r>
            <w:r w:rsidRPr="00CF35E4">
              <w:t>електричної енергії.</w:t>
            </w:r>
          </w:p>
        </w:tc>
      </w:tr>
      <w:tr w:rsidR="00C918F0" w:rsidRPr="005D2D4E" w:rsidTr="005D6D50">
        <w:tc>
          <w:tcPr>
            <w:tcW w:w="3261" w:type="dxa"/>
          </w:tcPr>
          <w:p w:rsidR="00C918F0" w:rsidRPr="00CF35E4" w:rsidRDefault="0007200E" w:rsidP="00B63360">
            <w:pPr>
              <w:pStyle w:val="21"/>
              <w:spacing w:after="0" w:line="240" w:lineRule="auto"/>
              <w:jc w:val="both"/>
              <w:rPr>
                <w:b/>
              </w:rPr>
            </w:pPr>
            <w:r w:rsidRPr="00CF35E4">
              <w:rPr>
                <w:b/>
              </w:rPr>
              <w:t>А</w:t>
            </w:r>
            <w:r w:rsidR="00C918F0" w:rsidRPr="00CF35E4">
              <w:rPr>
                <w:b/>
              </w:rPr>
              <w:t>льтернатива 3</w:t>
            </w:r>
          </w:p>
          <w:p w:rsidR="00C918F0" w:rsidRPr="00CF35E4" w:rsidRDefault="00CA5308" w:rsidP="00B63360">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6237" w:type="dxa"/>
          </w:tcPr>
          <w:p w:rsidR="00C8128C" w:rsidRPr="00CF35E4" w:rsidRDefault="00AA640E" w:rsidP="00750235">
            <w:pPr>
              <w:jc w:val="both"/>
              <w:rPr>
                <w:lang w:val="uk-UA"/>
              </w:rPr>
            </w:pPr>
            <w:bookmarkStart w:id="0" w:name="_Hlk204950994"/>
            <w:r w:rsidRPr="00CF35E4">
              <w:rPr>
                <w:lang w:val="uk-UA"/>
              </w:rPr>
              <w:t>Вн</w:t>
            </w:r>
            <w:r w:rsidR="001F63BD" w:rsidRPr="00CF35E4">
              <w:rPr>
                <w:lang w:val="uk-UA"/>
              </w:rPr>
              <w:t xml:space="preserve">есення змін до </w:t>
            </w:r>
            <w:r w:rsidR="00747C37" w:rsidRPr="00747C37">
              <w:rPr>
                <w:lang w:val="uk-UA"/>
              </w:rPr>
              <w:t>Методики</w:t>
            </w:r>
            <w:r w:rsidR="001F63BD" w:rsidRPr="00CF35E4">
              <w:rPr>
                <w:lang w:val="uk-UA"/>
              </w:rPr>
              <w:t xml:space="preserve"> </w:t>
            </w:r>
            <w:r w:rsidR="005D2D4E">
              <w:rPr>
                <w:lang w:val="uk-UA"/>
              </w:rPr>
              <w:t xml:space="preserve">1618 не </w:t>
            </w:r>
            <w:r w:rsidR="000114E0" w:rsidRPr="00CF35E4">
              <w:rPr>
                <w:lang w:val="uk-UA"/>
              </w:rPr>
              <w:t>запровадить</w:t>
            </w:r>
            <w:r w:rsidR="00750235">
              <w:rPr>
                <w:lang w:val="uk-UA"/>
              </w:rPr>
              <w:t xml:space="preserve"> чіткий</w:t>
            </w:r>
            <w:r w:rsidR="000114E0" w:rsidRPr="0068053F">
              <w:rPr>
                <w:lang w:val="uk-UA"/>
              </w:rPr>
              <w:t xml:space="preserve"> підхід</w:t>
            </w:r>
            <w:r w:rsidR="000114E0" w:rsidRPr="00CF35E4">
              <w:rPr>
                <w:lang w:val="uk-UA"/>
              </w:rPr>
              <w:t xml:space="preserve"> до</w:t>
            </w:r>
            <w:r w:rsidR="006705BC" w:rsidRPr="00CF35E4">
              <w:rPr>
                <w:lang w:val="uk-UA"/>
              </w:rPr>
              <w:t xml:space="preserve"> </w:t>
            </w:r>
            <w:r w:rsidR="00747C37" w:rsidRPr="00747C37">
              <w:rPr>
                <w:lang w:val="uk-UA"/>
              </w:rPr>
              <w:t>механізму формування плати за надані ОСР послуги комерційного обліку електричної енергії на території здійснення його ліцензованої діяльності</w:t>
            </w:r>
            <w:bookmarkEnd w:id="0"/>
            <w:r w:rsidR="00FD101A" w:rsidRPr="00CF35E4">
              <w:rPr>
                <w:lang w:val="uk-UA"/>
              </w:rPr>
              <w:t>.</w:t>
            </w:r>
          </w:p>
        </w:tc>
      </w:tr>
    </w:tbl>
    <w:p w:rsidR="00181D4E" w:rsidRPr="00CF35E4" w:rsidRDefault="00181D4E" w:rsidP="00C918F0">
      <w:pPr>
        <w:pStyle w:val="a5"/>
        <w:spacing w:after="0"/>
        <w:ind w:left="0" w:firstLine="709"/>
        <w:jc w:val="both"/>
      </w:pPr>
    </w:p>
    <w:p w:rsidR="00C918F0" w:rsidRPr="00503794" w:rsidRDefault="00C918F0" w:rsidP="00C918F0">
      <w:pPr>
        <w:pStyle w:val="a5"/>
        <w:spacing w:after="0"/>
        <w:ind w:left="0" w:firstLine="709"/>
        <w:jc w:val="both"/>
        <w:rPr>
          <w:sz w:val="26"/>
          <w:szCs w:val="26"/>
        </w:rPr>
      </w:pPr>
      <w:r w:rsidRPr="00503794">
        <w:rPr>
          <w:sz w:val="26"/>
          <w:szCs w:val="26"/>
        </w:rPr>
        <w:t>2. Оцінка вибраних альтернативних способів досягнення цілей.</w:t>
      </w:r>
    </w:p>
    <w:p w:rsidR="00C918F0" w:rsidRPr="00CF35E4" w:rsidRDefault="00C918F0" w:rsidP="00C918F0">
      <w:pPr>
        <w:pStyle w:val="a5"/>
        <w:spacing w:after="0"/>
        <w:ind w:left="0"/>
        <w:jc w:val="both"/>
      </w:pPr>
    </w:p>
    <w:p w:rsidR="00C918F0" w:rsidRPr="00503794" w:rsidRDefault="00C918F0" w:rsidP="0007200E">
      <w:pPr>
        <w:pStyle w:val="a5"/>
        <w:numPr>
          <w:ilvl w:val="0"/>
          <w:numId w:val="2"/>
        </w:numPr>
        <w:spacing w:after="0"/>
        <w:jc w:val="both"/>
        <w:rPr>
          <w:sz w:val="26"/>
          <w:szCs w:val="26"/>
        </w:rPr>
      </w:pPr>
      <w:r w:rsidRPr="00503794">
        <w:rPr>
          <w:sz w:val="26"/>
          <w:szCs w:val="26"/>
        </w:rPr>
        <w:t>Оцінка вп</w:t>
      </w:r>
      <w:r w:rsidR="0007200E" w:rsidRPr="00503794">
        <w:rPr>
          <w:sz w:val="26"/>
          <w:szCs w:val="26"/>
        </w:rPr>
        <w:t>ливу на сферу інтересів держави:</w:t>
      </w:r>
    </w:p>
    <w:p w:rsidR="00C918F0" w:rsidRPr="00CF35E4" w:rsidRDefault="00C918F0" w:rsidP="00C918F0">
      <w:pPr>
        <w:pStyle w:val="a5"/>
        <w:spacing w:after="0"/>
        <w:ind w:left="0"/>
        <w:jc w:val="both"/>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5"/>
        <w:gridCol w:w="4485"/>
        <w:gridCol w:w="1985"/>
      </w:tblGrid>
      <w:tr w:rsidR="00C918F0" w:rsidRPr="00CF35E4" w:rsidTr="00CF35E4">
        <w:trPr>
          <w:trHeight w:val="496"/>
        </w:trPr>
        <w:tc>
          <w:tcPr>
            <w:tcW w:w="2915" w:type="dxa"/>
            <w:vAlign w:val="center"/>
          </w:tcPr>
          <w:p w:rsidR="00C918F0" w:rsidRPr="00CF35E4" w:rsidRDefault="00C918F0" w:rsidP="001F27E5">
            <w:pPr>
              <w:pStyle w:val="21"/>
              <w:spacing w:after="0" w:line="240" w:lineRule="auto"/>
              <w:jc w:val="center"/>
              <w:rPr>
                <w:b/>
              </w:rPr>
            </w:pPr>
            <w:r w:rsidRPr="00CF35E4">
              <w:rPr>
                <w:b/>
              </w:rPr>
              <w:t>Вид альтернативи</w:t>
            </w:r>
          </w:p>
        </w:tc>
        <w:tc>
          <w:tcPr>
            <w:tcW w:w="4485" w:type="dxa"/>
            <w:vAlign w:val="center"/>
          </w:tcPr>
          <w:p w:rsidR="00C918F0" w:rsidRPr="00CF35E4" w:rsidRDefault="00C918F0" w:rsidP="001F27E5">
            <w:pPr>
              <w:pStyle w:val="21"/>
              <w:spacing w:after="0" w:line="240" w:lineRule="auto"/>
              <w:jc w:val="center"/>
              <w:rPr>
                <w:b/>
              </w:rPr>
            </w:pPr>
            <w:r w:rsidRPr="00CF35E4">
              <w:rPr>
                <w:b/>
              </w:rPr>
              <w:t>Вигоди</w:t>
            </w:r>
          </w:p>
        </w:tc>
        <w:tc>
          <w:tcPr>
            <w:tcW w:w="1985" w:type="dxa"/>
            <w:vAlign w:val="center"/>
          </w:tcPr>
          <w:p w:rsidR="00C918F0" w:rsidRPr="00CF35E4" w:rsidRDefault="00C918F0" w:rsidP="001F27E5">
            <w:pPr>
              <w:pStyle w:val="21"/>
              <w:spacing w:after="0" w:line="240" w:lineRule="auto"/>
              <w:jc w:val="center"/>
              <w:rPr>
                <w:b/>
              </w:rPr>
            </w:pPr>
            <w:r w:rsidRPr="00CF35E4">
              <w:rPr>
                <w:b/>
              </w:rPr>
              <w:t>Витрати</w:t>
            </w:r>
          </w:p>
        </w:tc>
      </w:tr>
      <w:tr w:rsidR="00330363" w:rsidRPr="00CF35E4" w:rsidTr="00CF35E4">
        <w:tc>
          <w:tcPr>
            <w:tcW w:w="2915" w:type="dxa"/>
          </w:tcPr>
          <w:p w:rsidR="00330363" w:rsidRPr="00CF35E4" w:rsidRDefault="00330363" w:rsidP="001F27E5">
            <w:pPr>
              <w:pStyle w:val="21"/>
              <w:spacing w:after="0" w:line="240" w:lineRule="auto"/>
              <w:jc w:val="both"/>
              <w:rPr>
                <w:b/>
              </w:rPr>
            </w:pPr>
            <w:r w:rsidRPr="00CF35E4">
              <w:rPr>
                <w:b/>
              </w:rPr>
              <w:t>Альтернатива 1</w:t>
            </w:r>
          </w:p>
          <w:p w:rsidR="00330363" w:rsidRPr="00CF35E4" w:rsidRDefault="0007200E" w:rsidP="0066606E">
            <w:pPr>
              <w:pStyle w:val="21"/>
              <w:spacing w:after="0" w:line="240" w:lineRule="auto"/>
            </w:pPr>
            <w:r w:rsidRPr="00CF35E4">
              <w:t>Збереження чинного регулювання</w:t>
            </w:r>
          </w:p>
        </w:tc>
        <w:tc>
          <w:tcPr>
            <w:tcW w:w="4485" w:type="dxa"/>
          </w:tcPr>
          <w:p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rsidR="00330363" w:rsidRPr="00CF35E4" w:rsidRDefault="005D3B10" w:rsidP="00D20A10">
            <w:pPr>
              <w:pStyle w:val="21"/>
              <w:spacing w:after="0" w:line="240" w:lineRule="auto"/>
            </w:pPr>
            <w:r w:rsidRPr="00CF35E4">
              <w:t>Відсутні.</w:t>
            </w:r>
          </w:p>
        </w:tc>
      </w:tr>
      <w:tr w:rsidR="00AE4E72" w:rsidRPr="00CF35E4" w:rsidTr="00CF35E4">
        <w:tc>
          <w:tcPr>
            <w:tcW w:w="2915" w:type="dxa"/>
          </w:tcPr>
          <w:p w:rsidR="00AE4E72" w:rsidRPr="00CF35E4" w:rsidRDefault="00AE4E72" w:rsidP="00AE4E72">
            <w:pPr>
              <w:pStyle w:val="21"/>
              <w:spacing w:after="0" w:line="240" w:lineRule="auto"/>
              <w:jc w:val="both"/>
              <w:rPr>
                <w:b/>
              </w:rPr>
            </w:pPr>
            <w:r w:rsidRPr="00CF35E4">
              <w:rPr>
                <w:b/>
              </w:rPr>
              <w:t>Альтернатива 2</w:t>
            </w:r>
          </w:p>
          <w:p w:rsidR="00AE4E72" w:rsidRPr="00CF35E4" w:rsidRDefault="00CE0DE8" w:rsidP="0066606E">
            <w:pPr>
              <w:pStyle w:val="21"/>
              <w:spacing w:after="0" w:line="240" w:lineRule="auto"/>
            </w:pPr>
            <w:r w:rsidRPr="00CF35E4">
              <w:t xml:space="preserve">Прийняття нового регуляторного </w:t>
            </w:r>
            <w:proofErr w:type="spellStart"/>
            <w:r w:rsidRPr="00CF35E4">
              <w:t>акта</w:t>
            </w:r>
            <w:proofErr w:type="spellEnd"/>
          </w:p>
        </w:tc>
        <w:tc>
          <w:tcPr>
            <w:tcW w:w="4485" w:type="dxa"/>
          </w:tcPr>
          <w:p w:rsidR="00AE4E72" w:rsidRPr="00CF35E4" w:rsidRDefault="00AE4E72" w:rsidP="00AE4E72">
            <w:pPr>
              <w:pStyle w:val="21"/>
              <w:spacing w:after="0" w:line="240" w:lineRule="auto"/>
              <w:jc w:val="both"/>
            </w:pPr>
            <w:r w:rsidRPr="00CF35E4">
              <w:t>Відсутні</w:t>
            </w:r>
            <w:r w:rsidR="0085193E" w:rsidRPr="00CF35E4">
              <w:t>.</w:t>
            </w:r>
          </w:p>
        </w:tc>
        <w:tc>
          <w:tcPr>
            <w:tcW w:w="1985" w:type="dxa"/>
          </w:tcPr>
          <w:p w:rsidR="00AE4E72" w:rsidRPr="00CF35E4" w:rsidRDefault="005D3B10" w:rsidP="00AE4E72">
            <w:pPr>
              <w:pStyle w:val="21"/>
              <w:spacing w:after="0" w:line="240" w:lineRule="auto"/>
            </w:pPr>
            <w:r w:rsidRPr="00CF35E4">
              <w:t>Відсутні.</w:t>
            </w:r>
          </w:p>
        </w:tc>
      </w:tr>
      <w:tr w:rsidR="00AE4E72" w:rsidRPr="00CF35E4" w:rsidTr="00CF35E4">
        <w:tc>
          <w:tcPr>
            <w:tcW w:w="2915" w:type="dxa"/>
          </w:tcPr>
          <w:p w:rsidR="00AE4E72" w:rsidRPr="00CF35E4" w:rsidRDefault="00AE4E72" w:rsidP="00AE4E72">
            <w:pPr>
              <w:pStyle w:val="21"/>
              <w:spacing w:after="0" w:line="240" w:lineRule="auto"/>
              <w:jc w:val="both"/>
              <w:rPr>
                <w:b/>
              </w:rPr>
            </w:pPr>
            <w:r w:rsidRPr="00CF35E4">
              <w:rPr>
                <w:b/>
              </w:rPr>
              <w:t>Альтернатива 3</w:t>
            </w:r>
          </w:p>
          <w:p w:rsidR="00AE4E72" w:rsidRPr="00CF35E4" w:rsidRDefault="00CE0DE8" w:rsidP="0066606E">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485" w:type="dxa"/>
          </w:tcPr>
          <w:p w:rsidR="00251C40" w:rsidRPr="00CF35E4" w:rsidRDefault="005D2D4E" w:rsidP="00750235">
            <w:pPr>
              <w:rPr>
                <w:lang w:val="uk-UA"/>
              </w:rPr>
            </w:pPr>
            <w:proofErr w:type="spellStart"/>
            <w:r w:rsidRPr="00CF35E4">
              <w:t>Відсутні</w:t>
            </w:r>
            <w:proofErr w:type="spellEnd"/>
            <w:r w:rsidRPr="00CF35E4">
              <w:t>.</w:t>
            </w:r>
            <w:r w:rsidR="00750235">
              <w:rPr>
                <w:lang w:val="uk-UA"/>
              </w:rPr>
              <w:t>.</w:t>
            </w:r>
          </w:p>
        </w:tc>
        <w:tc>
          <w:tcPr>
            <w:tcW w:w="1985" w:type="dxa"/>
          </w:tcPr>
          <w:p w:rsidR="00AE4E72" w:rsidRPr="00CF35E4" w:rsidRDefault="00AE4E72" w:rsidP="00AE4E72">
            <w:pPr>
              <w:pStyle w:val="21"/>
              <w:spacing w:after="0" w:line="240" w:lineRule="auto"/>
              <w:jc w:val="both"/>
            </w:pPr>
            <w:r w:rsidRPr="00CF35E4">
              <w:t>Відсутні</w:t>
            </w:r>
            <w:r w:rsidR="001B3E00" w:rsidRPr="00CF35E4">
              <w:t>.</w:t>
            </w:r>
          </w:p>
        </w:tc>
      </w:tr>
    </w:tbl>
    <w:p w:rsidR="00B63360" w:rsidRPr="00CF35E4" w:rsidRDefault="00B63360" w:rsidP="00B63360">
      <w:pPr>
        <w:pStyle w:val="a5"/>
        <w:spacing w:after="0"/>
        <w:ind w:left="1069"/>
        <w:jc w:val="both"/>
      </w:pPr>
    </w:p>
    <w:p w:rsidR="00C918F0" w:rsidRPr="00503794" w:rsidRDefault="00C918F0" w:rsidP="0007200E">
      <w:pPr>
        <w:pStyle w:val="a5"/>
        <w:numPr>
          <w:ilvl w:val="0"/>
          <w:numId w:val="2"/>
        </w:numPr>
        <w:spacing w:after="0"/>
        <w:jc w:val="both"/>
        <w:rPr>
          <w:sz w:val="26"/>
          <w:szCs w:val="26"/>
        </w:rPr>
      </w:pPr>
      <w:r w:rsidRPr="00503794">
        <w:rPr>
          <w:sz w:val="26"/>
          <w:szCs w:val="26"/>
        </w:rPr>
        <w:t>Оцінка впл</w:t>
      </w:r>
      <w:r w:rsidR="0007200E" w:rsidRPr="00503794">
        <w:rPr>
          <w:sz w:val="26"/>
          <w:szCs w:val="26"/>
        </w:rPr>
        <w:t>иву на сферу інтересів громадян:</w:t>
      </w:r>
    </w:p>
    <w:p w:rsidR="00C918F0" w:rsidRPr="00CF35E4" w:rsidRDefault="00C918F0" w:rsidP="00C918F0">
      <w:pPr>
        <w:pStyle w:val="a5"/>
        <w:spacing w:after="0"/>
        <w:ind w:left="0"/>
        <w:jc w:val="both"/>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4491"/>
        <w:gridCol w:w="1985"/>
      </w:tblGrid>
      <w:tr w:rsidR="00C918F0" w:rsidRPr="00CF35E4" w:rsidTr="00CF35E4">
        <w:trPr>
          <w:trHeight w:val="496"/>
        </w:trPr>
        <w:tc>
          <w:tcPr>
            <w:tcW w:w="2909" w:type="dxa"/>
            <w:vAlign w:val="center"/>
          </w:tcPr>
          <w:p w:rsidR="00C918F0" w:rsidRPr="00CF35E4" w:rsidRDefault="00C918F0" w:rsidP="001F27E5">
            <w:pPr>
              <w:pStyle w:val="21"/>
              <w:spacing w:after="0" w:line="240" w:lineRule="auto"/>
              <w:jc w:val="center"/>
              <w:rPr>
                <w:b/>
              </w:rPr>
            </w:pPr>
            <w:r w:rsidRPr="00CF35E4">
              <w:rPr>
                <w:b/>
              </w:rPr>
              <w:t>Вид альтернативи</w:t>
            </w:r>
          </w:p>
        </w:tc>
        <w:tc>
          <w:tcPr>
            <w:tcW w:w="4491" w:type="dxa"/>
            <w:vAlign w:val="center"/>
          </w:tcPr>
          <w:p w:rsidR="00C918F0" w:rsidRPr="00CF35E4" w:rsidRDefault="00C918F0" w:rsidP="001F27E5">
            <w:pPr>
              <w:pStyle w:val="21"/>
              <w:spacing w:after="0" w:line="240" w:lineRule="auto"/>
              <w:jc w:val="center"/>
              <w:rPr>
                <w:b/>
              </w:rPr>
            </w:pPr>
            <w:r w:rsidRPr="00CF35E4">
              <w:rPr>
                <w:b/>
              </w:rPr>
              <w:t>Вигоди</w:t>
            </w:r>
          </w:p>
        </w:tc>
        <w:tc>
          <w:tcPr>
            <w:tcW w:w="1985" w:type="dxa"/>
            <w:vAlign w:val="center"/>
          </w:tcPr>
          <w:p w:rsidR="00C918F0" w:rsidRPr="00CF35E4" w:rsidRDefault="00C918F0" w:rsidP="001F27E5">
            <w:pPr>
              <w:pStyle w:val="21"/>
              <w:spacing w:after="0" w:line="240" w:lineRule="auto"/>
              <w:jc w:val="center"/>
              <w:rPr>
                <w:b/>
              </w:rPr>
            </w:pPr>
            <w:r w:rsidRPr="00CF35E4">
              <w:rPr>
                <w:b/>
              </w:rPr>
              <w:t>Витрати</w:t>
            </w:r>
          </w:p>
        </w:tc>
      </w:tr>
      <w:tr w:rsidR="00330363" w:rsidRPr="00CF35E4" w:rsidTr="00CF35E4">
        <w:tc>
          <w:tcPr>
            <w:tcW w:w="2909" w:type="dxa"/>
          </w:tcPr>
          <w:p w:rsidR="00330363" w:rsidRPr="00CF35E4" w:rsidRDefault="00330363" w:rsidP="001F27E5">
            <w:pPr>
              <w:pStyle w:val="21"/>
              <w:spacing w:after="0" w:line="240" w:lineRule="auto"/>
              <w:jc w:val="both"/>
              <w:rPr>
                <w:b/>
              </w:rPr>
            </w:pPr>
            <w:r w:rsidRPr="00CF35E4">
              <w:rPr>
                <w:b/>
              </w:rPr>
              <w:lastRenderedPageBreak/>
              <w:t>Альтернатива 1</w:t>
            </w:r>
          </w:p>
          <w:p w:rsidR="00330363" w:rsidRPr="00CF35E4" w:rsidRDefault="00330363" w:rsidP="0066606E">
            <w:pPr>
              <w:pStyle w:val="21"/>
              <w:spacing w:after="0" w:line="240" w:lineRule="auto"/>
            </w:pPr>
            <w:r w:rsidRPr="00CF35E4">
              <w:t>Збереження чинного регулювання</w:t>
            </w:r>
          </w:p>
        </w:tc>
        <w:tc>
          <w:tcPr>
            <w:tcW w:w="4491" w:type="dxa"/>
          </w:tcPr>
          <w:p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rsidR="00330363" w:rsidRPr="00CF35E4" w:rsidRDefault="00CE0DE8" w:rsidP="00320ED9">
            <w:pPr>
              <w:pStyle w:val="21"/>
              <w:spacing w:after="0" w:line="240" w:lineRule="auto"/>
            </w:pPr>
            <w:r w:rsidRPr="00CF35E4">
              <w:t>Відсутні.</w:t>
            </w:r>
          </w:p>
        </w:tc>
      </w:tr>
      <w:tr w:rsidR="00330363" w:rsidRPr="00CF35E4" w:rsidTr="00CF35E4">
        <w:tc>
          <w:tcPr>
            <w:tcW w:w="2909" w:type="dxa"/>
          </w:tcPr>
          <w:p w:rsidR="00330363" w:rsidRPr="00CF35E4" w:rsidRDefault="00330363" w:rsidP="001F27E5">
            <w:pPr>
              <w:pStyle w:val="21"/>
              <w:spacing w:after="0" w:line="240" w:lineRule="auto"/>
              <w:jc w:val="both"/>
              <w:rPr>
                <w:b/>
              </w:rPr>
            </w:pPr>
            <w:r w:rsidRPr="00CF35E4">
              <w:rPr>
                <w:b/>
              </w:rPr>
              <w:t>Альтернатива 2</w:t>
            </w:r>
          </w:p>
          <w:p w:rsidR="005D6D50" w:rsidRPr="00CF35E4" w:rsidRDefault="00CE0DE8" w:rsidP="00B63360">
            <w:pPr>
              <w:pStyle w:val="21"/>
              <w:spacing w:after="0" w:line="240" w:lineRule="auto"/>
              <w:rPr>
                <w:b/>
              </w:rPr>
            </w:pPr>
            <w:r w:rsidRPr="00CF35E4">
              <w:t xml:space="preserve">Прийняття нового регуляторного </w:t>
            </w:r>
            <w:proofErr w:type="spellStart"/>
            <w:r w:rsidRPr="00CF35E4">
              <w:t>акта</w:t>
            </w:r>
            <w:proofErr w:type="spellEnd"/>
          </w:p>
        </w:tc>
        <w:tc>
          <w:tcPr>
            <w:tcW w:w="4491" w:type="dxa"/>
          </w:tcPr>
          <w:p w:rsidR="00330363" w:rsidRPr="00CF35E4" w:rsidRDefault="0007200E" w:rsidP="001F27E5">
            <w:pPr>
              <w:pStyle w:val="21"/>
              <w:spacing w:after="0" w:line="240" w:lineRule="auto"/>
              <w:jc w:val="both"/>
            </w:pPr>
            <w:r w:rsidRPr="00CF35E4">
              <w:t>Відсутні</w:t>
            </w:r>
            <w:r w:rsidR="0085193E" w:rsidRPr="00CF35E4">
              <w:t>.</w:t>
            </w:r>
          </w:p>
        </w:tc>
        <w:tc>
          <w:tcPr>
            <w:tcW w:w="1985" w:type="dxa"/>
          </w:tcPr>
          <w:p w:rsidR="00330363" w:rsidRPr="00CF35E4" w:rsidRDefault="00CE0DE8" w:rsidP="00320ED9">
            <w:pPr>
              <w:overflowPunct w:val="0"/>
              <w:autoSpaceDE w:val="0"/>
              <w:autoSpaceDN w:val="0"/>
              <w:adjustRightInd w:val="0"/>
              <w:textAlignment w:val="baseline"/>
              <w:rPr>
                <w:lang w:val="uk-UA"/>
              </w:rPr>
            </w:pPr>
            <w:r w:rsidRPr="00CF35E4">
              <w:rPr>
                <w:lang w:val="uk-UA"/>
              </w:rPr>
              <w:t>Відсутні.</w:t>
            </w:r>
          </w:p>
        </w:tc>
      </w:tr>
      <w:tr w:rsidR="00330363" w:rsidRPr="00CF35E4" w:rsidTr="00CF35E4">
        <w:tc>
          <w:tcPr>
            <w:tcW w:w="2909" w:type="dxa"/>
          </w:tcPr>
          <w:p w:rsidR="00330363" w:rsidRPr="00CF35E4" w:rsidRDefault="0007200E" w:rsidP="001F27E5">
            <w:pPr>
              <w:pStyle w:val="21"/>
              <w:spacing w:after="0" w:line="240" w:lineRule="auto"/>
              <w:jc w:val="both"/>
              <w:rPr>
                <w:b/>
              </w:rPr>
            </w:pPr>
            <w:r w:rsidRPr="00CF35E4">
              <w:rPr>
                <w:b/>
              </w:rPr>
              <w:t>А</w:t>
            </w:r>
            <w:r w:rsidR="00330363" w:rsidRPr="00CF35E4">
              <w:rPr>
                <w:b/>
              </w:rPr>
              <w:t>льтернатива 3</w:t>
            </w:r>
          </w:p>
          <w:p w:rsidR="00330363" w:rsidRPr="00CF35E4" w:rsidRDefault="00CE0DE8" w:rsidP="0066606E">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491" w:type="dxa"/>
          </w:tcPr>
          <w:p w:rsidR="00963B75" w:rsidRPr="00CF35E4" w:rsidRDefault="005D2D4E" w:rsidP="00750235">
            <w:pPr>
              <w:overflowPunct w:val="0"/>
              <w:autoSpaceDE w:val="0"/>
              <w:autoSpaceDN w:val="0"/>
              <w:adjustRightInd w:val="0"/>
              <w:textAlignment w:val="baseline"/>
              <w:rPr>
                <w:lang w:val="uk-UA"/>
              </w:rPr>
            </w:pPr>
            <w:proofErr w:type="spellStart"/>
            <w:r w:rsidRPr="00CF35E4">
              <w:t>Відсутні</w:t>
            </w:r>
            <w:proofErr w:type="spellEnd"/>
            <w:r w:rsidRPr="00CF35E4">
              <w:t>.</w:t>
            </w:r>
          </w:p>
        </w:tc>
        <w:tc>
          <w:tcPr>
            <w:tcW w:w="1985" w:type="dxa"/>
          </w:tcPr>
          <w:p w:rsidR="00330363" w:rsidRPr="00CF35E4" w:rsidRDefault="005D2D4E" w:rsidP="00320ED9">
            <w:pPr>
              <w:overflowPunct w:val="0"/>
              <w:autoSpaceDE w:val="0"/>
              <w:autoSpaceDN w:val="0"/>
              <w:adjustRightInd w:val="0"/>
              <w:textAlignment w:val="baseline"/>
              <w:rPr>
                <w:lang w:val="uk-UA"/>
              </w:rPr>
            </w:pPr>
            <w:proofErr w:type="spellStart"/>
            <w:r w:rsidRPr="00CF35E4">
              <w:t>Відсутні</w:t>
            </w:r>
            <w:proofErr w:type="spellEnd"/>
            <w:r w:rsidRPr="00CF35E4">
              <w:t>.</w:t>
            </w:r>
            <w:r w:rsidR="0085193E" w:rsidRPr="00CF35E4">
              <w:rPr>
                <w:lang w:val="uk-UA"/>
              </w:rPr>
              <w:t>.</w:t>
            </w:r>
          </w:p>
        </w:tc>
      </w:tr>
    </w:tbl>
    <w:p w:rsidR="00C918F0" w:rsidRDefault="00C918F0" w:rsidP="00C918F0">
      <w:pPr>
        <w:pStyle w:val="a5"/>
        <w:spacing w:after="0"/>
        <w:ind w:left="0"/>
        <w:jc w:val="both"/>
        <w:rPr>
          <w:sz w:val="26"/>
          <w:szCs w:val="26"/>
        </w:rPr>
      </w:pPr>
    </w:p>
    <w:p w:rsidR="00CF35E4" w:rsidRDefault="00CF35E4" w:rsidP="00C918F0">
      <w:pPr>
        <w:pStyle w:val="a5"/>
        <w:spacing w:after="0"/>
        <w:ind w:left="0"/>
        <w:jc w:val="both"/>
        <w:rPr>
          <w:sz w:val="26"/>
          <w:szCs w:val="26"/>
        </w:rPr>
      </w:pPr>
    </w:p>
    <w:p w:rsidR="00CF35E4" w:rsidRDefault="00CF35E4" w:rsidP="00C918F0">
      <w:pPr>
        <w:pStyle w:val="a5"/>
        <w:spacing w:after="0"/>
        <w:ind w:left="0"/>
        <w:jc w:val="both"/>
        <w:rPr>
          <w:sz w:val="26"/>
          <w:szCs w:val="26"/>
        </w:rPr>
      </w:pPr>
    </w:p>
    <w:p w:rsidR="00CF35E4" w:rsidRDefault="00CF35E4" w:rsidP="00C918F0">
      <w:pPr>
        <w:pStyle w:val="a5"/>
        <w:spacing w:after="0"/>
        <w:ind w:left="0"/>
        <w:jc w:val="both"/>
        <w:rPr>
          <w:sz w:val="26"/>
          <w:szCs w:val="26"/>
        </w:rPr>
      </w:pPr>
    </w:p>
    <w:p w:rsidR="00C918F0" w:rsidRPr="00503794" w:rsidRDefault="00C918F0" w:rsidP="0007200E">
      <w:pPr>
        <w:pStyle w:val="a5"/>
        <w:numPr>
          <w:ilvl w:val="0"/>
          <w:numId w:val="2"/>
        </w:numPr>
        <w:spacing w:after="0"/>
        <w:jc w:val="both"/>
        <w:rPr>
          <w:sz w:val="26"/>
          <w:szCs w:val="26"/>
        </w:rPr>
      </w:pPr>
      <w:r w:rsidRPr="00503794">
        <w:rPr>
          <w:sz w:val="26"/>
          <w:szCs w:val="26"/>
        </w:rPr>
        <w:t>Оцінка впливу на сферу інт</w:t>
      </w:r>
      <w:r w:rsidR="00633DCD" w:rsidRPr="00503794">
        <w:rPr>
          <w:sz w:val="26"/>
          <w:szCs w:val="26"/>
        </w:rPr>
        <w:t>ересів суб'єктів господарювання:</w:t>
      </w:r>
    </w:p>
    <w:p w:rsidR="0007200E" w:rsidRPr="00CF35E4" w:rsidRDefault="0007200E"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2"/>
        <w:gridCol w:w="3927"/>
        <w:gridCol w:w="2187"/>
      </w:tblGrid>
      <w:tr w:rsidR="00C918F0" w:rsidRPr="00CF35E4" w:rsidTr="00251C40">
        <w:trPr>
          <w:trHeight w:val="496"/>
        </w:trPr>
        <w:tc>
          <w:tcPr>
            <w:tcW w:w="3181" w:type="dxa"/>
            <w:vAlign w:val="center"/>
          </w:tcPr>
          <w:p w:rsidR="00C918F0" w:rsidRPr="00CF35E4" w:rsidRDefault="00C918F0" w:rsidP="001F27E5">
            <w:pPr>
              <w:pStyle w:val="21"/>
              <w:spacing w:after="0" w:line="240" w:lineRule="auto"/>
              <w:jc w:val="center"/>
              <w:rPr>
                <w:b/>
              </w:rPr>
            </w:pPr>
            <w:r w:rsidRPr="00CF35E4">
              <w:br w:type="page"/>
            </w:r>
            <w:r w:rsidRPr="00CF35E4">
              <w:rPr>
                <w:b/>
              </w:rPr>
              <w:t>Вид альтернативи</w:t>
            </w:r>
          </w:p>
        </w:tc>
        <w:tc>
          <w:tcPr>
            <w:tcW w:w="4049" w:type="dxa"/>
            <w:vAlign w:val="center"/>
          </w:tcPr>
          <w:p w:rsidR="00C918F0" w:rsidRPr="00CF35E4" w:rsidRDefault="00C918F0" w:rsidP="001F27E5">
            <w:pPr>
              <w:pStyle w:val="21"/>
              <w:spacing w:after="0" w:line="240" w:lineRule="auto"/>
              <w:jc w:val="center"/>
              <w:rPr>
                <w:b/>
              </w:rPr>
            </w:pPr>
            <w:r w:rsidRPr="00CF35E4">
              <w:rPr>
                <w:b/>
              </w:rPr>
              <w:t>Вигоди</w:t>
            </w:r>
          </w:p>
        </w:tc>
        <w:tc>
          <w:tcPr>
            <w:tcW w:w="2232" w:type="dxa"/>
            <w:vAlign w:val="center"/>
          </w:tcPr>
          <w:p w:rsidR="00C918F0" w:rsidRPr="00CF35E4" w:rsidRDefault="00C918F0" w:rsidP="001F27E5">
            <w:pPr>
              <w:pStyle w:val="21"/>
              <w:spacing w:after="0" w:line="240" w:lineRule="auto"/>
              <w:jc w:val="center"/>
              <w:rPr>
                <w:b/>
              </w:rPr>
            </w:pPr>
            <w:r w:rsidRPr="00CF35E4">
              <w:rPr>
                <w:b/>
              </w:rPr>
              <w:t>Витрати</w:t>
            </w:r>
          </w:p>
        </w:tc>
      </w:tr>
      <w:tr w:rsidR="001C6DC1" w:rsidRPr="00CF35E4" w:rsidTr="00251C40">
        <w:tc>
          <w:tcPr>
            <w:tcW w:w="3181" w:type="dxa"/>
          </w:tcPr>
          <w:p w:rsidR="001C6DC1" w:rsidRPr="00CF35E4" w:rsidRDefault="001C6DC1" w:rsidP="00283A88">
            <w:pPr>
              <w:pStyle w:val="21"/>
              <w:spacing w:after="0" w:line="240" w:lineRule="auto"/>
              <w:rPr>
                <w:b/>
              </w:rPr>
            </w:pPr>
            <w:r w:rsidRPr="00CF35E4">
              <w:rPr>
                <w:b/>
              </w:rPr>
              <w:t>Альтернатива 1</w:t>
            </w:r>
          </w:p>
          <w:p w:rsidR="001C6DC1" w:rsidRPr="00CF35E4" w:rsidRDefault="0007200E" w:rsidP="00283A88">
            <w:pPr>
              <w:pStyle w:val="21"/>
              <w:spacing w:after="0" w:line="240" w:lineRule="auto"/>
            </w:pPr>
            <w:r w:rsidRPr="00CF35E4">
              <w:t>Збереження чинного регулювання</w:t>
            </w:r>
            <w:r w:rsidR="00AD33D3" w:rsidRPr="00CF35E4">
              <w:t>.</w:t>
            </w:r>
          </w:p>
        </w:tc>
        <w:tc>
          <w:tcPr>
            <w:tcW w:w="4049" w:type="dxa"/>
          </w:tcPr>
          <w:p w:rsidR="001C6DC1" w:rsidRPr="00CF35E4" w:rsidRDefault="0007200E" w:rsidP="001F27E5">
            <w:pPr>
              <w:pStyle w:val="21"/>
              <w:spacing w:after="0" w:line="240" w:lineRule="auto"/>
              <w:jc w:val="both"/>
            </w:pPr>
            <w:r w:rsidRPr="00CF35E4">
              <w:t>Відсутні</w:t>
            </w:r>
            <w:r w:rsidR="0085193E" w:rsidRPr="00CF35E4">
              <w:t>.</w:t>
            </w:r>
          </w:p>
        </w:tc>
        <w:tc>
          <w:tcPr>
            <w:tcW w:w="2232" w:type="dxa"/>
          </w:tcPr>
          <w:p w:rsidR="001C6DC1" w:rsidRPr="00CF35E4" w:rsidRDefault="00D053DC" w:rsidP="00980923">
            <w:pPr>
              <w:pStyle w:val="21"/>
              <w:spacing w:after="0" w:line="240" w:lineRule="auto"/>
            </w:pPr>
            <w:r w:rsidRPr="00CF35E4">
              <w:t>Відсутні.</w:t>
            </w:r>
          </w:p>
        </w:tc>
      </w:tr>
      <w:tr w:rsidR="00276984" w:rsidRPr="00CF35E4" w:rsidTr="00251C40">
        <w:tc>
          <w:tcPr>
            <w:tcW w:w="3181" w:type="dxa"/>
          </w:tcPr>
          <w:p w:rsidR="00276984" w:rsidRPr="00CF35E4" w:rsidRDefault="00276984" w:rsidP="00283A88">
            <w:pPr>
              <w:pStyle w:val="21"/>
              <w:spacing w:after="0" w:line="240" w:lineRule="auto"/>
              <w:rPr>
                <w:b/>
              </w:rPr>
            </w:pPr>
            <w:r w:rsidRPr="00CF35E4">
              <w:rPr>
                <w:b/>
              </w:rPr>
              <w:t>Альтернатива 2</w:t>
            </w:r>
          </w:p>
          <w:p w:rsidR="00276984" w:rsidRPr="00CF35E4" w:rsidRDefault="00D053DC" w:rsidP="00283A88">
            <w:pPr>
              <w:pStyle w:val="21"/>
              <w:spacing w:after="0" w:line="240" w:lineRule="auto"/>
              <w:rPr>
                <w:b/>
              </w:rPr>
            </w:pPr>
            <w:r w:rsidRPr="00CF35E4">
              <w:t xml:space="preserve">Прийняття нового регуляторного </w:t>
            </w:r>
            <w:proofErr w:type="spellStart"/>
            <w:r w:rsidRPr="00CF35E4">
              <w:t>акта</w:t>
            </w:r>
            <w:proofErr w:type="spellEnd"/>
            <w:r w:rsidR="00AD33D3" w:rsidRPr="00CF35E4">
              <w:t>.</w:t>
            </w:r>
          </w:p>
        </w:tc>
        <w:tc>
          <w:tcPr>
            <w:tcW w:w="4049" w:type="dxa"/>
          </w:tcPr>
          <w:p w:rsidR="00276984" w:rsidRPr="00CF35E4" w:rsidRDefault="00276984" w:rsidP="001F27E5">
            <w:pPr>
              <w:pStyle w:val="21"/>
              <w:spacing w:after="0" w:line="240" w:lineRule="auto"/>
              <w:jc w:val="both"/>
            </w:pPr>
            <w:r w:rsidRPr="00CF35E4">
              <w:t>Відсутні</w:t>
            </w:r>
            <w:r w:rsidR="0085193E" w:rsidRPr="00CF35E4">
              <w:t>.</w:t>
            </w:r>
          </w:p>
        </w:tc>
        <w:tc>
          <w:tcPr>
            <w:tcW w:w="2232" w:type="dxa"/>
          </w:tcPr>
          <w:p w:rsidR="00276984" w:rsidRPr="00CF35E4" w:rsidRDefault="00D053DC" w:rsidP="0039071F">
            <w:pPr>
              <w:pStyle w:val="21"/>
              <w:spacing w:after="0" w:line="240" w:lineRule="auto"/>
              <w:jc w:val="both"/>
            </w:pPr>
            <w:r w:rsidRPr="00CF35E4">
              <w:t>Відсутні.</w:t>
            </w:r>
          </w:p>
        </w:tc>
      </w:tr>
      <w:tr w:rsidR="001C6DC1" w:rsidRPr="00CF35E4" w:rsidTr="00251C40">
        <w:tc>
          <w:tcPr>
            <w:tcW w:w="3181" w:type="dxa"/>
          </w:tcPr>
          <w:p w:rsidR="001C6DC1" w:rsidRPr="00CF35E4" w:rsidRDefault="0007200E" w:rsidP="00283A88">
            <w:pPr>
              <w:pStyle w:val="21"/>
              <w:spacing w:after="0" w:line="240" w:lineRule="auto"/>
              <w:rPr>
                <w:b/>
              </w:rPr>
            </w:pPr>
            <w:r w:rsidRPr="00CF35E4">
              <w:rPr>
                <w:b/>
              </w:rPr>
              <w:t>А</w:t>
            </w:r>
            <w:r w:rsidR="001C6DC1" w:rsidRPr="00CF35E4">
              <w:rPr>
                <w:b/>
              </w:rPr>
              <w:t>льтернатива 3</w:t>
            </w:r>
          </w:p>
          <w:p w:rsidR="001C6DC1" w:rsidRPr="00CF35E4" w:rsidRDefault="00D053DC" w:rsidP="00283A88">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049" w:type="dxa"/>
          </w:tcPr>
          <w:p w:rsidR="001C6DC1" w:rsidRPr="00CF35E4" w:rsidRDefault="005D2D4E" w:rsidP="00750235">
            <w:pPr>
              <w:overflowPunct w:val="0"/>
              <w:autoSpaceDE w:val="0"/>
              <w:autoSpaceDN w:val="0"/>
              <w:adjustRightInd w:val="0"/>
              <w:textAlignment w:val="baseline"/>
              <w:rPr>
                <w:lang w:val="uk-UA"/>
              </w:rPr>
            </w:pPr>
            <w:proofErr w:type="spellStart"/>
            <w:r w:rsidRPr="00CF35E4">
              <w:t>Відсутні</w:t>
            </w:r>
            <w:proofErr w:type="spellEnd"/>
            <w:r w:rsidRPr="00CF35E4">
              <w:t>.</w:t>
            </w:r>
          </w:p>
        </w:tc>
        <w:tc>
          <w:tcPr>
            <w:tcW w:w="2232" w:type="dxa"/>
          </w:tcPr>
          <w:p w:rsidR="001C6DC1" w:rsidRPr="00CF35E4" w:rsidRDefault="005D2D4E" w:rsidP="00320ED9">
            <w:pPr>
              <w:overflowPunct w:val="0"/>
              <w:autoSpaceDE w:val="0"/>
              <w:autoSpaceDN w:val="0"/>
              <w:adjustRightInd w:val="0"/>
              <w:textAlignment w:val="baseline"/>
              <w:rPr>
                <w:lang w:val="uk-UA"/>
              </w:rPr>
            </w:pPr>
            <w:proofErr w:type="spellStart"/>
            <w:r w:rsidRPr="00CF35E4">
              <w:t>Відсутні</w:t>
            </w:r>
            <w:proofErr w:type="spellEnd"/>
            <w:r w:rsidRPr="00CF35E4">
              <w:t>.</w:t>
            </w:r>
          </w:p>
        </w:tc>
      </w:tr>
    </w:tbl>
    <w:p w:rsidR="00E95445" w:rsidRPr="00503794" w:rsidRDefault="00E95445" w:rsidP="00C918F0">
      <w:pPr>
        <w:pStyle w:val="a5"/>
        <w:spacing w:after="0"/>
        <w:ind w:left="0" w:firstLine="709"/>
        <w:jc w:val="both"/>
        <w:rPr>
          <w:b/>
          <w:sz w:val="26"/>
          <w:szCs w:val="26"/>
        </w:rPr>
      </w:pPr>
    </w:p>
    <w:p w:rsidR="00C918F0" w:rsidRPr="00503794" w:rsidRDefault="00C918F0" w:rsidP="00914C8A">
      <w:pPr>
        <w:pStyle w:val="a5"/>
        <w:spacing w:after="0"/>
        <w:ind w:left="0"/>
        <w:jc w:val="center"/>
        <w:rPr>
          <w:b/>
          <w:spacing w:val="-6"/>
          <w:sz w:val="26"/>
          <w:szCs w:val="26"/>
        </w:rPr>
      </w:pPr>
      <w:r w:rsidRPr="00503794">
        <w:rPr>
          <w:b/>
          <w:spacing w:val="-6"/>
          <w:sz w:val="26"/>
          <w:szCs w:val="26"/>
        </w:rPr>
        <w:t xml:space="preserve">ІV. Вибір найбільш оптимального альтернативного способу досягнення </w:t>
      </w:r>
      <w:r w:rsidR="00914C8A" w:rsidRPr="00503794">
        <w:rPr>
          <w:b/>
          <w:spacing w:val="-6"/>
          <w:sz w:val="26"/>
          <w:szCs w:val="26"/>
        </w:rPr>
        <w:t>цілей</w:t>
      </w:r>
    </w:p>
    <w:p w:rsidR="00C918F0" w:rsidRPr="00503794" w:rsidRDefault="00C918F0" w:rsidP="00C918F0">
      <w:pPr>
        <w:pStyle w:val="a5"/>
        <w:spacing w:after="0"/>
        <w:ind w:left="0"/>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2523"/>
        <w:gridCol w:w="3520"/>
      </w:tblGrid>
      <w:tr w:rsidR="00C918F0" w:rsidRPr="00CF35E4" w:rsidTr="00774DD2">
        <w:trPr>
          <w:trHeight w:val="985"/>
        </w:trPr>
        <w:tc>
          <w:tcPr>
            <w:tcW w:w="3261" w:type="dxa"/>
            <w:tcBorders>
              <w:top w:val="outset" w:sz="6" w:space="0" w:color="auto"/>
              <w:left w:val="outset" w:sz="6" w:space="0" w:color="auto"/>
              <w:bottom w:val="outset" w:sz="6" w:space="0" w:color="auto"/>
              <w:right w:val="outset" w:sz="6" w:space="0" w:color="auto"/>
            </w:tcBorders>
            <w:vAlign w:val="center"/>
          </w:tcPr>
          <w:p w:rsidR="00C918F0" w:rsidRPr="00CF35E4" w:rsidRDefault="00C918F0" w:rsidP="001F27E5">
            <w:pPr>
              <w:pStyle w:val="a3"/>
              <w:spacing w:before="0" w:beforeAutospacing="0" w:after="0" w:afterAutospacing="0"/>
              <w:jc w:val="center"/>
              <w:rPr>
                <w:b/>
                <w:lang w:val="uk-UA"/>
              </w:rPr>
            </w:pPr>
            <w:r w:rsidRPr="00CF35E4">
              <w:rPr>
                <w:b/>
                <w:lang w:val="uk-UA"/>
              </w:rPr>
              <w:t>Рейтинг результативності (досягнення цілей під час вирішення проблеми)</w:t>
            </w:r>
          </w:p>
        </w:tc>
        <w:tc>
          <w:tcPr>
            <w:tcW w:w="2551" w:type="dxa"/>
            <w:tcBorders>
              <w:top w:val="outset" w:sz="6" w:space="0" w:color="auto"/>
              <w:left w:val="outset" w:sz="6" w:space="0" w:color="auto"/>
              <w:bottom w:val="outset" w:sz="6" w:space="0" w:color="auto"/>
              <w:right w:val="outset" w:sz="6" w:space="0" w:color="auto"/>
            </w:tcBorders>
            <w:vAlign w:val="center"/>
          </w:tcPr>
          <w:p w:rsidR="00C918F0" w:rsidRPr="00CF35E4" w:rsidRDefault="00C918F0" w:rsidP="001F27E5">
            <w:pPr>
              <w:pStyle w:val="a3"/>
              <w:spacing w:before="0" w:beforeAutospacing="0" w:after="0" w:afterAutospacing="0"/>
              <w:jc w:val="center"/>
              <w:rPr>
                <w:b/>
                <w:lang w:val="uk-UA"/>
              </w:rPr>
            </w:pPr>
            <w:r w:rsidRPr="00CF35E4">
              <w:rPr>
                <w:b/>
                <w:lang w:val="uk-UA"/>
              </w:rPr>
              <w:t>Бал результативності</w:t>
            </w:r>
          </w:p>
          <w:p w:rsidR="00C918F0" w:rsidRPr="00CF35E4" w:rsidRDefault="00C918F0" w:rsidP="001F27E5">
            <w:pPr>
              <w:pStyle w:val="a3"/>
              <w:spacing w:before="0" w:beforeAutospacing="0" w:after="0" w:afterAutospacing="0"/>
              <w:jc w:val="center"/>
              <w:rPr>
                <w:b/>
                <w:lang w:val="uk-UA"/>
              </w:rPr>
            </w:pPr>
            <w:r w:rsidRPr="00CF35E4">
              <w:rPr>
                <w:b/>
                <w:lang w:val="uk-UA"/>
              </w:rPr>
              <w:t>(за чотирибальною системою оцінки)</w:t>
            </w:r>
          </w:p>
        </w:tc>
        <w:tc>
          <w:tcPr>
            <w:tcW w:w="3650" w:type="dxa"/>
            <w:tcBorders>
              <w:top w:val="outset" w:sz="6" w:space="0" w:color="auto"/>
              <w:left w:val="outset" w:sz="6" w:space="0" w:color="auto"/>
              <w:bottom w:val="outset" w:sz="6" w:space="0" w:color="auto"/>
              <w:right w:val="outset" w:sz="6" w:space="0" w:color="auto"/>
            </w:tcBorders>
            <w:vAlign w:val="center"/>
          </w:tcPr>
          <w:p w:rsidR="00C918F0" w:rsidRPr="00CF35E4" w:rsidRDefault="00C918F0" w:rsidP="001F27E5">
            <w:pPr>
              <w:pStyle w:val="a3"/>
              <w:spacing w:before="0" w:beforeAutospacing="0" w:after="0" w:afterAutospacing="0"/>
              <w:jc w:val="center"/>
              <w:rPr>
                <w:b/>
                <w:lang w:val="uk-UA"/>
              </w:rPr>
            </w:pPr>
            <w:r w:rsidRPr="00CF35E4">
              <w:rPr>
                <w:b/>
                <w:lang w:val="uk-UA"/>
              </w:rPr>
              <w:t xml:space="preserve">Коментарі щодо присвоєння відповідного </w:t>
            </w:r>
            <w:proofErr w:type="spellStart"/>
            <w:r w:rsidRPr="00CF35E4">
              <w:rPr>
                <w:b/>
                <w:lang w:val="uk-UA"/>
              </w:rPr>
              <w:t>бала</w:t>
            </w:r>
            <w:proofErr w:type="spellEnd"/>
          </w:p>
        </w:tc>
      </w:tr>
      <w:tr w:rsidR="00BC053E" w:rsidRPr="00CF35E4" w:rsidTr="00982FA3">
        <w:tc>
          <w:tcPr>
            <w:tcW w:w="3261" w:type="dxa"/>
          </w:tcPr>
          <w:p w:rsidR="00BC053E" w:rsidRPr="00CF35E4" w:rsidRDefault="00BC053E" w:rsidP="00E71CB2">
            <w:pPr>
              <w:pStyle w:val="21"/>
              <w:spacing w:after="0" w:line="240" w:lineRule="auto"/>
              <w:jc w:val="both"/>
              <w:rPr>
                <w:b/>
              </w:rPr>
            </w:pPr>
            <w:r w:rsidRPr="00CF35E4">
              <w:rPr>
                <w:b/>
              </w:rPr>
              <w:t>Альтернатива 1</w:t>
            </w:r>
          </w:p>
          <w:p w:rsidR="00BC053E" w:rsidRPr="00CF35E4" w:rsidRDefault="0007200E" w:rsidP="00EC0CCB">
            <w:pPr>
              <w:pStyle w:val="21"/>
              <w:spacing w:after="0" w:line="240" w:lineRule="auto"/>
            </w:pPr>
            <w:r w:rsidRPr="00CF35E4">
              <w:t>Збереження чинного регулювання</w:t>
            </w:r>
          </w:p>
        </w:tc>
        <w:tc>
          <w:tcPr>
            <w:tcW w:w="2551" w:type="dxa"/>
          </w:tcPr>
          <w:p w:rsidR="00BC053E" w:rsidRPr="00CF35E4" w:rsidRDefault="00CA5B01" w:rsidP="001F27E5">
            <w:pPr>
              <w:jc w:val="center"/>
              <w:rPr>
                <w:lang w:val="uk-UA"/>
              </w:rPr>
            </w:pPr>
            <w:r w:rsidRPr="00CF35E4">
              <w:rPr>
                <w:lang w:val="uk-UA"/>
              </w:rPr>
              <w:t>1</w:t>
            </w:r>
          </w:p>
        </w:tc>
        <w:tc>
          <w:tcPr>
            <w:tcW w:w="3650" w:type="dxa"/>
          </w:tcPr>
          <w:p w:rsidR="00BC053E" w:rsidRPr="00CF35E4" w:rsidRDefault="00547777" w:rsidP="00320ED9">
            <w:pPr>
              <w:rPr>
                <w:lang w:val="uk-UA"/>
              </w:rPr>
            </w:pPr>
            <w:r>
              <w:rPr>
                <w:lang w:val="uk-UA"/>
              </w:rPr>
              <w:t>Можливе виникнення правової колізії</w:t>
            </w:r>
            <w:r w:rsidR="00FD101A" w:rsidRPr="00CF35E4">
              <w:rPr>
                <w:lang w:val="uk-UA"/>
              </w:rPr>
              <w:t>.</w:t>
            </w:r>
          </w:p>
        </w:tc>
      </w:tr>
      <w:tr w:rsidR="00BC053E" w:rsidRPr="00CF35E4" w:rsidTr="00982FA3">
        <w:tc>
          <w:tcPr>
            <w:tcW w:w="3261" w:type="dxa"/>
          </w:tcPr>
          <w:p w:rsidR="00BC053E" w:rsidRPr="00CF35E4" w:rsidRDefault="00BC053E" w:rsidP="00E71CB2">
            <w:pPr>
              <w:pStyle w:val="21"/>
              <w:spacing w:after="0" w:line="240" w:lineRule="auto"/>
              <w:jc w:val="both"/>
              <w:rPr>
                <w:b/>
              </w:rPr>
            </w:pPr>
            <w:r w:rsidRPr="00CF35E4">
              <w:rPr>
                <w:b/>
              </w:rPr>
              <w:t>Альтернатива 2</w:t>
            </w:r>
          </w:p>
          <w:p w:rsidR="00BC053E" w:rsidRPr="00CF35E4" w:rsidRDefault="00AD33D3" w:rsidP="00EC0CCB">
            <w:pPr>
              <w:pStyle w:val="21"/>
              <w:spacing w:after="0" w:line="240" w:lineRule="auto"/>
              <w:rPr>
                <w:b/>
              </w:rPr>
            </w:pPr>
            <w:r w:rsidRPr="00CF35E4">
              <w:t xml:space="preserve">Прийняття нового регуляторного </w:t>
            </w:r>
            <w:proofErr w:type="spellStart"/>
            <w:r w:rsidRPr="00CF35E4">
              <w:t>акта</w:t>
            </w:r>
            <w:proofErr w:type="spellEnd"/>
          </w:p>
        </w:tc>
        <w:tc>
          <w:tcPr>
            <w:tcW w:w="2551" w:type="dxa"/>
          </w:tcPr>
          <w:p w:rsidR="00BC053E" w:rsidRPr="00CF35E4" w:rsidRDefault="00CA5B01" w:rsidP="001F27E5">
            <w:pPr>
              <w:jc w:val="center"/>
              <w:rPr>
                <w:lang w:val="uk-UA"/>
              </w:rPr>
            </w:pPr>
            <w:r w:rsidRPr="00CF35E4">
              <w:rPr>
                <w:lang w:val="uk-UA"/>
              </w:rPr>
              <w:t>2</w:t>
            </w:r>
          </w:p>
        </w:tc>
        <w:tc>
          <w:tcPr>
            <w:tcW w:w="3650" w:type="dxa"/>
          </w:tcPr>
          <w:p w:rsidR="00BC053E" w:rsidRPr="00CF35E4" w:rsidRDefault="005D2D4E" w:rsidP="00320ED9">
            <w:pPr>
              <w:rPr>
                <w:lang w:val="uk-UA"/>
              </w:rPr>
            </w:pPr>
            <w:r>
              <w:rPr>
                <w:lang w:val="uk-UA"/>
              </w:rPr>
              <w:t xml:space="preserve">Передбачено у змінах до Методики </w:t>
            </w:r>
            <w:r w:rsidR="000C1AC6">
              <w:rPr>
                <w:bCs/>
                <w:sz w:val="26"/>
                <w:szCs w:val="26"/>
                <w:lang w:val="uk-UA"/>
              </w:rPr>
              <w:t>1381</w:t>
            </w:r>
          </w:p>
        </w:tc>
      </w:tr>
      <w:tr w:rsidR="00BC053E" w:rsidRPr="005D2D4E" w:rsidTr="00982FA3">
        <w:tc>
          <w:tcPr>
            <w:tcW w:w="3261" w:type="dxa"/>
          </w:tcPr>
          <w:p w:rsidR="00BC053E" w:rsidRPr="00CF35E4" w:rsidRDefault="0007200E" w:rsidP="00E71CB2">
            <w:pPr>
              <w:pStyle w:val="21"/>
              <w:spacing w:after="0" w:line="240" w:lineRule="auto"/>
              <w:jc w:val="both"/>
              <w:rPr>
                <w:b/>
              </w:rPr>
            </w:pPr>
            <w:r w:rsidRPr="00CF35E4">
              <w:rPr>
                <w:b/>
              </w:rPr>
              <w:t>Обрана а</w:t>
            </w:r>
            <w:r w:rsidR="00BC053E" w:rsidRPr="00CF35E4">
              <w:rPr>
                <w:b/>
              </w:rPr>
              <w:t>льтернатива 3</w:t>
            </w:r>
          </w:p>
          <w:p w:rsidR="00AD33D3" w:rsidRPr="00CF35E4" w:rsidRDefault="00AD33D3" w:rsidP="00EC0CCB">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2551" w:type="dxa"/>
          </w:tcPr>
          <w:p w:rsidR="00BC053E" w:rsidRPr="00CF35E4" w:rsidRDefault="00BC053E" w:rsidP="001F27E5">
            <w:pPr>
              <w:jc w:val="center"/>
              <w:rPr>
                <w:lang w:val="uk-UA"/>
              </w:rPr>
            </w:pPr>
            <w:r w:rsidRPr="00CF35E4">
              <w:rPr>
                <w:lang w:val="uk-UA"/>
              </w:rPr>
              <w:t>4</w:t>
            </w:r>
          </w:p>
        </w:tc>
        <w:tc>
          <w:tcPr>
            <w:tcW w:w="3650" w:type="dxa"/>
          </w:tcPr>
          <w:p w:rsidR="00B07F14" w:rsidRPr="00CF35E4" w:rsidRDefault="005D2D4E" w:rsidP="00750235">
            <w:pPr>
              <w:jc w:val="both"/>
              <w:rPr>
                <w:lang w:val="uk-UA"/>
              </w:rPr>
            </w:pPr>
            <w:r w:rsidRPr="00CF35E4">
              <w:rPr>
                <w:lang w:val="uk-UA"/>
              </w:rPr>
              <w:t xml:space="preserve">Внесення змін до </w:t>
            </w:r>
            <w:r w:rsidRPr="00747C37">
              <w:rPr>
                <w:lang w:val="uk-UA"/>
              </w:rPr>
              <w:t>Методики</w:t>
            </w:r>
            <w:r>
              <w:rPr>
                <w:lang w:val="uk-UA"/>
              </w:rPr>
              <w:t xml:space="preserve"> 1618</w:t>
            </w:r>
            <w:r w:rsidRPr="00CF35E4">
              <w:rPr>
                <w:lang w:val="uk-UA"/>
              </w:rPr>
              <w:t xml:space="preserve"> </w:t>
            </w:r>
            <w:r>
              <w:rPr>
                <w:lang w:val="uk-UA"/>
              </w:rPr>
              <w:t xml:space="preserve">не </w:t>
            </w:r>
            <w:r w:rsidRPr="00CF35E4">
              <w:rPr>
                <w:lang w:val="uk-UA"/>
              </w:rPr>
              <w:t>запровадить</w:t>
            </w:r>
            <w:r>
              <w:rPr>
                <w:lang w:val="uk-UA"/>
              </w:rPr>
              <w:t xml:space="preserve"> чіткий</w:t>
            </w:r>
            <w:r w:rsidRPr="0068053F">
              <w:rPr>
                <w:lang w:val="uk-UA"/>
              </w:rPr>
              <w:t xml:space="preserve"> підхід</w:t>
            </w:r>
            <w:r w:rsidRPr="00CF35E4">
              <w:rPr>
                <w:lang w:val="uk-UA"/>
              </w:rPr>
              <w:t xml:space="preserve"> до </w:t>
            </w:r>
            <w:r w:rsidRPr="00747C37">
              <w:rPr>
                <w:lang w:val="uk-UA"/>
              </w:rPr>
              <w:t>механізму формування плати за надані ОСР послуги комерційного обліку електричної енергії на території здійснення його ліцензованої діяльності</w:t>
            </w:r>
            <w:r w:rsidRPr="00CF35E4">
              <w:rPr>
                <w:lang w:val="uk-UA"/>
              </w:rPr>
              <w:t>.</w:t>
            </w:r>
          </w:p>
        </w:tc>
      </w:tr>
    </w:tbl>
    <w:p w:rsidR="00C918F0" w:rsidRPr="00CF35E4" w:rsidRDefault="00C918F0" w:rsidP="00C918F0">
      <w:pPr>
        <w:pStyle w:val="a5"/>
        <w:spacing w:after="0"/>
        <w:ind w:left="0"/>
        <w:jc w:val="both"/>
      </w:pPr>
    </w:p>
    <w:p w:rsidR="00EC0CCB" w:rsidRPr="00CF35E4" w:rsidRDefault="00EC0CCB"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9"/>
        <w:gridCol w:w="1919"/>
        <w:gridCol w:w="1851"/>
        <w:gridCol w:w="3087"/>
      </w:tblGrid>
      <w:tr w:rsidR="00C918F0" w:rsidRPr="00CF35E4" w:rsidTr="00547777">
        <w:tc>
          <w:tcPr>
            <w:tcW w:w="2379" w:type="dxa"/>
            <w:vAlign w:val="center"/>
          </w:tcPr>
          <w:p w:rsidR="00C918F0" w:rsidRPr="00CF35E4" w:rsidRDefault="00C918F0" w:rsidP="001F27E5">
            <w:pPr>
              <w:pStyle w:val="a3"/>
              <w:jc w:val="center"/>
              <w:rPr>
                <w:b/>
                <w:lang w:val="uk-UA"/>
              </w:rPr>
            </w:pPr>
            <w:r w:rsidRPr="00CF35E4">
              <w:rPr>
                <w:lang w:val="uk-UA"/>
              </w:rPr>
              <w:br w:type="page"/>
            </w:r>
            <w:r w:rsidRPr="00CF35E4">
              <w:rPr>
                <w:b/>
                <w:lang w:val="uk-UA"/>
              </w:rPr>
              <w:t>Рейтинг результативності</w:t>
            </w:r>
          </w:p>
        </w:tc>
        <w:tc>
          <w:tcPr>
            <w:tcW w:w="1919" w:type="dxa"/>
            <w:vAlign w:val="center"/>
          </w:tcPr>
          <w:p w:rsidR="00C918F0" w:rsidRPr="00CF35E4" w:rsidRDefault="00C918F0" w:rsidP="001F27E5">
            <w:pPr>
              <w:pStyle w:val="a3"/>
              <w:jc w:val="center"/>
              <w:rPr>
                <w:b/>
                <w:lang w:val="uk-UA"/>
              </w:rPr>
            </w:pPr>
            <w:r w:rsidRPr="00CF35E4">
              <w:rPr>
                <w:b/>
                <w:lang w:val="uk-UA"/>
              </w:rPr>
              <w:t>Вигоди (підсумок)</w:t>
            </w:r>
          </w:p>
        </w:tc>
        <w:tc>
          <w:tcPr>
            <w:tcW w:w="1851" w:type="dxa"/>
            <w:vAlign w:val="center"/>
          </w:tcPr>
          <w:p w:rsidR="00C918F0" w:rsidRPr="00CF35E4" w:rsidRDefault="00C918F0" w:rsidP="001F27E5">
            <w:pPr>
              <w:pStyle w:val="a3"/>
              <w:jc w:val="center"/>
              <w:rPr>
                <w:b/>
                <w:lang w:val="uk-UA"/>
              </w:rPr>
            </w:pPr>
            <w:r w:rsidRPr="00CF35E4">
              <w:rPr>
                <w:b/>
                <w:lang w:val="uk-UA"/>
              </w:rPr>
              <w:t>Витрати (підсумок)</w:t>
            </w:r>
          </w:p>
        </w:tc>
        <w:tc>
          <w:tcPr>
            <w:tcW w:w="3087" w:type="dxa"/>
            <w:vAlign w:val="center"/>
          </w:tcPr>
          <w:p w:rsidR="00C918F0" w:rsidRPr="00CF35E4" w:rsidRDefault="00C918F0" w:rsidP="001F27E5">
            <w:pPr>
              <w:pStyle w:val="a3"/>
              <w:jc w:val="center"/>
              <w:rPr>
                <w:b/>
                <w:lang w:val="uk-UA"/>
              </w:rPr>
            </w:pPr>
            <w:r w:rsidRPr="00CF35E4">
              <w:rPr>
                <w:b/>
                <w:lang w:val="uk-UA"/>
              </w:rPr>
              <w:t>Обґрунтування відповідного місця альтернативи у рейтингу</w:t>
            </w:r>
          </w:p>
        </w:tc>
      </w:tr>
      <w:tr w:rsidR="00547777" w:rsidRPr="00CF35E4" w:rsidTr="00547777">
        <w:trPr>
          <w:trHeight w:val="1002"/>
        </w:trPr>
        <w:tc>
          <w:tcPr>
            <w:tcW w:w="2379" w:type="dxa"/>
          </w:tcPr>
          <w:p w:rsidR="00547777" w:rsidRPr="00CF35E4" w:rsidRDefault="00547777" w:rsidP="00547777">
            <w:pPr>
              <w:pStyle w:val="21"/>
              <w:spacing w:after="0" w:line="240" w:lineRule="auto"/>
              <w:jc w:val="both"/>
              <w:rPr>
                <w:b/>
              </w:rPr>
            </w:pPr>
            <w:r w:rsidRPr="00CF35E4">
              <w:rPr>
                <w:b/>
              </w:rPr>
              <w:lastRenderedPageBreak/>
              <w:t>Альтернатива 1</w:t>
            </w:r>
          </w:p>
          <w:p w:rsidR="00547777" w:rsidRPr="00CF35E4" w:rsidRDefault="00547777" w:rsidP="00547777">
            <w:pPr>
              <w:pStyle w:val="21"/>
              <w:spacing w:after="0" w:line="240" w:lineRule="auto"/>
            </w:pPr>
            <w:r w:rsidRPr="00CF35E4">
              <w:t>Збереження чинного регулювання</w:t>
            </w:r>
          </w:p>
        </w:tc>
        <w:tc>
          <w:tcPr>
            <w:tcW w:w="1919" w:type="dxa"/>
          </w:tcPr>
          <w:p w:rsidR="00547777" w:rsidRPr="00CF35E4" w:rsidRDefault="00547777" w:rsidP="00547777">
            <w:pPr>
              <w:rPr>
                <w:lang w:val="uk-UA"/>
              </w:rPr>
            </w:pPr>
            <w:r w:rsidRPr="00CF35E4">
              <w:rPr>
                <w:lang w:val="uk-UA"/>
              </w:rPr>
              <w:t>Відсутні.</w:t>
            </w:r>
          </w:p>
        </w:tc>
        <w:tc>
          <w:tcPr>
            <w:tcW w:w="1851" w:type="dxa"/>
          </w:tcPr>
          <w:p w:rsidR="00547777" w:rsidRPr="00CF35E4" w:rsidRDefault="00547777" w:rsidP="00547777">
            <w:pPr>
              <w:jc w:val="both"/>
              <w:rPr>
                <w:lang w:val="uk-UA"/>
              </w:rPr>
            </w:pPr>
            <w:r>
              <w:rPr>
                <w:lang w:val="uk-UA"/>
              </w:rPr>
              <w:t>Наявні</w:t>
            </w:r>
            <w:r w:rsidRPr="00CF35E4">
              <w:rPr>
                <w:lang w:val="uk-UA"/>
              </w:rPr>
              <w:t>.</w:t>
            </w:r>
          </w:p>
        </w:tc>
        <w:tc>
          <w:tcPr>
            <w:tcW w:w="3087" w:type="dxa"/>
          </w:tcPr>
          <w:p w:rsidR="00547777" w:rsidRPr="00CF35E4" w:rsidRDefault="00547777" w:rsidP="00547777">
            <w:pPr>
              <w:rPr>
                <w:lang w:val="uk-UA"/>
              </w:rPr>
            </w:pPr>
            <w:r>
              <w:rPr>
                <w:lang w:val="uk-UA"/>
              </w:rPr>
              <w:t>Можливе виникнення правової колізії</w:t>
            </w:r>
            <w:r w:rsidRPr="00CF35E4">
              <w:rPr>
                <w:lang w:val="uk-UA"/>
              </w:rPr>
              <w:t>.</w:t>
            </w:r>
          </w:p>
        </w:tc>
      </w:tr>
      <w:tr w:rsidR="00547777" w:rsidRPr="00CF35E4" w:rsidTr="00547777">
        <w:tc>
          <w:tcPr>
            <w:tcW w:w="2379" w:type="dxa"/>
          </w:tcPr>
          <w:p w:rsidR="00547777" w:rsidRPr="00CF35E4" w:rsidRDefault="00547777" w:rsidP="00547777">
            <w:pPr>
              <w:pStyle w:val="21"/>
              <w:spacing w:after="0" w:line="240" w:lineRule="auto"/>
              <w:jc w:val="both"/>
              <w:rPr>
                <w:b/>
              </w:rPr>
            </w:pPr>
            <w:r w:rsidRPr="00CF35E4">
              <w:rPr>
                <w:b/>
              </w:rPr>
              <w:t>Альтернатива 2</w:t>
            </w:r>
          </w:p>
          <w:p w:rsidR="00547777" w:rsidRPr="00CF35E4" w:rsidRDefault="00547777" w:rsidP="00547777">
            <w:pPr>
              <w:pStyle w:val="21"/>
              <w:spacing w:after="0" w:line="240" w:lineRule="auto"/>
              <w:rPr>
                <w:b/>
              </w:rPr>
            </w:pPr>
            <w:r w:rsidRPr="00CF35E4">
              <w:t xml:space="preserve">Прийняття нового регуляторного </w:t>
            </w:r>
            <w:proofErr w:type="spellStart"/>
            <w:r w:rsidRPr="00CF35E4">
              <w:t>акта</w:t>
            </w:r>
            <w:proofErr w:type="spellEnd"/>
          </w:p>
        </w:tc>
        <w:tc>
          <w:tcPr>
            <w:tcW w:w="1919" w:type="dxa"/>
          </w:tcPr>
          <w:p w:rsidR="00547777" w:rsidRPr="00CF35E4" w:rsidRDefault="00547777" w:rsidP="00547777">
            <w:pPr>
              <w:pStyle w:val="21"/>
              <w:spacing w:after="0" w:line="240" w:lineRule="auto"/>
              <w:jc w:val="both"/>
            </w:pPr>
            <w:r w:rsidRPr="00CF35E4">
              <w:t>Відсутні.</w:t>
            </w:r>
          </w:p>
        </w:tc>
        <w:tc>
          <w:tcPr>
            <w:tcW w:w="1851" w:type="dxa"/>
          </w:tcPr>
          <w:p w:rsidR="00547777" w:rsidRPr="00CF35E4" w:rsidRDefault="00547777" w:rsidP="00547777">
            <w:pPr>
              <w:pStyle w:val="21"/>
              <w:spacing w:after="0" w:line="240" w:lineRule="auto"/>
              <w:jc w:val="both"/>
            </w:pPr>
            <w:r w:rsidRPr="00CF35E4">
              <w:t>Відсутні.</w:t>
            </w:r>
          </w:p>
        </w:tc>
        <w:tc>
          <w:tcPr>
            <w:tcW w:w="3087" w:type="dxa"/>
          </w:tcPr>
          <w:p w:rsidR="00547777" w:rsidRPr="00CF35E4" w:rsidRDefault="00547777" w:rsidP="00547777">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Pr="00CF35E4">
              <w:rPr>
                <w:lang w:val="uk-UA"/>
              </w:rPr>
              <w:t xml:space="preserve">. </w:t>
            </w:r>
          </w:p>
        </w:tc>
      </w:tr>
      <w:tr w:rsidR="00547777" w:rsidRPr="005D2D4E" w:rsidTr="00547777">
        <w:tc>
          <w:tcPr>
            <w:tcW w:w="2379" w:type="dxa"/>
          </w:tcPr>
          <w:p w:rsidR="00547777" w:rsidRPr="00CF35E4" w:rsidRDefault="00547777" w:rsidP="00547777">
            <w:pPr>
              <w:pStyle w:val="21"/>
              <w:spacing w:after="0" w:line="240" w:lineRule="auto"/>
              <w:jc w:val="both"/>
              <w:rPr>
                <w:b/>
              </w:rPr>
            </w:pPr>
            <w:r w:rsidRPr="00CF35E4">
              <w:rPr>
                <w:b/>
              </w:rPr>
              <w:t>Обрана альтернатива 3</w:t>
            </w:r>
          </w:p>
          <w:p w:rsidR="00547777" w:rsidRPr="00CF35E4" w:rsidRDefault="00547777" w:rsidP="00547777">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1919" w:type="dxa"/>
          </w:tcPr>
          <w:p w:rsidR="00547777" w:rsidRPr="00CF35E4" w:rsidRDefault="00547777" w:rsidP="00547777">
            <w:pPr>
              <w:rPr>
                <w:lang w:val="uk-UA"/>
              </w:rPr>
            </w:pPr>
            <w:proofErr w:type="spellStart"/>
            <w:r w:rsidRPr="00CF35E4">
              <w:t>Відсутні</w:t>
            </w:r>
            <w:proofErr w:type="spellEnd"/>
            <w:r w:rsidRPr="00CF35E4">
              <w:t>.</w:t>
            </w:r>
          </w:p>
        </w:tc>
        <w:tc>
          <w:tcPr>
            <w:tcW w:w="1851" w:type="dxa"/>
          </w:tcPr>
          <w:p w:rsidR="00547777" w:rsidRPr="00CF35E4" w:rsidRDefault="00547777" w:rsidP="00547777">
            <w:pPr>
              <w:rPr>
                <w:lang w:val="uk-UA"/>
              </w:rPr>
            </w:pPr>
            <w:r w:rsidRPr="00CF35E4">
              <w:rPr>
                <w:lang w:val="uk-UA"/>
              </w:rPr>
              <w:t>Відсутні.</w:t>
            </w:r>
          </w:p>
        </w:tc>
        <w:tc>
          <w:tcPr>
            <w:tcW w:w="3087" w:type="dxa"/>
            <w:shd w:val="clear" w:color="auto" w:fill="auto"/>
          </w:tcPr>
          <w:p w:rsidR="00547777" w:rsidRPr="00CF35E4" w:rsidRDefault="00547777" w:rsidP="00547777">
            <w:pPr>
              <w:jc w:val="both"/>
              <w:rPr>
                <w:lang w:val="uk-UA"/>
              </w:rPr>
            </w:pPr>
            <w:r w:rsidRPr="00CF35E4">
              <w:rPr>
                <w:lang w:val="uk-UA"/>
              </w:rPr>
              <w:t xml:space="preserve">Внесення змін до </w:t>
            </w:r>
            <w:r w:rsidRPr="00747C37">
              <w:rPr>
                <w:lang w:val="uk-UA"/>
              </w:rPr>
              <w:t>Методики</w:t>
            </w:r>
            <w:r>
              <w:rPr>
                <w:lang w:val="uk-UA"/>
              </w:rPr>
              <w:t xml:space="preserve"> 1618</w:t>
            </w:r>
            <w:r w:rsidRPr="00CF35E4">
              <w:rPr>
                <w:lang w:val="uk-UA"/>
              </w:rPr>
              <w:t xml:space="preserve"> </w:t>
            </w:r>
            <w:r>
              <w:rPr>
                <w:lang w:val="uk-UA"/>
              </w:rPr>
              <w:t xml:space="preserve">не </w:t>
            </w:r>
            <w:r w:rsidRPr="00CF35E4">
              <w:rPr>
                <w:lang w:val="uk-UA"/>
              </w:rPr>
              <w:t>запровадить</w:t>
            </w:r>
            <w:r>
              <w:rPr>
                <w:lang w:val="uk-UA"/>
              </w:rPr>
              <w:t xml:space="preserve"> чіткий</w:t>
            </w:r>
            <w:r w:rsidRPr="0068053F">
              <w:rPr>
                <w:lang w:val="uk-UA"/>
              </w:rPr>
              <w:t xml:space="preserve"> підхід</w:t>
            </w:r>
            <w:r w:rsidRPr="00CF35E4">
              <w:rPr>
                <w:lang w:val="uk-UA"/>
              </w:rPr>
              <w:t xml:space="preserve"> до </w:t>
            </w:r>
            <w:r w:rsidRPr="00747C37">
              <w:rPr>
                <w:lang w:val="uk-UA"/>
              </w:rPr>
              <w:t>механізму формування плати за надані ОСР послуги комерційного обліку електричної енергії на території здійснення його ліцензованої діяльності</w:t>
            </w:r>
            <w:r w:rsidRPr="00CF35E4">
              <w:rPr>
                <w:lang w:val="uk-UA"/>
              </w:rPr>
              <w:t>.</w:t>
            </w:r>
          </w:p>
        </w:tc>
      </w:tr>
    </w:tbl>
    <w:p w:rsidR="0077128A" w:rsidRPr="00CF35E4" w:rsidRDefault="0077128A" w:rsidP="00C918F0">
      <w:pPr>
        <w:pStyle w:val="a5"/>
        <w:spacing w:after="0"/>
        <w:ind w:left="0"/>
        <w:jc w:val="both"/>
      </w:pPr>
    </w:p>
    <w:p w:rsidR="00FF02B0" w:rsidRPr="00CF35E4" w:rsidRDefault="00FF02B0" w:rsidP="00C918F0">
      <w:pPr>
        <w:pStyle w:val="a5"/>
        <w:spacing w:after="0"/>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4003"/>
        <w:gridCol w:w="2624"/>
      </w:tblGrid>
      <w:tr w:rsidR="00C918F0" w:rsidRPr="00CF35E4" w:rsidTr="00547777">
        <w:tc>
          <w:tcPr>
            <w:tcW w:w="2609" w:type="dxa"/>
            <w:vAlign w:val="center"/>
          </w:tcPr>
          <w:p w:rsidR="00C918F0" w:rsidRPr="00CF35E4" w:rsidRDefault="00C918F0" w:rsidP="001F27E5">
            <w:pPr>
              <w:pStyle w:val="a3"/>
              <w:jc w:val="center"/>
              <w:rPr>
                <w:b/>
                <w:lang w:val="uk-UA"/>
              </w:rPr>
            </w:pPr>
            <w:r w:rsidRPr="00CF35E4">
              <w:rPr>
                <w:b/>
                <w:lang w:val="uk-UA"/>
              </w:rPr>
              <w:t>Рейтинг</w:t>
            </w:r>
          </w:p>
        </w:tc>
        <w:tc>
          <w:tcPr>
            <w:tcW w:w="4003" w:type="dxa"/>
            <w:vAlign w:val="center"/>
          </w:tcPr>
          <w:p w:rsidR="00C918F0" w:rsidRPr="00CF35E4" w:rsidRDefault="00C918F0" w:rsidP="001F27E5">
            <w:pPr>
              <w:pStyle w:val="a3"/>
              <w:jc w:val="center"/>
              <w:rPr>
                <w:b/>
                <w:lang w:val="uk-UA"/>
              </w:rPr>
            </w:pPr>
            <w:r w:rsidRPr="00CF35E4">
              <w:rPr>
                <w:b/>
                <w:lang w:val="uk-UA"/>
              </w:rPr>
              <w:t>Аргументи щодо переваги обраної альтернативи / причини відмови від альтернативи</w:t>
            </w:r>
          </w:p>
        </w:tc>
        <w:tc>
          <w:tcPr>
            <w:tcW w:w="2624" w:type="dxa"/>
            <w:vAlign w:val="center"/>
          </w:tcPr>
          <w:p w:rsidR="00DE2961" w:rsidRPr="00CF35E4" w:rsidRDefault="00C918F0" w:rsidP="00DE2961">
            <w:pPr>
              <w:pStyle w:val="a3"/>
              <w:jc w:val="center"/>
              <w:rPr>
                <w:b/>
                <w:lang w:val="uk-UA"/>
              </w:rPr>
            </w:pPr>
            <w:r w:rsidRPr="00CF35E4">
              <w:rPr>
                <w:b/>
                <w:lang w:val="uk-UA"/>
              </w:rPr>
              <w:t xml:space="preserve">Оцінка ризику зовнішніх чинників на дію запропонованого регуляторного </w:t>
            </w:r>
            <w:proofErr w:type="spellStart"/>
            <w:r w:rsidRPr="00CF35E4">
              <w:rPr>
                <w:b/>
                <w:lang w:val="uk-UA"/>
              </w:rPr>
              <w:t>акта</w:t>
            </w:r>
            <w:proofErr w:type="spellEnd"/>
          </w:p>
        </w:tc>
      </w:tr>
      <w:tr w:rsidR="00547777" w:rsidRPr="00CF35E4" w:rsidTr="00547777">
        <w:tc>
          <w:tcPr>
            <w:tcW w:w="2609" w:type="dxa"/>
          </w:tcPr>
          <w:p w:rsidR="00547777" w:rsidRPr="00CF35E4" w:rsidRDefault="00547777" w:rsidP="00547777">
            <w:pPr>
              <w:pStyle w:val="21"/>
              <w:spacing w:after="0" w:line="240" w:lineRule="auto"/>
              <w:jc w:val="both"/>
              <w:rPr>
                <w:b/>
              </w:rPr>
            </w:pPr>
            <w:r w:rsidRPr="00CF35E4">
              <w:rPr>
                <w:b/>
              </w:rPr>
              <w:t>Альтернатива 1</w:t>
            </w:r>
          </w:p>
          <w:p w:rsidR="00547777" w:rsidRPr="00CF35E4" w:rsidRDefault="00547777" w:rsidP="00547777">
            <w:pPr>
              <w:pStyle w:val="21"/>
              <w:spacing w:after="0" w:line="240" w:lineRule="auto"/>
            </w:pPr>
            <w:r w:rsidRPr="00CF35E4">
              <w:t>Збереження чинного регулювання</w:t>
            </w:r>
          </w:p>
        </w:tc>
        <w:tc>
          <w:tcPr>
            <w:tcW w:w="4003" w:type="dxa"/>
            <w:shd w:val="clear" w:color="auto" w:fill="auto"/>
          </w:tcPr>
          <w:p w:rsidR="00547777" w:rsidRPr="0068053F" w:rsidRDefault="00547777" w:rsidP="00547777">
            <w:pPr>
              <w:rPr>
                <w:lang w:val="uk-UA"/>
              </w:rPr>
            </w:pPr>
            <w:r>
              <w:rPr>
                <w:lang w:val="uk-UA"/>
              </w:rPr>
              <w:t>Можливе виникнення правової колізії</w:t>
            </w:r>
            <w:r w:rsidRPr="00CF35E4">
              <w:rPr>
                <w:lang w:val="uk-UA"/>
              </w:rPr>
              <w:t>.</w:t>
            </w:r>
          </w:p>
        </w:tc>
        <w:tc>
          <w:tcPr>
            <w:tcW w:w="2624" w:type="dxa"/>
          </w:tcPr>
          <w:p w:rsidR="00547777" w:rsidRPr="00CF35E4" w:rsidRDefault="00547777" w:rsidP="00547777">
            <w:pPr>
              <w:rPr>
                <w:lang w:val="uk-UA"/>
              </w:rPr>
            </w:pPr>
            <w:r w:rsidRPr="00CF35E4">
              <w:rPr>
                <w:lang w:val="uk-UA"/>
              </w:rPr>
              <w:t>Відсутні.</w:t>
            </w:r>
          </w:p>
        </w:tc>
      </w:tr>
      <w:tr w:rsidR="00547777" w:rsidRPr="00CF35E4" w:rsidTr="00547777">
        <w:tc>
          <w:tcPr>
            <w:tcW w:w="2609" w:type="dxa"/>
          </w:tcPr>
          <w:p w:rsidR="00547777" w:rsidRPr="00CF35E4" w:rsidRDefault="00547777" w:rsidP="00547777">
            <w:pPr>
              <w:pStyle w:val="21"/>
              <w:spacing w:after="0" w:line="240" w:lineRule="auto"/>
              <w:jc w:val="both"/>
              <w:rPr>
                <w:b/>
              </w:rPr>
            </w:pPr>
            <w:r w:rsidRPr="00CF35E4">
              <w:rPr>
                <w:b/>
              </w:rPr>
              <w:t>Альтернатива 2</w:t>
            </w:r>
          </w:p>
          <w:p w:rsidR="00547777" w:rsidRPr="00CF35E4" w:rsidRDefault="00547777" w:rsidP="00547777">
            <w:pPr>
              <w:pStyle w:val="21"/>
              <w:spacing w:after="0" w:line="240" w:lineRule="auto"/>
            </w:pPr>
            <w:r w:rsidRPr="00CF35E4">
              <w:t xml:space="preserve">Прийняття нового регуляторного </w:t>
            </w:r>
            <w:proofErr w:type="spellStart"/>
            <w:r w:rsidRPr="00CF35E4">
              <w:t>акта</w:t>
            </w:r>
            <w:proofErr w:type="spellEnd"/>
          </w:p>
        </w:tc>
        <w:tc>
          <w:tcPr>
            <w:tcW w:w="4003" w:type="dxa"/>
          </w:tcPr>
          <w:p w:rsidR="00547777" w:rsidRPr="00CF35E4" w:rsidRDefault="00547777" w:rsidP="00547777">
            <w:pPr>
              <w:rPr>
                <w:lang w:val="uk-UA"/>
              </w:rPr>
            </w:pPr>
            <w:r w:rsidRPr="00CF35E4">
              <w:rPr>
                <w:lang w:val="uk-UA"/>
              </w:rPr>
              <w:t xml:space="preserve">Недоцільність прийняття нового регуляторного </w:t>
            </w:r>
            <w:proofErr w:type="spellStart"/>
            <w:r w:rsidRPr="00CF35E4">
              <w:rPr>
                <w:lang w:val="uk-UA"/>
              </w:rPr>
              <w:t>акта</w:t>
            </w:r>
            <w:proofErr w:type="spellEnd"/>
            <w:r w:rsidRPr="00CF35E4">
              <w:rPr>
                <w:lang w:val="uk-UA"/>
              </w:rPr>
              <w:t>, який буде дублювати чинний регуляторний акт.</w:t>
            </w:r>
          </w:p>
        </w:tc>
        <w:tc>
          <w:tcPr>
            <w:tcW w:w="2624" w:type="dxa"/>
          </w:tcPr>
          <w:p w:rsidR="00547777" w:rsidRPr="00CF35E4" w:rsidRDefault="00547777" w:rsidP="00547777">
            <w:pPr>
              <w:rPr>
                <w:lang w:val="uk-UA"/>
              </w:rPr>
            </w:pPr>
            <w:r w:rsidRPr="00CF35E4">
              <w:rPr>
                <w:lang w:val="uk-UA"/>
              </w:rPr>
              <w:t>Відсутні.</w:t>
            </w:r>
          </w:p>
        </w:tc>
      </w:tr>
      <w:tr w:rsidR="00547777" w:rsidRPr="00CF35E4" w:rsidTr="00547777">
        <w:tc>
          <w:tcPr>
            <w:tcW w:w="2609" w:type="dxa"/>
          </w:tcPr>
          <w:p w:rsidR="00547777" w:rsidRPr="00CF35E4" w:rsidRDefault="00547777" w:rsidP="00547777">
            <w:pPr>
              <w:pStyle w:val="21"/>
              <w:spacing w:after="0" w:line="240" w:lineRule="auto"/>
              <w:jc w:val="both"/>
              <w:rPr>
                <w:b/>
              </w:rPr>
            </w:pPr>
            <w:r w:rsidRPr="00CF35E4">
              <w:rPr>
                <w:b/>
              </w:rPr>
              <w:t xml:space="preserve">Обрана </w:t>
            </w:r>
          </w:p>
          <w:p w:rsidR="00547777" w:rsidRPr="00CF35E4" w:rsidRDefault="00547777" w:rsidP="00547777">
            <w:pPr>
              <w:pStyle w:val="21"/>
              <w:spacing w:after="0" w:line="240" w:lineRule="auto"/>
              <w:jc w:val="both"/>
              <w:rPr>
                <w:b/>
              </w:rPr>
            </w:pPr>
            <w:r w:rsidRPr="00CF35E4">
              <w:rPr>
                <w:b/>
              </w:rPr>
              <w:t>альтернатива 3</w:t>
            </w:r>
          </w:p>
          <w:p w:rsidR="00547777" w:rsidRPr="00CF35E4" w:rsidRDefault="00547777" w:rsidP="00547777">
            <w:pPr>
              <w:pStyle w:val="21"/>
              <w:spacing w:after="0" w:line="240" w:lineRule="auto"/>
            </w:pPr>
            <w:r w:rsidRPr="00CF35E4">
              <w:t xml:space="preserve">Внесення змін до чинного регуляторного </w:t>
            </w:r>
            <w:proofErr w:type="spellStart"/>
            <w:r w:rsidRPr="00CF35E4">
              <w:t>акта</w:t>
            </w:r>
            <w:proofErr w:type="spellEnd"/>
          </w:p>
        </w:tc>
        <w:tc>
          <w:tcPr>
            <w:tcW w:w="4003" w:type="dxa"/>
          </w:tcPr>
          <w:p w:rsidR="00547777" w:rsidRPr="00CF35E4" w:rsidRDefault="00547777" w:rsidP="00547777">
            <w:pPr>
              <w:jc w:val="both"/>
              <w:rPr>
                <w:lang w:val="uk-UA"/>
              </w:rPr>
            </w:pPr>
            <w:r w:rsidRPr="00CF35E4">
              <w:rPr>
                <w:lang w:val="uk-UA"/>
              </w:rPr>
              <w:t xml:space="preserve">Внесення змін до </w:t>
            </w:r>
            <w:r w:rsidRPr="00747C37">
              <w:rPr>
                <w:lang w:val="uk-UA"/>
              </w:rPr>
              <w:t>Методики</w:t>
            </w:r>
            <w:r>
              <w:rPr>
                <w:lang w:val="uk-UA"/>
              </w:rPr>
              <w:t xml:space="preserve"> 1618</w:t>
            </w:r>
            <w:r w:rsidRPr="00CF35E4">
              <w:rPr>
                <w:lang w:val="uk-UA"/>
              </w:rPr>
              <w:t xml:space="preserve"> </w:t>
            </w:r>
            <w:r>
              <w:rPr>
                <w:lang w:val="uk-UA"/>
              </w:rPr>
              <w:t xml:space="preserve">не </w:t>
            </w:r>
            <w:r w:rsidRPr="00CF35E4">
              <w:rPr>
                <w:lang w:val="uk-UA"/>
              </w:rPr>
              <w:t>запровадить</w:t>
            </w:r>
            <w:r>
              <w:rPr>
                <w:lang w:val="uk-UA"/>
              </w:rPr>
              <w:t xml:space="preserve"> чіткий</w:t>
            </w:r>
            <w:r w:rsidRPr="0068053F">
              <w:rPr>
                <w:lang w:val="uk-UA"/>
              </w:rPr>
              <w:t xml:space="preserve"> підхід</w:t>
            </w:r>
            <w:r w:rsidRPr="00CF35E4">
              <w:rPr>
                <w:lang w:val="uk-UA"/>
              </w:rPr>
              <w:t xml:space="preserve"> до </w:t>
            </w:r>
            <w:r w:rsidRPr="00747C37">
              <w:rPr>
                <w:lang w:val="uk-UA"/>
              </w:rPr>
              <w:t>механізму формування плати за надані ОСР послуги комерційного обліку електричної енергії на території здійснення його ліцензованої діяльності</w:t>
            </w:r>
            <w:r w:rsidRPr="00CF35E4">
              <w:rPr>
                <w:lang w:val="uk-UA"/>
              </w:rPr>
              <w:t>.</w:t>
            </w:r>
          </w:p>
        </w:tc>
        <w:tc>
          <w:tcPr>
            <w:tcW w:w="2624" w:type="dxa"/>
          </w:tcPr>
          <w:p w:rsidR="00547777" w:rsidRPr="00CF35E4" w:rsidRDefault="00547777" w:rsidP="00547777">
            <w:pPr>
              <w:rPr>
                <w:lang w:val="uk-UA"/>
              </w:rPr>
            </w:pPr>
            <w:r w:rsidRPr="00CF35E4">
              <w:rPr>
                <w:lang w:val="uk-UA"/>
              </w:rPr>
              <w:t>Відсутні.</w:t>
            </w:r>
          </w:p>
        </w:tc>
      </w:tr>
    </w:tbl>
    <w:p w:rsidR="00EC0CCB" w:rsidRPr="009D4B7C" w:rsidRDefault="00EC0CCB" w:rsidP="0018292F">
      <w:pPr>
        <w:pStyle w:val="a5"/>
        <w:spacing w:after="0"/>
        <w:ind w:left="0" w:firstLine="709"/>
        <w:jc w:val="both"/>
        <w:rPr>
          <w:bCs/>
        </w:rPr>
      </w:pPr>
    </w:p>
    <w:p w:rsidR="00C918F0" w:rsidRPr="00503794" w:rsidRDefault="00C918F0" w:rsidP="000677E4">
      <w:pPr>
        <w:pStyle w:val="a5"/>
        <w:spacing w:after="0"/>
        <w:ind w:left="0"/>
        <w:jc w:val="center"/>
        <w:rPr>
          <w:b/>
          <w:sz w:val="26"/>
          <w:szCs w:val="26"/>
        </w:rPr>
      </w:pPr>
      <w:r w:rsidRPr="00503794">
        <w:rPr>
          <w:b/>
          <w:sz w:val="26"/>
          <w:szCs w:val="26"/>
        </w:rPr>
        <w:t>V. Механізми та заходи, які забезпечать розв'язання визначеної проблеми</w:t>
      </w:r>
    </w:p>
    <w:p w:rsidR="0018292F" w:rsidRPr="00CF35E4" w:rsidRDefault="0018292F" w:rsidP="0018292F">
      <w:pPr>
        <w:pStyle w:val="a5"/>
        <w:spacing w:after="0"/>
        <w:ind w:left="0" w:firstLine="709"/>
        <w:jc w:val="both"/>
        <w:rPr>
          <w:b/>
        </w:rPr>
      </w:pPr>
    </w:p>
    <w:p w:rsidR="0072173E" w:rsidRPr="00D719C0" w:rsidRDefault="00C918F0" w:rsidP="0072173E">
      <w:pPr>
        <w:ind w:firstLine="708"/>
        <w:jc w:val="both"/>
        <w:rPr>
          <w:sz w:val="26"/>
          <w:szCs w:val="26"/>
          <w:lang w:val="uk-UA"/>
        </w:rPr>
      </w:pPr>
      <w:proofErr w:type="spellStart"/>
      <w:r w:rsidRPr="00D719C0">
        <w:rPr>
          <w:sz w:val="26"/>
          <w:szCs w:val="26"/>
          <w:lang w:val="uk-UA"/>
        </w:rPr>
        <w:t>Про</w:t>
      </w:r>
      <w:r w:rsidR="00651390" w:rsidRPr="00D719C0">
        <w:rPr>
          <w:sz w:val="26"/>
          <w:szCs w:val="26"/>
          <w:lang w:val="uk-UA"/>
        </w:rPr>
        <w:t>є</w:t>
      </w:r>
      <w:r w:rsidRPr="00D719C0">
        <w:rPr>
          <w:sz w:val="26"/>
          <w:szCs w:val="26"/>
          <w:lang w:val="uk-UA"/>
        </w:rPr>
        <w:t>ктом</w:t>
      </w:r>
      <w:proofErr w:type="spellEnd"/>
      <w:r w:rsidRPr="00D719C0">
        <w:rPr>
          <w:sz w:val="26"/>
          <w:szCs w:val="26"/>
          <w:lang w:val="uk-UA"/>
        </w:rPr>
        <w:t xml:space="preserve"> </w:t>
      </w:r>
      <w:r w:rsidR="00A96A97" w:rsidRPr="00D719C0">
        <w:rPr>
          <w:sz w:val="26"/>
          <w:szCs w:val="26"/>
          <w:lang w:val="uk-UA"/>
        </w:rPr>
        <w:t xml:space="preserve">постанови </w:t>
      </w:r>
      <w:r w:rsidRPr="00D719C0">
        <w:rPr>
          <w:sz w:val="26"/>
          <w:szCs w:val="26"/>
          <w:lang w:val="uk-UA"/>
        </w:rPr>
        <w:t>пропонується</w:t>
      </w:r>
      <w:r w:rsidR="00D719C0" w:rsidRPr="00D719C0">
        <w:rPr>
          <w:color w:val="000000"/>
          <w:sz w:val="26"/>
          <w:szCs w:val="26"/>
          <w:lang w:val="uk-UA"/>
        </w:rPr>
        <w:t xml:space="preserve"> визнати такою, що втратила чинність, постанови НКРЕКП </w:t>
      </w:r>
      <w:r w:rsidR="007D2E50" w:rsidRPr="007D2E50">
        <w:rPr>
          <w:color w:val="000000"/>
          <w:sz w:val="26"/>
          <w:szCs w:val="26"/>
          <w:lang w:val="uk-UA"/>
        </w:rPr>
        <w:t xml:space="preserve">від 29 грудня 2017 року </w:t>
      </w:r>
      <w:r w:rsidR="00D719C0" w:rsidRPr="00D719C0">
        <w:rPr>
          <w:color w:val="000000"/>
          <w:sz w:val="26"/>
          <w:szCs w:val="26"/>
          <w:lang w:val="uk-UA"/>
        </w:rPr>
        <w:t>№ 1618»</w:t>
      </w:r>
      <w:r w:rsidR="0016192C" w:rsidRPr="00D719C0">
        <w:rPr>
          <w:sz w:val="26"/>
          <w:szCs w:val="26"/>
          <w:lang w:val="uk-UA"/>
        </w:rPr>
        <w:t>.</w:t>
      </w:r>
    </w:p>
    <w:p w:rsidR="0072173E" w:rsidRPr="009D4B7C" w:rsidRDefault="0072173E" w:rsidP="0072173E">
      <w:pPr>
        <w:widowControl w:val="0"/>
        <w:ind w:firstLine="709"/>
        <w:jc w:val="both"/>
        <w:rPr>
          <w:sz w:val="20"/>
          <w:szCs w:val="20"/>
          <w:lang w:val="uk-UA"/>
        </w:rPr>
      </w:pPr>
    </w:p>
    <w:p w:rsidR="00C918F0" w:rsidRPr="000C1AC6" w:rsidRDefault="00C918F0" w:rsidP="00283A88">
      <w:pPr>
        <w:jc w:val="center"/>
        <w:rPr>
          <w:b/>
          <w:sz w:val="26"/>
          <w:szCs w:val="26"/>
          <w:lang w:val="uk-UA"/>
        </w:rPr>
      </w:pPr>
      <w:r w:rsidRPr="000C1AC6">
        <w:rPr>
          <w:b/>
          <w:sz w:val="26"/>
          <w:szCs w:val="26"/>
          <w:lang w:val="uk-UA"/>
        </w:rPr>
        <w:t>VI. Обґрунтування запропонованог</w:t>
      </w:r>
      <w:r w:rsidR="00283A88" w:rsidRPr="000C1AC6">
        <w:rPr>
          <w:b/>
          <w:sz w:val="26"/>
          <w:szCs w:val="26"/>
          <w:lang w:val="uk-UA"/>
        </w:rPr>
        <w:t xml:space="preserve">о строку дії регуляторного </w:t>
      </w:r>
      <w:proofErr w:type="spellStart"/>
      <w:r w:rsidR="00283A88" w:rsidRPr="000C1AC6">
        <w:rPr>
          <w:b/>
          <w:sz w:val="26"/>
          <w:szCs w:val="26"/>
          <w:lang w:val="uk-UA"/>
        </w:rPr>
        <w:t>акта</w:t>
      </w:r>
      <w:proofErr w:type="spellEnd"/>
    </w:p>
    <w:p w:rsidR="0018292F" w:rsidRPr="000C1AC6" w:rsidRDefault="0018292F" w:rsidP="00283A88">
      <w:pPr>
        <w:jc w:val="center"/>
        <w:rPr>
          <w:sz w:val="20"/>
          <w:szCs w:val="20"/>
          <w:lang w:val="uk-UA"/>
        </w:rPr>
      </w:pPr>
    </w:p>
    <w:p w:rsidR="00C918F0" w:rsidRPr="00503794" w:rsidRDefault="00C918F0" w:rsidP="00C918F0">
      <w:pPr>
        <w:ind w:firstLine="709"/>
        <w:jc w:val="both"/>
        <w:rPr>
          <w:sz w:val="26"/>
          <w:szCs w:val="26"/>
          <w:lang w:val="uk-UA"/>
        </w:rPr>
      </w:pPr>
      <w:r w:rsidRPr="000C1AC6">
        <w:rPr>
          <w:sz w:val="26"/>
          <w:szCs w:val="26"/>
          <w:lang w:val="uk-UA"/>
        </w:rPr>
        <w:t xml:space="preserve">Термін дії </w:t>
      </w:r>
      <w:proofErr w:type="spellStart"/>
      <w:r w:rsidRPr="000C1AC6">
        <w:rPr>
          <w:sz w:val="26"/>
          <w:szCs w:val="26"/>
          <w:lang w:val="uk-UA"/>
        </w:rPr>
        <w:t>акта</w:t>
      </w:r>
      <w:proofErr w:type="spellEnd"/>
      <w:r w:rsidRPr="000C1AC6">
        <w:rPr>
          <w:sz w:val="26"/>
          <w:szCs w:val="26"/>
          <w:lang w:val="uk-UA"/>
        </w:rPr>
        <w:t xml:space="preserve"> необмежений та може бути змінений у разі внесення відповідних змін до чинного законодавства.</w:t>
      </w:r>
    </w:p>
    <w:p w:rsidR="0018292F" w:rsidRDefault="0018292F" w:rsidP="00C918F0">
      <w:pPr>
        <w:ind w:firstLine="709"/>
        <w:jc w:val="both"/>
        <w:rPr>
          <w:b/>
          <w:sz w:val="20"/>
          <w:szCs w:val="20"/>
          <w:lang w:val="uk-UA"/>
        </w:rPr>
      </w:pPr>
    </w:p>
    <w:p w:rsidR="009D4B7C" w:rsidRPr="00CF35E4" w:rsidRDefault="009D4B7C" w:rsidP="00C918F0">
      <w:pPr>
        <w:ind w:firstLine="709"/>
        <w:jc w:val="both"/>
        <w:rPr>
          <w:b/>
          <w:sz w:val="20"/>
          <w:szCs w:val="20"/>
          <w:lang w:val="uk-UA"/>
        </w:rPr>
      </w:pPr>
    </w:p>
    <w:p w:rsidR="00C918F0" w:rsidRPr="00503794" w:rsidRDefault="00C918F0" w:rsidP="00283A88">
      <w:pPr>
        <w:jc w:val="center"/>
        <w:rPr>
          <w:b/>
          <w:sz w:val="26"/>
          <w:szCs w:val="26"/>
          <w:lang w:val="uk-UA"/>
        </w:rPr>
      </w:pPr>
      <w:r w:rsidRPr="00503794">
        <w:rPr>
          <w:b/>
          <w:sz w:val="26"/>
          <w:szCs w:val="26"/>
          <w:lang w:val="uk-UA"/>
        </w:rPr>
        <w:t>VII. Визначення показників результа</w:t>
      </w:r>
      <w:r w:rsidR="00283A88" w:rsidRPr="00503794">
        <w:rPr>
          <w:b/>
          <w:sz w:val="26"/>
          <w:szCs w:val="26"/>
          <w:lang w:val="uk-UA"/>
        </w:rPr>
        <w:t xml:space="preserve">тивності дії регуляторного </w:t>
      </w:r>
      <w:proofErr w:type="spellStart"/>
      <w:r w:rsidR="00283A88" w:rsidRPr="00503794">
        <w:rPr>
          <w:b/>
          <w:sz w:val="26"/>
          <w:szCs w:val="26"/>
          <w:lang w:val="uk-UA"/>
        </w:rPr>
        <w:t>акта</w:t>
      </w:r>
      <w:proofErr w:type="spellEnd"/>
    </w:p>
    <w:p w:rsidR="00455503" w:rsidRPr="009D4B7C" w:rsidRDefault="00455503" w:rsidP="00C918F0">
      <w:pPr>
        <w:ind w:firstLine="709"/>
        <w:jc w:val="both"/>
        <w:rPr>
          <w:sz w:val="20"/>
          <w:szCs w:val="20"/>
          <w:lang w:val="uk-UA"/>
        </w:rPr>
      </w:pPr>
    </w:p>
    <w:p w:rsidR="00C918F0" w:rsidRPr="002B77BF" w:rsidRDefault="00C918F0" w:rsidP="00C918F0">
      <w:pPr>
        <w:ind w:firstLine="709"/>
        <w:jc w:val="both"/>
        <w:rPr>
          <w:sz w:val="26"/>
          <w:szCs w:val="26"/>
          <w:lang w:val="uk-UA"/>
        </w:rPr>
      </w:pPr>
      <w:r w:rsidRPr="002B77BF">
        <w:rPr>
          <w:sz w:val="26"/>
          <w:szCs w:val="26"/>
          <w:lang w:val="uk-UA"/>
        </w:rPr>
        <w:t xml:space="preserve">За результатами дії регуляторного </w:t>
      </w:r>
      <w:proofErr w:type="spellStart"/>
      <w:r w:rsidRPr="002B77BF">
        <w:rPr>
          <w:sz w:val="26"/>
          <w:szCs w:val="26"/>
          <w:lang w:val="uk-UA"/>
        </w:rPr>
        <w:t>акта</w:t>
      </w:r>
      <w:proofErr w:type="spellEnd"/>
      <w:r w:rsidRPr="002B77BF">
        <w:rPr>
          <w:sz w:val="26"/>
          <w:szCs w:val="26"/>
          <w:lang w:val="uk-UA"/>
        </w:rPr>
        <w:t>:</w:t>
      </w:r>
    </w:p>
    <w:p w:rsidR="00CC2006" w:rsidRPr="00BF46CE" w:rsidRDefault="002B77BF" w:rsidP="00674E41">
      <w:pPr>
        <w:pStyle w:val="a9"/>
        <w:widowControl w:val="0"/>
        <w:spacing w:after="0"/>
        <w:ind w:firstLine="709"/>
        <w:jc w:val="both"/>
        <w:rPr>
          <w:b/>
          <w:bCs/>
          <w:sz w:val="26"/>
          <w:szCs w:val="26"/>
          <w:u w:val="single"/>
          <w:lang w:val="uk-UA"/>
        </w:rPr>
      </w:pPr>
      <w:r w:rsidRPr="002B77BF">
        <w:rPr>
          <w:sz w:val="26"/>
          <w:szCs w:val="26"/>
          <w:lang w:val="uk-UA"/>
        </w:rPr>
        <w:t xml:space="preserve">Буде забезпечено відсутність дублювання норм </w:t>
      </w:r>
      <w:r w:rsidRPr="002B77BF">
        <w:rPr>
          <w:lang w:val="uk-UA"/>
        </w:rPr>
        <w:t xml:space="preserve">чинного регуляторного </w:t>
      </w:r>
      <w:proofErr w:type="spellStart"/>
      <w:r w:rsidRPr="002B77BF">
        <w:rPr>
          <w:lang w:val="uk-UA"/>
        </w:rPr>
        <w:t>акта</w:t>
      </w:r>
      <w:proofErr w:type="spellEnd"/>
      <w:r w:rsidR="00547777">
        <w:rPr>
          <w:lang w:val="uk-UA"/>
        </w:rPr>
        <w:t xml:space="preserve"> та виникнення правової колізії</w:t>
      </w:r>
      <w:r w:rsidR="00CC2006" w:rsidRPr="002B77BF">
        <w:rPr>
          <w:sz w:val="26"/>
          <w:szCs w:val="26"/>
          <w:lang w:val="uk-UA"/>
        </w:rPr>
        <w:t>.</w:t>
      </w:r>
    </w:p>
    <w:p w:rsidR="006E650E" w:rsidRPr="00BF46CE" w:rsidRDefault="00CC2006" w:rsidP="00674E41">
      <w:pPr>
        <w:pStyle w:val="a9"/>
        <w:widowControl w:val="0"/>
        <w:spacing w:after="0"/>
        <w:ind w:firstLine="709"/>
        <w:jc w:val="both"/>
        <w:rPr>
          <w:bCs/>
          <w:color w:val="000000"/>
          <w:sz w:val="26"/>
          <w:szCs w:val="26"/>
          <w:lang w:val="uk-UA"/>
        </w:rPr>
      </w:pPr>
      <w:r w:rsidRPr="00BF46CE">
        <w:rPr>
          <w:bCs/>
          <w:sz w:val="26"/>
          <w:szCs w:val="26"/>
          <w:lang w:val="uk-UA"/>
        </w:rPr>
        <w:lastRenderedPageBreak/>
        <w:t xml:space="preserve">Відповідно до </w:t>
      </w:r>
      <w:r w:rsidR="00B739AD" w:rsidRPr="00BF46CE">
        <w:rPr>
          <w:bCs/>
          <w:sz w:val="26"/>
          <w:szCs w:val="26"/>
          <w:lang w:val="uk-UA"/>
        </w:rPr>
        <w:t>вимог</w:t>
      </w:r>
      <w:r w:rsidRPr="00BF46CE">
        <w:rPr>
          <w:bCs/>
          <w:sz w:val="26"/>
          <w:szCs w:val="26"/>
          <w:lang w:val="uk-UA"/>
        </w:rPr>
        <w:t xml:space="preserve"> статті 15 Закону України «Про Національну комісію, що здійснює державне регулювання у сферах енергетики та комунальних послуг» </w:t>
      </w:r>
      <w:proofErr w:type="spellStart"/>
      <w:r w:rsidR="00677F94" w:rsidRPr="00BF46CE">
        <w:rPr>
          <w:bCs/>
          <w:sz w:val="26"/>
          <w:szCs w:val="26"/>
          <w:lang w:val="uk-UA"/>
        </w:rPr>
        <w:t>проєкт</w:t>
      </w:r>
      <w:proofErr w:type="spellEnd"/>
      <w:r w:rsidRPr="00BF46CE">
        <w:rPr>
          <w:bCs/>
          <w:sz w:val="26"/>
          <w:szCs w:val="26"/>
          <w:lang w:val="uk-UA"/>
        </w:rPr>
        <w:t xml:space="preserve"> постанови</w:t>
      </w:r>
      <w:r w:rsidR="00E853A2" w:rsidRPr="00BF46CE">
        <w:rPr>
          <w:bCs/>
          <w:sz w:val="26"/>
          <w:szCs w:val="26"/>
          <w:lang w:val="uk-UA"/>
        </w:rPr>
        <w:t xml:space="preserve"> </w:t>
      </w:r>
      <w:r w:rsidR="00E853A2" w:rsidRPr="00BF46CE">
        <w:rPr>
          <w:sz w:val="26"/>
          <w:szCs w:val="26"/>
          <w:lang w:val="uk-UA"/>
        </w:rPr>
        <w:t xml:space="preserve">НКРЕКП </w:t>
      </w:r>
      <w:r w:rsidR="005D6D50" w:rsidRPr="00031135">
        <w:rPr>
          <w:sz w:val="26"/>
          <w:szCs w:val="26"/>
          <w:lang w:val="uk-UA"/>
        </w:rPr>
        <w:t>«</w:t>
      </w:r>
      <w:r w:rsidR="00031135" w:rsidRPr="00031135">
        <w:rPr>
          <w:sz w:val="26"/>
          <w:szCs w:val="26"/>
          <w:lang w:val="uk-UA"/>
        </w:rPr>
        <w:t xml:space="preserve">Про визнання такою, що втратила чинність, постанови НКРЕКП </w:t>
      </w:r>
      <w:r w:rsidR="007D2E50" w:rsidRPr="007D2E50">
        <w:rPr>
          <w:sz w:val="26"/>
          <w:szCs w:val="26"/>
          <w:lang w:val="uk-UA"/>
        </w:rPr>
        <w:t xml:space="preserve">від 29 грудня 2017 року </w:t>
      </w:r>
      <w:r w:rsidR="00031135" w:rsidRPr="00031135">
        <w:rPr>
          <w:sz w:val="26"/>
          <w:szCs w:val="26"/>
          <w:lang w:val="uk-UA"/>
        </w:rPr>
        <w:t>№ 1618</w:t>
      </w:r>
      <w:r w:rsidR="005D6D50" w:rsidRPr="00BF46CE">
        <w:rPr>
          <w:sz w:val="26"/>
          <w:szCs w:val="26"/>
          <w:lang w:val="uk-UA"/>
        </w:rPr>
        <w:t>»</w:t>
      </w:r>
      <w:r w:rsidRPr="00BF46CE">
        <w:rPr>
          <w:bCs/>
          <w:sz w:val="26"/>
          <w:szCs w:val="26"/>
          <w:lang w:val="uk-UA"/>
        </w:rPr>
        <w:t xml:space="preserve">, що має </w:t>
      </w:r>
      <w:r w:rsidRPr="00BF46CE">
        <w:rPr>
          <w:bCs/>
          <w:color w:val="000000"/>
          <w:sz w:val="26"/>
          <w:szCs w:val="26"/>
          <w:lang w:val="uk-UA"/>
        </w:rPr>
        <w:t xml:space="preserve">ознаки регуляторного </w:t>
      </w:r>
      <w:proofErr w:type="spellStart"/>
      <w:r w:rsidRPr="00BF46CE">
        <w:rPr>
          <w:bCs/>
          <w:color w:val="000000"/>
          <w:sz w:val="26"/>
          <w:szCs w:val="26"/>
          <w:lang w:val="uk-UA"/>
        </w:rPr>
        <w:t>акта</w:t>
      </w:r>
      <w:proofErr w:type="spellEnd"/>
      <w:r w:rsidRPr="00BF46CE">
        <w:rPr>
          <w:bCs/>
          <w:color w:val="000000"/>
          <w:sz w:val="26"/>
          <w:szCs w:val="26"/>
          <w:lang w:val="uk-UA"/>
        </w:rPr>
        <w:t xml:space="preserve">, аналіз впливу та повідомлення про оприлюднення розміщено на офіційному вебсайті НКРЕКП в мережі Інтернет </w:t>
      </w:r>
      <w:hyperlink r:id="rId8" w:history="1">
        <w:r w:rsidRPr="00BF46CE">
          <w:rPr>
            <w:rStyle w:val="ab"/>
            <w:bCs/>
            <w:sz w:val="26"/>
            <w:szCs w:val="26"/>
            <w:lang w:val="uk-UA"/>
          </w:rPr>
          <w:t>www.nerc.gov.ua</w:t>
        </w:r>
      </w:hyperlink>
      <w:r w:rsidRPr="00BF46CE">
        <w:rPr>
          <w:rStyle w:val="ab"/>
          <w:bCs/>
          <w:sz w:val="26"/>
          <w:szCs w:val="26"/>
          <w:lang w:val="uk-UA"/>
        </w:rPr>
        <w:t>.</w:t>
      </w:r>
      <w:r w:rsidRPr="00BF46CE">
        <w:rPr>
          <w:bCs/>
          <w:color w:val="000000"/>
          <w:sz w:val="26"/>
          <w:szCs w:val="26"/>
          <w:lang w:val="uk-UA"/>
        </w:rPr>
        <w:t xml:space="preserve"> </w:t>
      </w:r>
    </w:p>
    <w:p w:rsidR="00455503" w:rsidRPr="00BF46CE" w:rsidRDefault="00CC2006" w:rsidP="00674E41">
      <w:pPr>
        <w:pStyle w:val="a9"/>
        <w:widowControl w:val="0"/>
        <w:spacing w:after="0"/>
        <w:ind w:firstLine="709"/>
        <w:jc w:val="both"/>
        <w:rPr>
          <w:bCs/>
          <w:color w:val="000000"/>
          <w:sz w:val="26"/>
          <w:szCs w:val="26"/>
          <w:lang w:val="uk-UA"/>
        </w:rPr>
      </w:pPr>
      <w:r w:rsidRPr="00BF46CE">
        <w:rPr>
          <w:bCs/>
          <w:color w:val="000000"/>
          <w:sz w:val="26"/>
          <w:szCs w:val="26"/>
          <w:lang w:val="uk-UA"/>
        </w:rPr>
        <w:t xml:space="preserve">НКРЕКП у межах компетенції надає необхідні роз’яснення щодо норм </w:t>
      </w:r>
      <w:proofErr w:type="spellStart"/>
      <w:r w:rsidRPr="00BF46CE">
        <w:rPr>
          <w:bCs/>
          <w:color w:val="000000"/>
          <w:sz w:val="26"/>
          <w:szCs w:val="26"/>
          <w:lang w:val="uk-UA"/>
        </w:rPr>
        <w:t>про</w:t>
      </w:r>
      <w:r w:rsidR="00BC7215" w:rsidRPr="00BF46CE">
        <w:rPr>
          <w:bCs/>
          <w:color w:val="000000"/>
          <w:sz w:val="26"/>
          <w:szCs w:val="26"/>
          <w:lang w:val="uk-UA"/>
        </w:rPr>
        <w:t>є</w:t>
      </w:r>
      <w:r w:rsidRPr="00BF46CE">
        <w:rPr>
          <w:bCs/>
          <w:color w:val="000000"/>
          <w:sz w:val="26"/>
          <w:szCs w:val="26"/>
          <w:lang w:val="uk-UA"/>
        </w:rPr>
        <w:t>кту</w:t>
      </w:r>
      <w:proofErr w:type="spellEnd"/>
      <w:r w:rsidRPr="00BF46CE">
        <w:rPr>
          <w:bCs/>
          <w:color w:val="000000"/>
          <w:sz w:val="26"/>
          <w:szCs w:val="26"/>
          <w:lang w:val="uk-UA"/>
        </w:rPr>
        <w:t xml:space="preserve"> регуляторного </w:t>
      </w:r>
      <w:proofErr w:type="spellStart"/>
      <w:r w:rsidRPr="00BF46CE">
        <w:rPr>
          <w:bCs/>
          <w:color w:val="000000"/>
          <w:sz w:val="26"/>
          <w:szCs w:val="26"/>
          <w:lang w:val="uk-UA"/>
        </w:rPr>
        <w:t>акта</w:t>
      </w:r>
      <w:proofErr w:type="spellEnd"/>
      <w:r w:rsidRPr="00BF46CE">
        <w:rPr>
          <w:bCs/>
          <w:color w:val="000000"/>
          <w:sz w:val="26"/>
          <w:szCs w:val="26"/>
          <w:lang w:val="uk-UA"/>
        </w:rPr>
        <w:t xml:space="preserve"> і надаватиме роз’яснення щодо застосування </w:t>
      </w:r>
      <w:proofErr w:type="spellStart"/>
      <w:r w:rsidRPr="00BF46CE">
        <w:rPr>
          <w:bCs/>
          <w:color w:val="000000"/>
          <w:sz w:val="26"/>
          <w:szCs w:val="26"/>
          <w:lang w:val="uk-UA"/>
        </w:rPr>
        <w:t>акта</w:t>
      </w:r>
      <w:proofErr w:type="spellEnd"/>
      <w:r w:rsidRPr="00BF46CE">
        <w:rPr>
          <w:bCs/>
          <w:color w:val="000000"/>
          <w:sz w:val="26"/>
          <w:szCs w:val="26"/>
          <w:lang w:val="uk-UA"/>
        </w:rPr>
        <w:t>, який буде опубліковано в засобах масової інформації після його прийняття.</w:t>
      </w:r>
    </w:p>
    <w:p w:rsidR="00455503" w:rsidRPr="00BF46CE" w:rsidRDefault="00455503" w:rsidP="00455503">
      <w:pPr>
        <w:pStyle w:val="a9"/>
        <w:widowControl w:val="0"/>
        <w:spacing w:after="0"/>
        <w:ind w:firstLine="709"/>
        <w:jc w:val="both"/>
        <w:rPr>
          <w:bCs/>
          <w:color w:val="000000"/>
          <w:sz w:val="20"/>
          <w:szCs w:val="20"/>
          <w:lang w:val="uk-UA"/>
        </w:rPr>
      </w:pPr>
    </w:p>
    <w:p w:rsidR="00C918F0" w:rsidRPr="00BF46CE" w:rsidRDefault="00447909" w:rsidP="00283A88">
      <w:pPr>
        <w:jc w:val="center"/>
        <w:rPr>
          <w:b/>
          <w:sz w:val="26"/>
          <w:szCs w:val="26"/>
          <w:lang w:val="uk-UA"/>
        </w:rPr>
      </w:pPr>
      <w:r w:rsidRPr="00BF46CE">
        <w:rPr>
          <w:b/>
          <w:sz w:val="26"/>
          <w:szCs w:val="26"/>
          <w:lang w:val="uk-UA"/>
        </w:rPr>
        <w:t>VIII</w:t>
      </w:r>
      <w:r w:rsidR="00C918F0" w:rsidRPr="00BF46CE">
        <w:rPr>
          <w:b/>
          <w:sz w:val="26"/>
          <w:szCs w:val="26"/>
          <w:lang w:val="uk-UA"/>
        </w:rPr>
        <w:t xml:space="preserve">. </w:t>
      </w:r>
      <w:r w:rsidRPr="00BF46CE">
        <w:rPr>
          <w:b/>
          <w:sz w:val="26"/>
          <w:szCs w:val="26"/>
          <w:lang w:val="uk-UA"/>
        </w:rPr>
        <w:t xml:space="preserve">Очікувані результати прийняття регуляторного </w:t>
      </w:r>
      <w:proofErr w:type="spellStart"/>
      <w:r w:rsidRPr="00BF46CE">
        <w:rPr>
          <w:b/>
          <w:sz w:val="26"/>
          <w:szCs w:val="26"/>
          <w:lang w:val="uk-UA"/>
        </w:rPr>
        <w:t>акта</w:t>
      </w:r>
      <w:proofErr w:type="spellEnd"/>
    </w:p>
    <w:p w:rsidR="007626FF" w:rsidRPr="00BF46CE" w:rsidRDefault="007626FF" w:rsidP="00283A88">
      <w:pPr>
        <w:jc w:val="center"/>
        <w:rPr>
          <w:b/>
          <w:sz w:val="26"/>
          <w:szCs w:val="26"/>
          <w:lang w:val="uk-UA"/>
        </w:rPr>
      </w:pPr>
    </w:p>
    <w:p w:rsidR="00DF0B70" w:rsidRPr="00FF02B0" w:rsidRDefault="00CC2006" w:rsidP="00EC5CB0">
      <w:pPr>
        <w:ind w:firstLine="709"/>
        <w:jc w:val="both"/>
        <w:rPr>
          <w:sz w:val="26"/>
          <w:szCs w:val="26"/>
          <w:lang w:val="uk-UA"/>
        </w:rPr>
      </w:pPr>
      <w:r w:rsidRPr="00BF46CE">
        <w:rPr>
          <w:sz w:val="26"/>
          <w:szCs w:val="26"/>
          <w:lang w:val="uk-UA"/>
        </w:rPr>
        <w:t xml:space="preserve">Результатом прийняття </w:t>
      </w:r>
      <w:proofErr w:type="spellStart"/>
      <w:r w:rsidRPr="00BF46CE">
        <w:rPr>
          <w:sz w:val="26"/>
          <w:szCs w:val="26"/>
          <w:lang w:val="uk-UA"/>
        </w:rPr>
        <w:t>про</w:t>
      </w:r>
      <w:r w:rsidR="007628C8" w:rsidRPr="00BF46CE">
        <w:rPr>
          <w:sz w:val="26"/>
          <w:szCs w:val="26"/>
          <w:lang w:val="uk-UA"/>
        </w:rPr>
        <w:t>є</w:t>
      </w:r>
      <w:r w:rsidRPr="00BF46CE">
        <w:rPr>
          <w:sz w:val="26"/>
          <w:szCs w:val="26"/>
          <w:lang w:val="uk-UA"/>
        </w:rPr>
        <w:t>кту</w:t>
      </w:r>
      <w:proofErr w:type="spellEnd"/>
      <w:r w:rsidRPr="00BF46CE">
        <w:rPr>
          <w:sz w:val="26"/>
          <w:szCs w:val="26"/>
          <w:lang w:val="uk-UA"/>
        </w:rPr>
        <w:t xml:space="preserve"> постанови НКРЕКП </w:t>
      </w:r>
      <w:r w:rsidR="00EC5CB0" w:rsidRPr="00BF46CE">
        <w:rPr>
          <w:sz w:val="26"/>
          <w:szCs w:val="26"/>
          <w:lang w:val="uk-UA"/>
        </w:rPr>
        <w:t>«</w:t>
      </w:r>
      <w:r w:rsidR="00D719C0" w:rsidRPr="00D719C0">
        <w:rPr>
          <w:color w:val="000000"/>
          <w:sz w:val="26"/>
          <w:szCs w:val="26"/>
          <w:lang w:val="uk-UA"/>
        </w:rPr>
        <w:t xml:space="preserve">Про визнання такою, що втратила чинність, постанови НКРЕКП </w:t>
      </w:r>
      <w:r w:rsidR="007D2E50" w:rsidRPr="007D2E50">
        <w:rPr>
          <w:color w:val="000000"/>
          <w:sz w:val="26"/>
          <w:szCs w:val="26"/>
          <w:lang w:val="uk-UA"/>
        </w:rPr>
        <w:t xml:space="preserve">від 29 грудня 2017 року </w:t>
      </w:r>
      <w:r w:rsidR="00D719C0" w:rsidRPr="00D719C0">
        <w:rPr>
          <w:color w:val="000000"/>
          <w:sz w:val="26"/>
          <w:szCs w:val="26"/>
          <w:lang w:val="uk-UA"/>
        </w:rPr>
        <w:t>№ 1618</w:t>
      </w:r>
      <w:r w:rsidR="00EC5CB0" w:rsidRPr="00BF46CE">
        <w:rPr>
          <w:sz w:val="26"/>
          <w:szCs w:val="26"/>
          <w:lang w:val="uk-UA"/>
        </w:rPr>
        <w:t xml:space="preserve">» </w:t>
      </w:r>
      <w:r w:rsidR="00DE2961" w:rsidRPr="00BF46CE">
        <w:rPr>
          <w:sz w:val="26"/>
          <w:szCs w:val="26"/>
          <w:lang w:val="uk-UA"/>
        </w:rPr>
        <w:t xml:space="preserve">є </w:t>
      </w:r>
      <w:r w:rsidR="00D719C0">
        <w:rPr>
          <w:sz w:val="26"/>
          <w:szCs w:val="26"/>
          <w:lang w:val="uk-UA"/>
        </w:rPr>
        <w:t xml:space="preserve">відсутність дублювання норм </w:t>
      </w:r>
      <w:r w:rsidR="00D719C0">
        <w:rPr>
          <w:lang w:val="uk-UA"/>
        </w:rPr>
        <w:t>чинного</w:t>
      </w:r>
      <w:r w:rsidR="00D719C0" w:rsidRPr="00CF35E4">
        <w:rPr>
          <w:lang w:val="uk-UA"/>
        </w:rPr>
        <w:t xml:space="preserve"> регуляторн</w:t>
      </w:r>
      <w:r w:rsidR="00D719C0">
        <w:rPr>
          <w:lang w:val="uk-UA"/>
        </w:rPr>
        <w:t>ого</w:t>
      </w:r>
      <w:r w:rsidR="00D719C0" w:rsidRPr="00CF35E4">
        <w:rPr>
          <w:lang w:val="uk-UA"/>
        </w:rPr>
        <w:t xml:space="preserve"> </w:t>
      </w:r>
      <w:proofErr w:type="spellStart"/>
      <w:r w:rsidR="00D719C0" w:rsidRPr="00CF35E4">
        <w:rPr>
          <w:lang w:val="uk-UA"/>
        </w:rPr>
        <w:t>акт</w:t>
      </w:r>
      <w:r w:rsidR="00D719C0">
        <w:rPr>
          <w:lang w:val="uk-UA"/>
        </w:rPr>
        <w:t>а</w:t>
      </w:r>
      <w:proofErr w:type="spellEnd"/>
      <w:r w:rsidR="00CE0781">
        <w:rPr>
          <w:lang w:val="uk-UA"/>
        </w:rPr>
        <w:t xml:space="preserve"> та виникнення правової </w:t>
      </w:r>
      <w:bookmarkStart w:id="1" w:name="_GoBack"/>
      <w:bookmarkEnd w:id="1"/>
      <w:r w:rsidR="00CE0781">
        <w:rPr>
          <w:lang w:val="uk-UA"/>
        </w:rPr>
        <w:t>колізії</w:t>
      </w:r>
      <w:r w:rsidR="00D719C0">
        <w:rPr>
          <w:lang w:val="uk-UA"/>
        </w:rPr>
        <w:t>.</w:t>
      </w:r>
    </w:p>
    <w:p w:rsidR="00DF0B70" w:rsidRPr="00503794" w:rsidRDefault="00DF0B70" w:rsidP="00DE2961">
      <w:pPr>
        <w:ind w:firstLine="709"/>
        <w:jc w:val="both"/>
        <w:rPr>
          <w:sz w:val="26"/>
          <w:szCs w:val="26"/>
          <w:lang w:val="uk-UA"/>
        </w:rPr>
      </w:pPr>
    </w:p>
    <w:p w:rsidR="00C918F0" w:rsidRPr="00503794" w:rsidRDefault="00C918F0" w:rsidP="00C918F0">
      <w:pPr>
        <w:jc w:val="both"/>
        <w:rPr>
          <w:sz w:val="26"/>
          <w:szCs w:val="26"/>
          <w:lang w:val="uk-UA"/>
        </w:rPr>
      </w:pPr>
    </w:p>
    <w:p w:rsidR="003E6D2F" w:rsidRPr="00503794" w:rsidRDefault="003E6D2F" w:rsidP="00B82691">
      <w:pPr>
        <w:jc w:val="both"/>
        <w:rPr>
          <w:sz w:val="26"/>
          <w:szCs w:val="26"/>
          <w:lang w:val="uk-UA"/>
        </w:rPr>
      </w:pPr>
      <w:r w:rsidRPr="00503794">
        <w:rPr>
          <w:b/>
          <w:sz w:val="26"/>
          <w:szCs w:val="26"/>
          <w:lang w:val="uk-UA"/>
        </w:rPr>
        <w:t>Голов</w:t>
      </w:r>
      <w:r w:rsidR="00461DF2" w:rsidRPr="00503794">
        <w:rPr>
          <w:b/>
          <w:sz w:val="26"/>
          <w:szCs w:val="26"/>
          <w:lang w:val="uk-UA"/>
        </w:rPr>
        <w:t>а</w:t>
      </w:r>
      <w:r w:rsidRPr="00503794">
        <w:rPr>
          <w:b/>
          <w:sz w:val="26"/>
          <w:szCs w:val="26"/>
          <w:lang w:val="uk-UA"/>
        </w:rPr>
        <w:t xml:space="preserve"> НКРЕКП</w:t>
      </w:r>
      <w:r w:rsidRPr="00503794">
        <w:rPr>
          <w:b/>
          <w:sz w:val="26"/>
          <w:szCs w:val="26"/>
          <w:lang w:val="uk-UA"/>
        </w:rPr>
        <w:tab/>
      </w:r>
      <w:r w:rsidRPr="00503794">
        <w:rPr>
          <w:b/>
          <w:sz w:val="26"/>
          <w:szCs w:val="26"/>
          <w:lang w:val="uk-UA"/>
        </w:rPr>
        <w:tab/>
      </w:r>
      <w:r w:rsidR="00DE2961" w:rsidRPr="00503794">
        <w:rPr>
          <w:b/>
          <w:sz w:val="26"/>
          <w:szCs w:val="26"/>
          <w:lang w:val="uk-UA"/>
        </w:rPr>
        <w:tab/>
      </w:r>
      <w:r w:rsidR="00DE2961" w:rsidRPr="00503794">
        <w:rPr>
          <w:b/>
          <w:sz w:val="26"/>
          <w:szCs w:val="26"/>
          <w:lang w:val="uk-UA"/>
        </w:rPr>
        <w:tab/>
      </w:r>
      <w:r w:rsidRPr="00503794">
        <w:rPr>
          <w:b/>
          <w:sz w:val="26"/>
          <w:szCs w:val="26"/>
          <w:lang w:val="uk-UA"/>
        </w:rPr>
        <w:tab/>
      </w:r>
      <w:r w:rsidR="00B82691" w:rsidRPr="00503794">
        <w:rPr>
          <w:b/>
          <w:sz w:val="26"/>
          <w:szCs w:val="26"/>
          <w:lang w:val="uk-UA"/>
        </w:rPr>
        <w:t xml:space="preserve">        </w:t>
      </w:r>
      <w:r w:rsidR="00FF02B0">
        <w:rPr>
          <w:b/>
          <w:sz w:val="26"/>
          <w:szCs w:val="26"/>
          <w:lang w:val="uk-UA"/>
        </w:rPr>
        <w:t xml:space="preserve">                </w:t>
      </w:r>
      <w:r w:rsidR="00B82691" w:rsidRPr="00503794">
        <w:rPr>
          <w:b/>
          <w:sz w:val="26"/>
          <w:szCs w:val="26"/>
          <w:lang w:val="uk-UA"/>
        </w:rPr>
        <w:t xml:space="preserve">         </w:t>
      </w:r>
      <w:r w:rsidR="00DE2961" w:rsidRPr="00503794">
        <w:rPr>
          <w:b/>
          <w:sz w:val="26"/>
          <w:szCs w:val="26"/>
          <w:lang w:val="uk-UA"/>
        </w:rPr>
        <w:t>Юрій ВЛАСЕНКО</w:t>
      </w:r>
      <w:r w:rsidR="00896EE7" w:rsidRPr="00503794">
        <w:rPr>
          <w:b/>
          <w:sz w:val="26"/>
          <w:szCs w:val="26"/>
          <w:lang w:val="uk-UA"/>
        </w:rPr>
        <w:t xml:space="preserve"> </w:t>
      </w:r>
    </w:p>
    <w:p w:rsidR="00896EE7" w:rsidRPr="00A03C34" w:rsidRDefault="00896EE7" w:rsidP="003E6D2F">
      <w:pPr>
        <w:jc w:val="both"/>
        <w:rPr>
          <w:sz w:val="14"/>
          <w:szCs w:val="14"/>
          <w:lang w:val="uk-UA"/>
        </w:rPr>
      </w:pPr>
    </w:p>
    <w:p w:rsidR="003E6D2F" w:rsidRPr="00A03C34" w:rsidRDefault="003E6D2F" w:rsidP="003E6D2F">
      <w:pPr>
        <w:jc w:val="both"/>
        <w:rPr>
          <w:sz w:val="14"/>
          <w:szCs w:val="14"/>
          <w:lang w:val="uk-UA"/>
        </w:rPr>
      </w:pPr>
    </w:p>
    <w:sectPr w:rsidR="003E6D2F" w:rsidRPr="00A03C34" w:rsidSect="008751A2">
      <w:headerReference w:type="default" r:id="rId9"/>
      <w:pgSz w:w="11906" w:h="16838" w:code="9"/>
      <w:pgMar w:top="709"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359" w:rsidRDefault="00DE0359">
      <w:r>
        <w:separator/>
      </w:r>
    </w:p>
  </w:endnote>
  <w:endnote w:type="continuationSeparator" w:id="0">
    <w:p w:rsidR="00DE0359" w:rsidRDefault="00DE0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ptos Display">
    <w:altName w:val="Calibri"/>
    <w:charset w:val="00"/>
    <w:family w:val="swiss"/>
    <w:pitch w:val="variable"/>
    <w:sig w:usb0="00000001" w:usb1="00000003" w:usb2="00000000" w:usb3="00000000" w:csb0="0000019F" w:csb1="00000000"/>
  </w:font>
  <w:font w:name="Aptos">
    <w:altName w:val="Calibri"/>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359" w:rsidRDefault="00DE0359">
      <w:r>
        <w:separator/>
      </w:r>
    </w:p>
  </w:footnote>
  <w:footnote w:type="continuationSeparator" w:id="0">
    <w:p w:rsidR="00DE0359" w:rsidRDefault="00DE03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28BF" w:rsidRDefault="007028BF" w:rsidP="009149DB">
    <w:pPr>
      <w:pStyle w:val="a6"/>
      <w:jc w:val="center"/>
    </w:pPr>
    <w:r>
      <w:rPr>
        <w:rStyle w:val="a8"/>
      </w:rPr>
      <w:fldChar w:fldCharType="begin"/>
    </w:r>
    <w:r>
      <w:rPr>
        <w:rStyle w:val="a8"/>
      </w:rPr>
      <w:instrText xml:space="preserve"> PAGE </w:instrText>
    </w:r>
    <w:r>
      <w:rPr>
        <w:rStyle w:val="a8"/>
      </w:rPr>
      <w:fldChar w:fldCharType="separate"/>
    </w:r>
    <w:r w:rsidR="007D2E50">
      <w:rPr>
        <w:rStyle w:val="a8"/>
        <w:noProof/>
      </w:rPr>
      <w:t>4</w:t>
    </w:r>
    <w:r>
      <w:rPr>
        <w:rStyle w:val="a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F258C"/>
    <w:multiLevelType w:val="hybridMultilevel"/>
    <w:tmpl w:val="4FA267A6"/>
    <w:lvl w:ilvl="0" w:tplc="4BCEB6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CFA73E0"/>
    <w:multiLevelType w:val="hybridMultilevel"/>
    <w:tmpl w:val="3E3AB80C"/>
    <w:lvl w:ilvl="0" w:tplc="3F2A83B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7CD019F"/>
    <w:multiLevelType w:val="hybridMultilevel"/>
    <w:tmpl w:val="6A18B04E"/>
    <w:lvl w:ilvl="0" w:tplc="13F4F57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26B4FC9"/>
    <w:multiLevelType w:val="hybridMultilevel"/>
    <w:tmpl w:val="5BBA4B6C"/>
    <w:lvl w:ilvl="0" w:tplc="685625E6">
      <w:start w:val="1"/>
      <w:numFmt w:val="upperRoman"/>
      <w:lvlText w:val="%1."/>
      <w:lvlJc w:val="left"/>
      <w:pPr>
        <w:ind w:left="1077" w:hanging="72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AE"/>
    <w:rsid w:val="00004EF5"/>
    <w:rsid w:val="000114E0"/>
    <w:rsid w:val="000247DD"/>
    <w:rsid w:val="00031135"/>
    <w:rsid w:val="000362F3"/>
    <w:rsid w:val="000378B9"/>
    <w:rsid w:val="00037943"/>
    <w:rsid w:val="00043C8E"/>
    <w:rsid w:val="00062C48"/>
    <w:rsid w:val="00066578"/>
    <w:rsid w:val="000677E4"/>
    <w:rsid w:val="0007200E"/>
    <w:rsid w:val="0007611E"/>
    <w:rsid w:val="00093C6A"/>
    <w:rsid w:val="0009698F"/>
    <w:rsid w:val="000A3050"/>
    <w:rsid w:val="000C1AC6"/>
    <w:rsid w:val="000C1CFA"/>
    <w:rsid w:val="000C4F37"/>
    <w:rsid w:val="000D3BDF"/>
    <w:rsid w:val="000E3E3E"/>
    <w:rsid w:val="000E78E5"/>
    <w:rsid w:val="000F7FF4"/>
    <w:rsid w:val="00105307"/>
    <w:rsid w:val="00105E0C"/>
    <w:rsid w:val="001077DD"/>
    <w:rsid w:val="0012166E"/>
    <w:rsid w:val="00127472"/>
    <w:rsid w:val="00131482"/>
    <w:rsid w:val="00135709"/>
    <w:rsid w:val="00135B84"/>
    <w:rsid w:val="001528EE"/>
    <w:rsid w:val="00156D6D"/>
    <w:rsid w:val="0016192C"/>
    <w:rsid w:val="00161F39"/>
    <w:rsid w:val="00181D4E"/>
    <w:rsid w:val="0018292F"/>
    <w:rsid w:val="00182EFD"/>
    <w:rsid w:val="00187DEC"/>
    <w:rsid w:val="00190E89"/>
    <w:rsid w:val="00191B0D"/>
    <w:rsid w:val="001B0B34"/>
    <w:rsid w:val="001B34DB"/>
    <w:rsid w:val="001B3E00"/>
    <w:rsid w:val="001C1AF4"/>
    <w:rsid w:val="001C6DC1"/>
    <w:rsid w:val="001D103A"/>
    <w:rsid w:val="001F27E5"/>
    <w:rsid w:val="001F63BD"/>
    <w:rsid w:val="0020198A"/>
    <w:rsid w:val="0022669E"/>
    <w:rsid w:val="0023524A"/>
    <w:rsid w:val="00251C40"/>
    <w:rsid w:val="002626B7"/>
    <w:rsid w:val="0026711D"/>
    <w:rsid w:val="00272DBB"/>
    <w:rsid w:val="00276984"/>
    <w:rsid w:val="00281937"/>
    <w:rsid w:val="00283A88"/>
    <w:rsid w:val="0028536B"/>
    <w:rsid w:val="002853F5"/>
    <w:rsid w:val="002864B6"/>
    <w:rsid w:val="00291610"/>
    <w:rsid w:val="00292F23"/>
    <w:rsid w:val="002948A9"/>
    <w:rsid w:val="002A7652"/>
    <w:rsid w:val="002B2EDD"/>
    <w:rsid w:val="002B77BF"/>
    <w:rsid w:val="002C03C8"/>
    <w:rsid w:val="002C0905"/>
    <w:rsid w:val="002C7E95"/>
    <w:rsid w:val="002D34BB"/>
    <w:rsid w:val="002D7DCB"/>
    <w:rsid w:val="002E5A64"/>
    <w:rsid w:val="002E7030"/>
    <w:rsid w:val="002F12F6"/>
    <w:rsid w:val="002F5A50"/>
    <w:rsid w:val="00300E64"/>
    <w:rsid w:val="00302641"/>
    <w:rsid w:val="00302E83"/>
    <w:rsid w:val="00313BD9"/>
    <w:rsid w:val="00320ED9"/>
    <w:rsid w:val="00321920"/>
    <w:rsid w:val="00330363"/>
    <w:rsid w:val="00335777"/>
    <w:rsid w:val="00335AFC"/>
    <w:rsid w:val="00341A47"/>
    <w:rsid w:val="003506BA"/>
    <w:rsid w:val="00352BA4"/>
    <w:rsid w:val="00356F5E"/>
    <w:rsid w:val="00381709"/>
    <w:rsid w:val="00383347"/>
    <w:rsid w:val="00387BB7"/>
    <w:rsid w:val="0039071F"/>
    <w:rsid w:val="003B5723"/>
    <w:rsid w:val="003C1E67"/>
    <w:rsid w:val="003C3D28"/>
    <w:rsid w:val="003D05F3"/>
    <w:rsid w:val="003D13E9"/>
    <w:rsid w:val="003D6A80"/>
    <w:rsid w:val="003D70BF"/>
    <w:rsid w:val="003E378D"/>
    <w:rsid w:val="003E6D2F"/>
    <w:rsid w:val="003F2068"/>
    <w:rsid w:val="00400DDD"/>
    <w:rsid w:val="00402979"/>
    <w:rsid w:val="00405B08"/>
    <w:rsid w:val="00420301"/>
    <w:rsid w:val="00424B1B"/>
    <w:rsid w:val="00427DA8"/>
    <w:rsid w:val="00433350"/>
    <w:rsid w:val="00434CA5"/>
    <w:rsid w:val="004362A8"/>
    <w:rsid w:val="00437919"/>
    <w:rsid w:val="00447909"/>
    <w:rsid w:val="00455503"/>
    <w:rsid w:val="00461DF2"/>
    <w:rsid w:val="004720DD"/>
    <w:rsid w:val="00473027"/>
    <w:rsid w:val="00480815"/>
    <w:rsid w:val="004A58B7"/>
    <w:rsid w:val="004A6142"/>
    <w:rsid w:val="004B3043"/>
    <w:rsid w:val="004B343D"/>
    <w:rsid w:val="004B7846"/>
    <w:rsid w:val="004C0CF6"/>
    <w:rsid w:val="004C56D4"/>
    <w:rsid w:val="004D2C9D"/>
    <w:rsid w:val="004E47B4"/>
    <w:rsid w:val="004E5048"/>
    <w:rsid w:val="0050169C"/>
    <w:rsid w:val="00503794"/>
    <w:rsid w:val="0052248C"/>
    <w:rsid w:val="00543133"/>
    <w:rsid w:val="00546646"/>
    <w:rsid w:val="00546F41"/>
    <w:rsid w:val="00547777"/>
    <w:rsid w:val="00554D76"/>
    <w:rsid w:val="00581D4A"/>
    <w:rsid w:val="00590C3D"/>
    <w:rsid w:val="0059277B"/>
    <w:rsid w:val="005A08AE"/>
    <w:rsid w:val="005A7862"/>
    <w:rsid w:val="005B08B7"/>
    <w:rsid w:val="005B4586"/>
    <w:rsid w:val="005C3246"/>
    <w:rsid w:val="005D2D4E"/>
    <w:rsid w:val="005D3B10"/>
    <w:rsid w:val="005D6D50"/>
    <w:rsid w:val="005E64AE"/>
    <w:rsid w:val="005F3760"/>
    <w:rsid w:val="006002EE"/>
    <w:rsid w:val="006136A0"/>
    <w:rsid w:val="00625FA2"/>
    <w:rsid w:val="00626967"/>
    <w:rsid w:val="006320A8"/>
    <w:rsid w:val="00633DCD"/>
    <w:rsid w:val="00635742"/>
    <w:rsid w:val="00636E5D"/>
    <w:rsid w:val="00651390"/>
    <w:rsid w:val="00655B7C"/>
    <w:rsid w:val="006571BA"/>
    <w:rsid w:val="0066598A"/>
    <w:rsid w:val="0066606E"/>
    <w:rsid w:val="006705BC"/>
    <w:rsid w:val="00670D55"/>
    <w:rsid w:val="006748E4"/>
    <w:rsid w:val="00674E41"/>
    <w:rsid w:val="00677F94"/>
    <w:rsid w:val="0068053F"/>
    <w:rsid w:val="00680CAF"/>
    <w:rsid w:val="006845A4"/>
    <w:rsid w:val="00692E62"/>
    <w:rsid w:val="0069499D"/>
    <w:rsid w:val="006A499E"/>
    <w:rsid w:val="006A5670"/>
    <w:rsid w:val="006B3402"/>
    <w:rsid w:val="006C1A01"/>
    <w:rsid w:val="006C3A22"/>
    <w:rsid w:val="006C5FE4"/>
    <w:rsid w:val="006D7ACD"/>
    <w:rsid w:val="006E3A46"/>
    <w:rsid w:val="006E5C38"/>
    <w:rsid w:val="006E650E"/>
    <w:rsid w:val="006E7534"/>
    <w:rsid w:val="007028BF"/>
    <w:rsid w:val="007048C6"/>
    <w:rsid w:val="0072173E"/>
    <w:rsid w:val="00722E54"/>
    <w:rsid w:val="0072471C"/>
    <w:rsid w:val="00734F47"/>
    <w:rsid w:val="00737CDE"/>
    <w:rsid w:val="00744705"/>
    <w:rsid w:val="007479F5"/>
    <w:rsid w:val="00747C37"/>
    <w:rsid w:val="00750235"/>
    <w:rsid w:val="00752915"/>
    <w:rsid w:val="007626FF"/>
    <w:rsid w:val="007628C8"/>
    <w:rsid w:val="00763FF0"/>
    <w:rsid w:val="007661A2"/>
    <w:rsid w:val="00766596"/>
    <w:rsid w:val="0077128A"/>
    <w:rsid w:val="007735F9"/>
    <w:rsid w:val="00774DD2"/>
    <w:rsid w:val="0077582C"/>
    <w:rsid w:val="007805AB"/>
    <w:rsid w:val="007842C3"/>
    <w:rsid w:val="00786EFF"/>
    <w:rsid w:val="0079503B"/>
    <w:rsid w:val="00796338"/>
    <w:rsid w:val="007A4FFA"/>
    <w:rsid w:val="007B2FB4"/>
    <w:rsid w:val="007B771E"/>
    <w:rsid w:val="007C0141"/>
    <w:rsid w:val="007D1C95"/>
    <w:rsid w:val="007D2E50"/>
    <w:rsid w:val="007D7441"/>
    <w:rsid w:val="007D7F96"/>
    <w:rsid w:val="007E7EA9"/>
    <w:rsid w:val="007F0235"/>
    <w:rsid w:val="007F3BF1"/>
    <w:rsid w:val="00800712"/>
    <w:rsid w:val="008116CD"/>
    <w:rsid w:val="00811AE7"/>
    <w:rsid w:val="008319C6"/>
    <w:rsid w:val="0083466B"/>
    <w:rsid w:val="00843EFB"/>
    <w:rsid w:val="0085193E"/>
    <w:rsid w:val="008541FF"/>
    <w:rsid w:val="008555B4"/>
    <w:rsid w:val="00857ED1"/>
    <w:rsid w:val="0086133F"/>
    <w:rsid w:val="008640C2"/>
    <w:rsid w:val="00871618"/>
    <w:rsid w:val="008751A2"/>
    <w:rsid w:val="00876BD7"/>
    <w:rsid w:val="00877D48"/>
    <w:rsid w:val="00881D67"/>
    <w:rsid w:val="0089592B"/>
    <w:rsid w:val="00896EE7"/>
    <w:rsid w:val="008A3632"/>
    <w:rsid w:val="008C05CC"/>
    <w:rsid w:val="008C6EF2"/>
    <w:rsid w:val="008D4DE8"/>
    <w:rsid w:val="008F4432"/>
    <w:rsid w:val="008F65C6"/>
    <w:rsid w:val="00901DFB"/>
    <w:rsid w:val="009149DB"/>
    <w:rsid w:val="00914C8A"/>
    <w:rsid w:val="0093256F"/>
    <w:rsid w:val="00932F03"/>
    <w:rsid w:val="00942D5F"/>
    <w:rsid w:val="0094479C"/>
    <w:rsid w:val="00962C19"/>
    <w:rsid w:val="00963B75"/>
    <w:rsid w:val="00967DEC"/>
    <w:rsid w:val="00980923"/>
    <w:rsid w:val="00982FA3"/>
    <w:rsid w:val="009B2078"/>
    <w:rsid w:val="009C0B2B"/>
    <w:rsid w:val="009C75A9"/>
    <w:rsid w:val="009D3D2B"/>
    <w:rsid w:val="009D4B7C"/>
    <w:rsid w:val="009D5BB1"/>
    <w:rsid w:val="009D650A"/>
    <w:rsid w:val="009E60E4"/>
    <w:rsid w:val="00A03C34"/>
    <w:rsid w:val="00A15040"/>
    <w:rsid w:val="00A16EB5"/>
    <w:rsid w:val="00A21741"/>
    <w:rsid w:val="00A33E12"/>
    <w:rsid w:val="00A51193"/>
    <w:rsid w:val="00A5328B"/>
    <w:rsid w:val="00A535A8"/>
    <w:rsid w:val="00A53BFC"/>
    <w:rsid w:val="00A673AC"/>
    <w:rsid w:val="00A736C7"/>
    <w:rsid w:val="00A76177"/>
    <w:rsid w:val="00A80A40"/>
    <w:rsid w:val="00A91575"/>
    <w:rsid w:val="00A94FFC"/>
    <w:rsid w:val="00A95B8B"/>
    <w:rsid w:val="00A96A97"/>
    <w:rsid w:val="00AA0764"/>
    <w:rsid w:val="00AA2D8B"/>
    <w:rsid w:val="00AA640E"/>
    <w:rsid w:val="00AC2793"/>
    <w:rsid w:val="00AC73CD"/>
    <w:rsid w:val="00AD0453"/>
    <w:rsid w:val="00AD1736"/>
    <w:rsid w:val="00AD24B4"/>
    <w:rsid w:val="00AD33D3"/>
    <w:rsid w:val="00AE4E72"/>
    <w:rsid w:val="00AE5E9D"/>
    <w:rsid w:val="00B07F14"/>
    <w:rsid w:val="00B15240"/>
    <w:rsid w:val="00B1639E"/>
    <w:rsid w:val="00B1651A"/>
    <w:rsid w:val="00B23CC3"/>
    <w:rsid w:val="00B4039E"/>
    <w:rsid w:val="00B41D9F"/>
    <w:rsid w:val="00B51A73"/>
    <w:rsid w:val="00B52B48"/>
    <w:rsid w:val="00B53D66"/>
    <w:rsid w:val="00B63360"/>
    <w:rsid w:val="00B7334A"/>
    <w:rsid w:val="00B739AD"/>
    <w:rsid w:val="00B82691"/>
    <w:rsid w:val="00B84143"/>
    <w:rsid w:val="00B86EF6"/>
    <w:rsid w:val="00B928C1"/>
    <w:rsid w:val="00BA3DF3"/>
    <w:rsid w:val="00BB0C72"/>
    <w:rsid w:val="00BC053E"/>
    <w:rsid w:val="00BC1902"/>
    <w:rsid w:val="00BC5A2F"/>
    <w:rsid w:val="00BC7215"/>
    <w:rsid w:val="00BD5778"/>
    <w:rsid w:val="00BE286D"/>
    <w:rsid w:val="00BF46CE"/>
    <w:rsid w:val="00BF59B1"/>
    <w:rsid w:val="00C02402"/>
    <w:rsid w:val="00C03380"/>
    <w:rsid w:val="00C21E36"/>
    <w:rsid w:val="00C24CF9"/>
    <w:rsid w:val="00C334A6"/>
    <w:rsid w:val="00C422EA"/>
    <w:rsid w:val="00C51199"/>
    <w:rsid w:val="00C6282E"/>
    <w:rsid w:val="00C8128C"/>
    <w:rsid w:val="00C86E09"/>
    <w:rsid w:val="00C87663"/>
    <w:rsid w:val="00C918F0"/>
    <w:rsid w:val="00C962D1"/>
    <w:rsid w:val="00C97BFA"/>
    <w:rsid w:val="00CA5308"/>
    <w:rsid w:val="00CA5B01"/>
    <w:rsid w:val="00CB22DC"/>
    <w:rsid w:val="00CB351C"/>
    <w:rsid w:val="00CB4735"/>
    <w:rsid w:val="00CC2006"/>
    <w:rsid w:val="00CD04C1"/>
    <w:rsid w:val="00CE0781"/>
    <w:rsid w:val="00CE0DE8"/>
    <w:rsid w:val="00CF35E4"/>
    <w:rsid w:val="00D053DC"/>
    <w:rsid w:val="00D20A10"/>
    <w:rsid w:val="00D22881"/>
    <w:rsid w:val="00D31715"/>
    <w:rsid w:val="00D348E6"/>
    <w:rsid w:val="00D51957"/>
    <w:rsid w:val="00D660EF"/>
    <w:rsid w:val="00D70231"/>
    <w:rsid w:val="00D719C0"/>
    <w:rsid w:val="00D73C31"/>
    <w:rsid w:val="00D87875"/>
    <w:rsid w:val="00D94289"/>
    <w:rsid w:val="00D95CFD"/>
    <w:rsid w:val="00D977A1"/>
    <w:rsid w:val="00DA0283"/>
    <w:rsid w:val="00DA479A"/>
    <w:rsid w:val="00DA6D2B"/>
    <w:rsid w:val="00DA7F50"/>
    <w:rsid w:val="00DB56CB"/>
    <w:rsid w:val="00DD28D3"/>
    <w:rsid w:val="00DD7FDF"/>
    <w:rsid w:val="00DE0359"/>
    <w:rsid w:val="00DE0B9D"/>
    <w:rsid w:val="00DE2961"/>
    <w:rsid w:val="00DF0B70"/>
    <w:rsid w:val="00DF57D0"/>
    <w:rsid w:val="00E01D6D"/>
    <w:rsid w:val="00E0302F"/>
    <w:rsid w:val="00E057A6"/>
    <w:rsid w:val="00E20EAD"/>
    <w:rsid w:val="00E346C2"/>
    <w:rsid w:val="00E34FF0"/>
    <w:rsid w:val="00E36378"/>
    <w:rsid w:val="00E50E1C"/>
    <w:rsid w:val="00E51449"/>
    <w:rsid w:val="00E5164A"/>
    <w:rsid w:val="00E54061"/>
    <w:rsid w:val="00E56F07"/>
    <w:rsid w:val="00E71CB2"/>
    <w:rsid w:val="00E80E7F"/>
    <w:rsid w:val="00E8116E"/>
    <w:rsid w:val="00E825AC"/>
    <w:rsid w:val="00E853A2"/>
    <w:rsid w:val="00E87789"/>
    <w:rsid w:val="00E92971"/>
    <w:rsid w:val="00E946A2"/>
    <w:rsid w:val="00E95445"/>
    <w:rsid w:val="00E969B9"/>
    <w:rsid w:val="00EA4B0F"/>
    <w:rsid w:val="00EB1056"/>
    <w:rsid w:val="00EB6BA0"/>
    <w:rsid w:val="00EC0CCB"/>
    <w:rsid w:val="00EC458D"/>
    <w:rsid w:val="00EC5CB0"/>
    <w:rsid w:val="00EC5FE5"/>
    <w:rsid w:val="00ED48E3"/>
    <w:rsid w:val="00EE063F"/>
    <w:rsid w:val="00EE2691"/>
    <w:rsid w:val="00EF060F"/>
    <w:rsid w:val="00F0240C"/>
    <w:rsid w:val="00F03495"/>
    <w:rsid w:val="00F066FE"/>
    <w:rsid w:val="00F10853"/>
    <w:rsid w:val="00F150C4"/>
    <w:rsid w:val="00F20834"/>
    <w:rsid w:val="00F22DCB"/>
    <w:rsid w:val="00F2491D"/>
    <w:rsid w:val="00F3159C"/>
    <w:rsid w:val="00F535AC"/>
    <w:rsid w:val="00F55CC9"/>
    <w:rsid w:val="00F64254"/>
    <w:rsid w:val="00F66C4E"/>
    <w:rsid w:val="00F76067"/>
    <w:rsid w:val="00F805A2"/>
    <w:rsid w:val="00F83687"/>
    <w:rsid w:val="00FA56FC"/>
    <w:rsid w:val="00FA7E6D"/>
    <w:rsid w:val="00FA7F25"/>
    <w:rsid w:val="00FB4482"/>
    <w:rsid w:val="00FB5B61"/>
    <w:rsid w:val="00FB7DA7"/>
    <w:rsid w:val="00FD037D"/>
    <w:rsid w:val="00FD097E"/>
    <w:rsid w:val="00FD101A"/>
    <w:rsid w:val="00FD118D"/>
    <w:rsid w:val="00FE2C3B"/>
    <w:rsid w:val="00FF02B0"/>
    <w:rsid w:val="00FF0984"/>
    <w:rsid w:val="00FF22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615DDF8-7161-47F9-8061-FCC83A21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C3B"/>
    <w:rPr>
      <w:sz w:val="24"/>
      <w:szCs w:val="24"/>
      <w:lang w:val="ru-RU" w:eastAsia="ru-RU"/>
    </w:rPr>
  </w:style>
  <w:style w:type="paragraph" w:styleId="2">
    <w:name w:val="heading 2"/>
    <w:basedOn w:val="a"/>
    <w:next w:val="a"/>
    <w:link w:val="20"/>
    <w:qFormat/>
    <w:rsid w:val="00C918F0"/>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emiHidden/>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rsid w:val="00335777"/>
    <w:pPr>
      <w:spacing w:before="100" w:beforeAutospacing="1" w:after="100" w:afterAutospacing="1"/>
    </w:pPr>
  </w:style>
  <w:style w:type="paragraph" w:styleId="21">
    <w:name w:val="Body Text 2"/>
    <w:basedOn w:val="a"/>
    <w:link w:val="22"/>
    <w:rsid w:val="00C918F0"/>
    <w:pPr>
      <w:spacing w:after="120" w:line="480" w:lineRule="auto"/>
    </w:pPr>
    <w:rPr>
      <w:lang w:val="uk-UA"/>
    </w:rPr>
  </w:style>
  <w:style w:type="paragraph" w:styleId="a5">
    <w:name w:val="Body Text Indent"/>
    <w:basedOn w:val="a"/>
    <w:rsid w:val="00C918F0"/>
    <w:pPr>
      <w:spacing w:after="120"/>
      <w:ind w:left="283"/>
    </w:pPr>
    <w:rPr>
      <w:sz w:val="20"/>
      <w:szCs w:val="20"/>
      <w:lang w:val="uk-UA"/>
    </w:rPr>
  </w:style>
  <w:style w:type="paragraph" w:styleId="23">
    <w:name w:val="Body Text Indent 2"/>
    <w:basedOn w:val="a"/>
    <w:link w:val="24"/>
    <w:rsid w:val="00C918F0"/>
    <w:pPr>
      <w:spacing w:after="120" w:line="480" w:lineRule="auto"/>
      <w:ind w:left="283"/>
    </w:pPr>
    <w:rPr>
      <w:sz w:val="20"/>
      <w:szCs w:val="20"/>
      <w:lang w:val="uk-UA"/>
    </w:rPr>
  </w:style>
  <w:style w:type="character" w:customStyle="1" w:styleId="24">
    <w:name w:val="Основний текст з відступом 2 Знак"/>
    <w:link w:val="23"/>
    <w:rsid w:val="00C918F0"/>
    <w:rPr>
      <w:lang w:val="uk-UA" w:eastAsia="ru-RU" w:bidi="ar-SA"/>
    </w:rPr>
  </w:style>
  <w:style w:type="character" w:customStyle="1" w:styleId="22">
    <w:name w:val="Основний текст 2 Знак"/>
    <w:link w:val="21"/>
    <w:rsid w:val="00C918F0"/>
    <w:rPr>
      <w:sz w:val="24"/>
      <w:szCs w:val="24"/>
      <w:lang w:val="uk-UA" w:eastAsia="ru-RU" w:bidi="ar-SA"/>
    </w:rPr>
  </w:style>
  <w:style w:type="character" w:customStyle="1" w:styleId="spelle">
    <w:name w:val="spelle"/>
    <w:basedOn w:val="1"/>
    <w:rsid w:val="00C918F0"/>
  </w:style>
  <w:style w:type="character" w:customStyle="1" w:styleId="20">
    <w:name w:val="Заголовок 2 Знак"/>
    <w:link w:val="2"/>
    <w:rsid w:val="00C918F0"/>
    <w:rPr>
      <w:rFonts w:ascii="Arial" w:hAnsi="Arial" w:cs="Arial"/>
      <w:b/>
      <w:bCs/>
      <w:i/>
      <w:iCs/>
      <w:sz w:val="28"/>
      <w:szCs w:val="28"/>
      <w:lang w:val="uk-UA" w:eastAsia="ru-RU" w:bidi="ar-SA"/>
    </w:rPr>
  </w:style>
  <w:style w:type="paragraph" w:styleId="a6">
    <w:name w:val="header"/>
    <w:basedOn w:val="a"/>
    <w:rsid w:val="009149DB"/>
    <w:pPr>
      <w:tabs>
        <w:tab w:val="center" w:pos="4677"/>
        <w:tab w:val="right" w:pos="9355"/>
      </w:tabs>
    </w:pPr>
  </w:style>
  <w:style w:type="paragraph" w:styleId="a7">
    <w:name w:val="footer"/>
    <w:basedOn w:val="a"/>
    <w:rsid w:val="009149DB"/>
    <w:pPr>
      <w:tabs>
        <w:tab w:val="center" w:pos="4677"/>
        <w:tab w:val="right" w:pos="9355"/>
      </w:tabs>
    </w:pPr>
  </w:style>
  <w:style w:type="character" w:styleId="a8">
    <w:name w:val="page number"/>
    <w:basedOn w:val="1"/>
    <w:rsid w:val="009149DB"/>
  </w:style>
  <w:style w:type="paragraph" w:styleId="a9">
    <w:name w:val="Body Text"/>
    <w:basedOn w:val="a"/>
    <w:link w:val="aa"/>
    <w:rsid w:val="00CC2006"/>
    <w:pPr>
      <w:spacing w:after="120"/>
    </w:pPr>
  </w:style>
  <w:style w:type="character" w:customStyle="1" w:styleId="aa">
    <w:name w:val="Основний текст Знак"/>
    <w:link w:val="a9"/>
    <w:rsid w:val="00CC2006"/>
    <w:rPr>
      <w:sz w:val="24"/>
      <w:szCs w:val="24"/>
      <w:lang w:val="ru-RU" w:eastAsia="ru-RU"/>
    </w:rPr>
  </w:style>
  <w:style w:type="character" w:styleId="ab">
    <w:name w:val="Hyperlink"/>
    <w:unhideWhenUsed/>
    <w:rsid w:val="00CC2006"/>
    <w:rPr>
      <w:color w:val="0000FF"/>
      <w:u w:val="single"/>
    </w:rPr>
  </w:style>
  <w:style w:type="paragraph" w:customStyle="1" w:styleId="ac">
    <w:name w:val="Знак Знак Знак Знак Знак Знак Знак"/>
    <w:basedOn w:val="a"/>
    <w:rsid w:val="000F7FF4"/>
    <w:rPr>
      <w:rFonts w:ascii="Verdana" w:hAnsi="Verdana" w:cs="Verdana"/>
      <w:sz w:val="20"/>
      <w:szCs w:val="20"/>
      <w:lang w:val="en-US" w:eastAsia="en-US"/>
    </w:rPr>
  </w:style>
  <w:style w:type="paragraph" w:styleId="ad">
    <w:name w:val="Balloon Text"/>
    <w:basedOn w:val="a"/>
    <w:link w:val="ae"/>
    <w:rsid w:val="00932F03"/>
    <w:rPr>
      <w:rFonts w:ascii="Tahoma" w:hAnsi="Tahoma" w:cs="Tahoma"/>
      <w:sz w:val="16"/>
      <w:szCs w:val="16"/>
    </w:rPr>
  </w:style>
  <w:style w:type="character" w:customStyle="1" w:styleId="ae">
    <w:name w:val="Текст у виносці Знак"/>
    <w:link w:val="ad"/>
    <w:rsid w:val="00932F03"/>
    <w:rPr>
      <w:rFonts w:ascii="Tahoma" w:hAnsi="Tahoma" w:cs="Tahoma"/>
      <w:sz w:val="16"/>
      <w:szCs w:val="16"/>
      <w:lang w:val="ru-RU" w:eastAsia="ru-RU"/>
    </w:rPr>
  </w:style>
  <w:style w:type="paragraph" w:customStyle="1" w:styleId="af">
    <w:name w:val="Знак Знак Знак Знак"/>
    <w:basedOn w:val="a"/>
    <w:rsid w:val="00387BB7"/>
    <w:rPr>
      <w:rFonts w:ascii="Verdana" w:hAnsi="Verdana" w:cs="Verdana"/>
      <w:sz w:val="20"/>
      <w:szCs w:val="20"/>
      <w:lang w:val="en-US" w:eastAsia="en-US"/>
    </w:rPr>
  </w:style>
  <w:style w:type="paragraph" w:customStyle="1" w:styleId="af0">
    <w:name w:val="Знак Знак"/>
    <w:basedOn w:val="a"/>
    <w:rsid w:val="008319C6"/>
    <w:rPr>
      <w:rFonts w:ascii="Verdana" w:hAnsi="Verdana" w:cs="Verdana"/>
      <w:sz w:val="20"/>
      <w:szCs w:val="20"/>
      <w:lang w:val="en-US" w:eastAsia="en-US"/>
    </w:rPr>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3"/>
    <w:locked/>
    <w:rsid w:val="008319C6"/>
    <w:rPr>
      <w:sz w:val="24"/>
      <w:szCs w:val="24"/>
      <w:lang w:val="ru-RU" w:eastAsia="ru-RU"/>
    </w:rPr>
  </w:style>
  <w:style w:type="paragraph" w:customStyle="1" w:styleId="rvps2">
    <w:name w:val="rvps2"/>
    <w:basedOn w:val="a"/>
    <w:qFormat/>
    <w:rsid w:val="00105E0C"/>
    <w:pPr>
      <w:spacing w:before="100" w:beforeAutospacing="1" w:after="100" w:afterAutospacing="1"/>
    </w:pPr>
    <w:rPr>
      <w:lang w:val="uk-UA" w:eastAsia="uk-UA"/>
    </w:rPr>
  </w:style>
  <w:style w:type="character" w:customStyle="1" w:styleId="fontstyle01">
    <w:name w:val="fontstyle01"/>
    <w:rsid w:val="00281937"/>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7633">
      <w:bodyDiv w:val="1"/>
      <w:marLeft w:val="0"/>
      <w:marRight w:val="0"/>
      <w:marTop w:val="0"/>
      <w:marBottom w:val="0"/>
      <w:divBdr>
        <w:top w:val="none" w:sz="0" w:space="0" w:color="auto"/>
        <w:left w:val="none" w:sz="0" w:space="0" w:color="auto"/>
        <w:bottom w:val="none" w:sz="0" w:space="0" w:color="auto"/>
        <w:right w:val="none" w:sz="0" w:space="0" w:color="auto"/>
      </w:divBdr>
    </w:div>
    <w:div w:id="10572386">
      <w:bodyDiv w:val="1"/>
      <w:marLeft w:val="0"/>
      <w:marRight w:val="0"/>
      <w:marTop w:val="0"/>
      <w:marBottom w:val="0"/>
      <w:divBdr>
        <w:top w:val="none" w:sz="0" w:space="0" w:color="auto"/>
        <w:left w:val="none" w:sz="0" w:space="0" w:color="auto"/>
        <w:bottom w:val="none" w:sz="0" w:space="0" w:color="auto"/>
        <w:right w:val="none" w:sz="0" w:space="0" w:color="auto"/>
      </w:divBdr>
    </w:div>
    <w:div w:id="11689949">
      <w:bodyDiv w:val="1"/>
      <w:marLeft w:val="0"/>
      <w:marRight w:val="0"/>
      <w:marTop w:val="0"/>
      <w:marBottom w:val="0"/>
      <w:divBdr>
        <w:top w:val="none" w:sz="0" w:space="0" w:color="auto"/>
        <w:left w:val="none" w:sz="0" w:space="0" w:color="auto"/>
        <w:bottom w:val="none" w:sz="0" w:space="0" w:color="auto"/>
        <w:right w:val="none" w:sz="0" w:space="0" w:color="auto"/>
      </w:divBdr>
    </w:div>
    <w:div w:id="70543211">
      <w:bodyDiv w:val="1"/>
      <w:marLeft w:val="0"/>
      <w:marRight w:val="0"/>
      <w:marTop w:val="0"/>
      <w:marBottom w:val="0"/>
      <w:divBdr>
        <w:top w:val="none" w:sz="0" w:space="0" w:color="auto"/>
        <w:left w:val="none" w:sz="0" w:space="0" w:color="auto"/>
        <w:bottom w:val="none" w:sz="0" w:space="0" w:color="auto"/>
        <w:right w:val="none" w:sz="0" w:space="0" w:color="auto"/>
      </w:divBdr>
    </w:div>
    <w:div w:id="382682132">
      <w:bodyDiv w:val="1"/>
      <w:marLeft w:val="0"/>
      <w:marRight w:val="0"/>
      <w:marTop w:val="0"/>
      <w:marBottom w:val="0"/>
      <w:divBdr>
        <w:top w:val="none" w:sz="0" w:space="0" w:color="auto"/>
        <w:left w:val="none" w:sz="0" w:space="0" w:color="auto"/>
        <w:bottom w:val="none" w:sz="0" w:space="0" w:color="auto"/>
        <w:right w:val="none" w:sz="0" w:space="0" w:color="auto"/>
      </w:divBdr>
    </w:div>
    <w:div w:id="501622973">
      <w:bodyDiv w:val="1"/>
      <w:marLeft w:val="0"/>
      <w:marRight w:val="0"/>
      <w:marTop w:val="0"/>
      <w:marBottom w:val="0"/>
      <w:divBdr>
        <w:top w:val="none" w:sz="0" w:space="0" w:color="auto"/>
        <w:left w:val="none" w:sz="0" w:space="0" w:color="auto"/>
        <w:bottom w:val="none" w:sz="0" w:space="0" w:color="auto"/>
        <w:right w:val="none" w:sz="0" w:space="0" w:color="auto"/>
      </w:divBdr>
    </w:div>
    <w:div w:id="608005076">
      <w:bodyDiv w:val="1"/>
      <w:marLeft w:val="0"/>
      <w:marRight w:val="0"/>
      <w:marTop w:val="0"/>
      <w:marBottom w:val="0"/>
      <w:divBdr>
        <w:top w:val="none" w:sz="0" w:space="0" w:color="auto"/>
        <w:left w:val="none" w:sz="0" w:space="0" w:color="auto"/>
        <w:bottom w:val="none" w:sz="0" w:space="0" w:color="auto"/>
        <w:right w:val="none" w:sz="0" w:space="0" w:color="auto"/>
      </w:divBdr>
    </w:div>
    <w:div w:id="628783926">
      <w:bodyDiv w:val="1"/>
      <w:marLeft w:val="0"/>
      <w:marRight w:val="0"/>
      <w:marTop w:val="0"/>
      <w:marBottom w:val="0"/>
      <w:divBdr>
        <w:top w:val="none" w:sz="0" w:space="0" w:color="auto"/>
        <w:left w:val="none" w:sz="0" w:space="0" w:color="auto"/>
        <w:bottom w:val="none" w:sz="0" w:space="0" w:color="auto"/>
        <w:right w:val="none" w:sz="0" w:space="0" w:color="auto"/>
      </w:divBdr>
    </w:div>
    <w:div w:id="848177279">
      <w:bodyDiv w:val="1"/>
      <w:marLeft w:val="0"/>
      <w:marRight w:val="0"/>
      <w:marTop w:val="0"/>
      <w:marBottom w:val="0"/>
      <w:divBdr>
        <w:top w:val="none" w:sz="0" w:space="0" w:color="auto"/>
        <w:left w:val="none" w:sz="0" w:space="0" w:color="auto"/>
        <w:bottom w:val="none" w:sz="0" w:space="0" w:color="auto"/>
        <w:right w:val="none" w:sz="0" w:space="0" w:color="auto"/>
      </w:divBdr>
    </w:div>
    <w:div w:id="1016078178">
      <w:bodyDiv w:val="1"/>
      <w:marLeft w:val="0"/>
      <w:marRight w:val="0"/>
      <w:marTop w:val="0"/>
      <w:marBottom w:val="0"/>
      <w:divBdr>
        <w:top w:val="none" w:sz="0" w:space="0" w:color="auto"/>
        <w:left w:val="none" w:sz="0" w:space="0" w:color="auto"/>
        <w:bottom w:val="none" w:sz="0" w:space="0" w:color="auto"/>
        <w:right w:val="none" w:sz="0" w:space="0" w:color="auto"/>
      </w:divBdr>
    </w:div>
    <w:div w:id="1328170704">
      <w:bodyDiv w:val="1"/>
      <w:marLeft w:val="0"/>
      <w:marRight w:val="0"/>
      <w:marTop w:val="0"/>
      <w:marBottom w:val="0"/>
      <w:divBdr>
        <w:top w:val="none" w:sz="0" w:space="0" w:color="auto"/>
        <w:left w:val="none" w:sz="0" w:space="0" w:color="auto"/>
        <w:bottom w:val="none" w:sz="0" w:space="0" w:color="auto"/>
        <w:right w:val="none" w:sz="0" w:space="0" w:color="auto"/>
      </w:divBdr>
    </w:div>
    <w:div w:id="1736396476">
      <w:bodyDiv w:val="1"/>
      <w:marLeft w:val="0"/>
      <w:marRight w:val="0"/>
      <w:marTop w:val="0"/>
      <w:marBottom w:val="0"/>
      <w:divBdr>
        <w:top w:val="none" w:sz="0" w:space="0" w:color="auto"/>
        <w:left w:val="none" w:sz="0" w:space="0" w:color="auto"/>
        <w:bottom w:val="none" w:sz="0" w:space="0" w:color="auto"/>
        <w:right w:val="none" w:sz="0" w:space="0" w:color="auto"/>
      </w:divBdr>
    </w:div>
    <w:div w:id="1861160049">
      <w:bodyDiv w:val="1"/>
      <w:marLeft w:val="0"/>
      <w:marRight w:val="0"/>
      <w:marTop w:val="0"/>
      <w:marBottom w:val="0"/>
      <w:divBdr>
        <w:top w:val="none" w:sz="0" w:space="0" w:color="auto"/>
        <w:left w:val="none" w:sz="0" w:space="0" w:color="auto"/>
        <w:bottom w:val="none" w:sz="0" w:space="0" w:color="auto"/>
        <w:right w:val="none" w:sz="0" w:space="0" w:color="auto"/>
      </w:divBdr>
    </w:div>
    <w:div w:id="2018458126">
      <w:bodyDiv w:val="1"/>
      <w:marLeft w:val="0"/>
      <w:marRight w:val="0"/>
      <w:marTop w:val="0"/>
      <w:marBottom w:val="0"/>
      <w:divBdr>
        <w:top w:val="none" w:sz="0" w:space="0" w:color="auto"/>
        <w:left w:val="none" w:sz="0" w:space="0" w:color="auto"/>
        <w:bottom w:val="none" w:sz="0" w:space="0" w:color="auto"/>
        <w:right w:val="none" w:sz="0" w:space="0" w:color="auto"/>
      </w:divBdr>
    </w:div>
    <w:div w:id="203957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054FD-7EE0-4246-86C6-1BA018BD8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5840</Words>
  <Characters>3330</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НАЦІОНАЛЬНА КОМІСІЯ, ЩО ЗДІЙСНЮЄ ДЕРЖАВНЕ РЕГУЛЮВАННЯ У СФЕРАХ ЕНЕРГЕТИКИ ТА КОМУНАЛЬНИХ ПОСЛУГ</vt:lpstr>
      <vt:lpstr>НАЦІОНАЛЬНА КОМІСІЯ, ЩО ЗДІЙСНЮЄ ДЕРЖАВНЕ РЕГУЛЮВАННЯ У СФЕРАХ ЕНЕРГЕТИКИ ТА КОМУНАЛЬНИХ ПОСЛУГ</vt:lpstr>
    </vt:vector>
  </TitlesOfParts>
  <Company>NCRE</Company>
  <LinksUpToDate>false</LinksUpToDate>
  <CharactersWithSpaces>9152</CharactersWithSpaces>
  <SharedDoc>false</SharedDoc>
  <HLinks>
    <vt:vector size="6" baseType="variant">
      <vt:variant>
        <vt:i4>3735602</vt:i4>
      </vt:variant>
      <vt:variant>
        <vt:i4>0</vt:i4>
      </vt:variant>
      <vt:variant>
        <vt:i4>0</vt:i4>
      </vt:variant>
      <vt:variant>
        <vt:i4>5</vt:i4>
      </vt:variant>
      <vt:variant>
        <vt:lpwstr>http://www.nerc.gov.ua/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НАЦІОНАЛЬНА КОМІСІЯ, ЩО ЗДІЙСНЮЄ ДЕРЖАВНЕ РЕГУЛЮВАННЯ У СФЕРАХ ЕНЕРГЕТИКИ ТА КОМУНАЛЬНИХ ПОСЛУГ</dc:title>
  <dc:subject/>
  <dc:creator>Gorodysky</dc:creator>
  <cp:keywords/>
  <cp:lastModifiedBy>Юлія Печеновська</cp:lastModifiedBy>
  <cp:revision>5</cp:revision>
  <cp:lastPrinted>2025-09-23T09:08:00Z</cp:lastPrinted>
  <dcterms:created xsi:type="dcterms:W3CDTF">2026-02-25T13:39:00Z</dcterms:created>
  <dcterms:modified xsi:type="dcterms:W3CDTF">2026-03-03T12:23:00Z</dcterms:modified>
</cp:coreProperties>
</file>