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BAC24E" w14:textId="77777777" w:rsidR="00445E23" w:rsidRPr="008D4842" w:rsidRDefault="00445E23" w:rsidP="00445E23">
      <w:pPr>
        <w:pStyle w:val="3"/>
        <w:spacing w:before="0" w:beforeAutospacing="0" w:after="0" w:afterAutospacing="0"/>
        <w:jc w:val="center"/>
      </w:pPr>
      <w:proofErr w:type="spellStart"/>
      <w:r w:rsidRPr="008D4842">
        <w:t>Порівняльна</w:t>
      </w:r>
      <w:proofErr w:type="spellEnd"/>
      <w:r w:rsidRPr="008D4842">
        <w:t xml:space="preserve"> </w:t>
      </w:r>
      <w:proofErr w:type="spellStart"/>
      <w:r w:rsidRPr="008D4842">
        <w:t>таблиця</w:t>
      </w:r>
      <w:proofErr w:type="spellEnd"/>
      <w:r w:rsidRPr="008D4842">
        <w:t xml:space="preserve"> до </w:t>
      </w:r>
      <w:proofErr w:type="spellStart"/>
      <w:r w:rsidRPr="008D4842">
        <w:t>про</w:t>
      </w:r>
      <w:r>
        <w:t>є</w:t>
      </w:r>
      <w:r w:rsidRPr="008D4842">
        <w:t>кту</w:t>
      </w:r>
      <w:proofErr w:type="spellEnd"/>
      <w:r w:rsidRPr="008D4842">
        <w:t xml:space="preserve"> постанови НКРЕКП</w:t>
      </w:r>
    </w:p>
    <w:p w14:paraId="2A1533B9" w14:textId="455FA855" w:rsidR="00DF1A26" w:rsidRDefault="00445E23" w:rsidP="00445E23">
      <w:pPr>
        <w:jc w:val="center"/>
        <w:rPr>
          <w:b/>
          <w:i/>
          <w:sz w:val="28"/>
        </w:rPr>
      </w:pPr>
      <w:r>
        <w:rPr>
          <w:b/>
          <w:sz w:val="28"/>
          <w:szCs w:val="28"/>
        </w:rPr>
        <w:t>«</w:t>
      </w:r>
      <w:r w:rsidRPr="00445E23">
        <w:rPr>
          <w:b/>
          <w:sz w:val="28"/>
          <w:szCs w:val="28"/>
        </w:rPr>
        <w:t>Про затвердження Змін до Кодексу газорозподільних систем</w:t>
      </w:r>
      <w:r>
        <w:rPr>
          <w:b/>
          <w:sz w:val="28"/>
          <w:szCs w:val="28"/>
        </w:rPr>
        <w:t>»</w:t>
      </w:r>
    </w:p>
    <w:p w14:paraId="51EBC1D8" w14:textId="77777777" w:rsidR="00DF1A26" w:rsidRPr="00DF1A26" w:rsidRDefault="00DF1A26" w:rsidP="00DF1A26">
      <w:pPr>
        <w:jc w:val="center"/>
        <w:rPr>
          <w:b/>
          <w:i/>
          <w:sz w:val="28"/>
        </w:rPr>
      </w:pPr>
    </w:p>
    <w:tbl>
      <w:tblPr>
        <w:tblStyle w:val="a6"/>
        <w:tblW w:w="0" w:type="auto"/>
        <w:tblLook w:val="04A0" w:firstRow="1" w:lastRow="0" w:firstColumn="1" w:lastColumn="0" w:noHBand="0" w:noVBand="1"/>
      </w:tblPr>
      <w:tblGrid>
        <w:gridCol w:w="6232"/>
        <w:gridCol w:w="8328"/>
      </w:tblGrid>
      <w:tr w:rsidR="00445E23" w:rsidRPr="00DD02F4" w14:paraId="0E044787" w14:textId="77777777" w:rsidTr="00D871EE">
        <w:tc>
          <w:tcPr>
            <w:tcW w:w="6232" w:type="dxa"/>
          </w:tcPr>
          <w:p w14:paraId="14DF52BF" w14:textId="33D8E4FF" w:rsidR="00445E23" w:rsidRPr="00DD02F4" w:rsidRDefault="00445E23" w:rsidP="00445E23">
            <w:pPr>
              <w:jc w:val="center"/>
              <w:rPr>
                <w:b/>
                <w:i/>
                <w:sz w:val="24"/>
                <w:szCs w:val="24"/>
              </w:rPr>
            </w:pPr>
            <w:r w:rsidRPr="00206BD2">
              <w:rPr>
                <w:b/>
                <w:i/>
                <w:sz w:val="24"/>
                <w:szCs w:val="24"/>
              </w:rPr>
              <w:t>ЗМІСТ ДІЮЧОЇ РЕДАКЦІЇ НОРМАТИВНО-ПРАВОВОГО АКТУ</w:t>
            </w:r>
          </w:p>
        </w:tc>
        <w:tc>
          <w:tcPr>
            <w:tcW w:w="8328" w:type="dxa"/>
          </w:tcPr>
          <w:p w14:paraId="567628B3" w14:textId="7F0D57A2" w:rsidR="00445E23" w:rsidRPr="00DD02F4" w:rsidRDefault="00445E23" w:rsidP="00445E23">
            <w:pPr>
              <w:jc w:val="center"/>
              <w:rPr>
                <w:b/>
                <w:i/>
                <w:sz w:val="24"/>
                <w:szCs w:val="24"/>
              </w:rPr>
            </w:pPr>
            <w:r w:rsidRPr="00206BD2">
              <w:rPr>
                <w:b/>
                <w:i/>
                <w:sz w:val="24"/>
                <w:szCs w:val="24"/>
              </w:rPr>
              <w:t>ЗМІСТ ПОЛОЖЕНЬ ПРОЄКТУ ПОСТАНОВИ</w:t>
            </w:r>
          </w:p>
        </w:tc>
      </w:tr>
      <w:tr w:rsidR="00445E23" w:rsidRPr="00DD02F4" w14:paraId="7AEE221F" w14:textId="77777777" w:rsidTr="0018497C">
        <w:tc>
          <w:tcPr>
            <w:tcW w:w="14560" w:type="dxa"/>
            <w:gridSpan w:val="2"/>
          </w:tcPr>
          <w:p w14:paraId="2630A823" w14:textId="648214E4" w:rsidR="00445E23" w:rsidRPr="00445E23" w:rsidRDefault="00445E23" w:rsidP="00445E23">
            <w:pPr>
              <w:jc w:val="center"/>
              <w:rPr>
                <w:b/>
                <w:sz w:val="24"/>
                <w:szCs w:val="24"/>
              </w:rPr>
            </w:pPr>
            <w:r w:rsidRPr="00445E23">
              <w:rPr>
                <w:b/>
                <w:sz w:val="24"/>
                <w:szCs w:val="24"/>
              </w:rPr>
              <w:t>Кодекс газорозподільних систем</w:t>
            </w:r>
          </w:p>
          <w:p w14:paraId="53BC53F8" w14:textId="1B17B509" w:rsidR="00445E23" w:rsidRPr="00206BD2" w:rsidRDefault="00445E23" w:rsidP="00445E23">
            <w:pPr>
              <w:jc w:val="center"/>
              <w:rPr>
                <w:b/>
                <w:i/>
                <w:sz w:val="24"/>
                <w:szCs w:val="24"/>
              </w:rPr>
            </w:pPr>
            <w:r w:rsidRPr="00445E23">
              <w:rPr>
                <w:b/>
                <w:sz w:val="24"/>
                <w:szCs w:val="24"/>
              </w:rPr>
              <w:t>(постанова НКРЕКП від 30.09.2015  № 2494)</w:t>
            </w:r>
          </w:p>
        </w:tc>
      </w:tr>
      <w:tr w:rsidR="005205BD" w:rsidRPr="00DD02F4" w14:paraId="15C3B66E" w14:textId="77777777" w:rsidTr="00021244">
        <w:tc>
          <w:tcPr>
            <w:tcW w:w="14560" w:type="dxa"/>
            <w:gridSpan w:val="2"/>
          </w:tcPr>
          <w:p w14:paraId="5538BA1E" w14:textId="77777777" w:rsidR="005205BD" w:rsidRPr="00DD02F4" w:rsidRDefault="005205BD" w:rsidP="005205BD">
            <w:pPr>
              <w:jc w:val="center"/>
              <w:rPr>
                <w:b/>
                <w:sz w:val="24"/>
                <w:szCs w:val="24"/>
              </w:rPr>
            </w:pPr>
            <w:r w:rsidRPr="00DD02F4">
              <w:rPr>
                <w:b/>
                <w:sz w:val="24"/>
                <w:szCs w:val="24"/>
              </w:rPr>
              <w:t>VI. Комерційні умови доступу до газорозподільної системи для отримання/передачі природного газу</w:t>
            </w:r>
          </w:p>
          <w:p w14:paraId="7C48F3F3" w14:textId="77777777" w:rsidR="005205BD" w:rsidRPr="00DD02F4" w:rsidRDefault="005205BD" w:rsidP="005205BD">
            <w:pPr>
              <w:jc w:val="center"/>
              <w:rPr>
                <w:b/>
                <w:sz w:val="24"/>
                <w:szCs w:val="24"/>
              </w:rPr>
            </w:pPr>
            <w:r w:rsidRPr="00DD02F4">
              <w:rPr>
                <w:b/>
                <w:sz w:val="24"/>
                <w:szCs w:val="24"/>
              </w:rPr>
              <w:t>6. Порядок розрахунків за договором розподілу природного газу</w:t>
            </w:r>
          </w:p>
        </w:tc>
      </w:tr>
      <w:tr w:rsidR="00061A9C" w:rsidRPr="00DD02F4" w14:paraId="319C696D" w14:textId="77777777" w:rsidTr="00D871EE">
        <w:tc>
          <w:tcPr>
            <w:tcW w:w="6232" w:type="dxa"/>
          </w:tcPr>
          <w:p w14:paraId="294C1C0E" w14:textId="77777777" w:rsidR="00061A9C" w:rsidRPr="00DD02F4" w:rsidRDefault="00061A9C" w:rsidP="00061A9C">
            <w:pPr>
              <w:rPr>
                <w:b/>
                <w:i/>
                <w:sz w:val="24"/>
                <w:szCs w:val="24"/>
              </w:rPr>
            </w:pPr>
            <w:r w:rsidRPr="00DD02F4">
              <w:rPr>
                <w:b/>
                <w:i/>
                <w:sz w:val="24"/>
                <w:szCs w:val="24"/>
              </w:rPr>
              <w:t>Пункт відсутній</w:t>
            </w:r>
          </w:p>
          <w:p w14:paraId="67DD1B40" w14:textId="77777777" w:rsidR="00073293" w:rsidRPr="00DD02F4" w:rsidRDefault="00073293" w:rsidP="00061A9C">
            <w:pPr>
              <w:rPr>
                <w:b/>
                <w:i/>
                <w:sz w:val="24"/>
                <w:szCs w:val="24"/>
              </w:rPr>
            </w:pPr>
          </w:p>
          <w:p w14:paraId="286B621C" w14:textId="77777777" w:rsidR="00073293" w:rsidRPr="00DD02F4" w:rsidRDefault="00073293" w:rsidP="00061A9C">
            <w:pPr>
              <w:rPr>
                <w:b/>
                <w:i/>
                <w:sz w:val="24"/>
                <w:szCs w:val="24"/>
              </w:rPr>
            </w:pPr>
          </w:p>
          <w:p w14:paraId="3A9F8950" w14:textId="77777777" w:rsidR="00073293" w:rsidRPr="00DD02F4" w:rsidRDefault="00073293" w:rsidP="00061A9C">
            <w:pPr>
              <w:rPr>
                <w:b/>
                <w:i/>
                <w:sz w:val="24"/>
                <w:szCs w:val="24"/>
              </w:rPr>
            </w:pPr>
          </w:p>
          <w:p w14:paraId="1563A44C" w14:textId="77777777" w:rsidR="00073293" w:rsidRPr="00DD02F4" w:rsidRDefault="00073293" w:rsidP="00061A9C">
            <w:pPr>
              <w:rPr>
                <w:b/>
                <w:i/>
                <w:sz w:val="24"/>
                <w:szCs w:val="24"/>
              </w:rPr>
            </w:pPr>
          </w:p>
          <w:p w14:paraId="2AA2B01B" w14:textId="77777777" w:rsidR="00073293" w:rsidRPr="00DD02F4" w:rsidRDefault="00073293" w:rsidP="00061A9C">
            <w:pPr>
              <w:rPr>
                <w:b/>
                <w:i/>
                <w:sz w:val="24"/>
                <w:szCs w:val="24"/>
              </w:rPr>
            </w:pPr>
          </w:p>
          <w:p w14:paraId="3E4AD400" w14:textId="77777777" w:rsidR="00073293" w:rsidRPr="00DD02F4" w:rsidRDefault="00073293" w:rsidP="00061A9C">
            <w:pPr>
              <w:rPr>
                <w:b/>
                <w:i/>
                <w:sz w:val="24"/>
                <w:szCs w:val="24"/>
              </w:rPr>
            </w:pPr>
          </w:p>
          <w:p w14:paraId="57B3D5D2" w14:textId="77777777" w:rsidR="004165E9" w:rsidRPr="00DD02F4" w:rsidRDefault="00073293" w:rsidP="004165E9">
            <w:pPr>
              <w:rPr>
                <w:color w:val="00E266"/>
                <w:sz w:val="24"/>
                <w:szCs w:val="24"/>
              </w:rPr>
            </w:pPr>
            <w:r w:rsidRPr="00DD02F4">
              <w:rPr>
                <w:sz w:val="24"/>
                <w:szCs w:val="24"/>
              </w:rPr>
              <w:t xml:space="preserve"> </w:t>
            </w:r>
          </w:p>
          <w:p w14:paraId="291EC09E" w14:textId="77777777" w:rsidR="00073293" w:rsidRPr="00DD02F4" w:rsidRDefault="00073293" w:rsidP="00061A9C">
            <w:pPr>
              <w:rPr>
                <w:color w:val="00E266"/>
                <w:sz w:val="24"/>
                <w:szCs w:val="24"/>
              </w:rPr>
            </w:pPr>
          </w:p>
        </w:tc>
        <w:tc>
          <w:tcPr>
            <w:tcW w:w="8328" w:type="dxa"/>
          </w:tcPr>
          <w:p w14:paraId="31BA82D8" w14:textId="77777777" w:rsidR="00FF6712" w:rsidRPr="00FF6712" w:rsidRDefault="00FF6712" w:rsidP="00FF6712">
            <w:pPr>
              <w:ind w:firstLine="708"/>
              <w:jc w:val="both"/>
              <w:rPr>
                <w:sz w:val="24"/>
                <w:szCs w:val="24"/>
                <w:lang w:eastAsia="uk-UA"/>
              </w:rPr>
            </w:pPr>
            <w:r w:rsidRPr="00FF6712">
              <w:rPr>
                <w:sz w:val="24"/>
                <w:szCs w:val="24"/>
                <w:lang w:eastAsia="uk-UA"/>
              </w:rPr>
              <w:t>8. Оператор ГРМ формує та безкоштовно виставляє споживачу платіжний документ (ра</w:t>
            </w:r>
            <w:bookmarkStart w:id="0" w:name="_GoBack"/>
            <w:bookmarkEnd w:id="0"/>
            <w:r w:rsidRPr="00FF6712">
              <w:rPr>
                <w:sz w:val="24"/>
                <w:szCs w:val="24"/>
                <w:lang w:eastAsia="uk-UA"/>
              </w:rPr>
              <w:t xml:space="preserve">хунок) на оплату послуг розподілу природного газу в паперовій або електронній формі. Оператор ГРМ забезпечує можливість вибору споживачем виставлення рахунка в електронній формі (або повернення до паперової форми) в особистому кабінеті, шляхом подання відповідної заяви Оператору ГРМ. У випадку згоди споживача на отримання електронного платіжного документа споживач має право не раніше ніж за три місяці після надання такої згоди повернутися до паперової форми платіжного документа. </w:t>
            </w:r>
          </w:p>
          <w:p w14:paraId="5B3A7587" w14:textId="77777777" w:rsidR="00FF6712" w:rsidRPr="00FF6712" w:rsidRDefault="00FF6712" w:rsidP="00FF6712">
            <w:pPr>
              <w:ind w:firstLine="708"/>
              <w:jc w:val="both"/>
              <w:rPr>
                <w:sz w:val="24"/>
                <w:szCs w:val="24"/>
                <w:lang w:eastAsia="uk-UA"/>
              </w:rPr>
            </w:pPr>
            <w:r w:rsidRPr="00FF6712">
              <w:rPr>
                <w:sz w:val="24"/>
                <w:szCs w:val="24"/>
                <w:lang w:eastAsia="uk-UA"/>
              </w:rPr>
              <w:t>Оператор ГРМ виставляє рахунок на оплату послуг розподілу природного газу споживачу, який є побутовим, після 5 числа місяця розрахункового періоду, але не пізніше ніж за 5 робочих днів до кінцевого терміну (строку) оплати рахунка.</w:t>
            </w:r>
          </w:p>
          <w:p w14:paraId="6CBBACCF" w14:textId="77777777" w:rsidR="00FF6712" w:rsidRPr="00FF6712" w:rsidRDefault="00FF6712" w:rsidP="00FF6712">
            <w:pPr>
              <w:ind w:firstLine="708"/>
              <w:jc w:val="both"/>
              <w:rPr>
                <w:sz w:val="24"/>
                <w:szCs w:val="24"/>
                <w:lang w:eastAsia="uk-UA"/>
              </w:rPr>
            </w:pPr>
            <w:r w:rsidRPr="00FF6712">
              <w:rPr>
                <w:sz w:val="24"/>
                <w:szCs w:val="24"/>
                <w:lang w:eastAsia="uk-UA"/>
              </w:rPr>
              <w:t>Оплата вартості послуг розподілу природного газу на підставі рахунка Оператора ГРМ здійснюється споживачем, який є побутовим, до 20 числа (включно) місяця, у якому надаються послуги розподілу природного газу.</w:t>
            </w:r>
          </w:p>
          <w:p w14:paraId="76E16932" w14:textId="77777777" w:rsidR="00FF6712" w:rsidRPr="00FF6712" w:rsidRDefault="00FF6712" w:rsidP="00FF6712">
            <w:pPr>
              <w:ind w:firstLine="708"/>
              <w:jc w:val="both"/>
              <w:rPr>
                <w:sz w:val="24"/>
                <w:szCs w:val="24"/>
                <w:lang w:eastAsia="uk-UA"/>
              </w:rPr>
            </w:pPr>
            <w:r w:rsidRPr="00FF6712">
              <w:rPr>
                <w:sz w:val="24"/>
                <w:szCs w:val="24"/>
                <w:lang w:eastAsia="uk-UA"/>
              </w:rPr>
              <w:t>Рахунки на оплату послуг розподілу природного газу, які надаються Операторами ГРМ побутовим споживачам, повинні містити, зокрема, таку інформацію:</w:t>
            </w:r>
          </w:p>
          <w:p w14:paraId="408DA7DD" w14:textId="77777777" w:rsidR="00FF6712" w:rsidRPr="00FF6712" w:rsidRDefault="00FF6712" w:rsidP="00FF6712">
            <w:pPr>
              <w:ind w:firstLine="708"/>
              <w:jc w:val="both"/>
              <w:rPr>
                <w:sz w:val="24"/>
                <w:szCs w:val="24"/>
                <w:lang w:eastAsia="uk-UA"/>
              </w:rPr>
            </w:pPr>
            <w:r w:rsidRPr="00FF6712">
              <w:rPr>
                <w:sz w:val="24"/>
                <w:szCs w:val="24"/>
                <w:lang w:eastAsia="uk-UA"/>
              </w:rPr>
              <w:t>найменування  та логотип (торговельна марка) Оператора ГРМ;</w:t>
            </w:r>
          </w:p>
          <w:p w14:paraId="156D9723" w14:textId="77777777" w:rsidR="00FF6712" w:rsidRPr="00FF6712" w:rsidRDefault="00FF6712" w:rsidP="00FF6712">
            <w:pPr>
              <w:ind w:firstLine="708"/>
              <w:jc w:val="both"/>
              <w:rPr>
                <w:sz w:val="24"/>
                <w:szCs w:val="24"/>
                <w:lang w:eastAsia="uk-UA"/>
              </w:rPr>
            </w:pPr>
            <w:r w:rsidRPr="00FF6712">
              <w:rPr>
                <w:sz w:val="24"/>
                <w:szCs w:val="24"/>
                <w:lang w:eastAsia="uk-UA"/>
              </w:rPr>
              <w:t>найменування споживача та адреса об’єкта;</w:t>
            </w:r>
          </w:p>
          <w:p w14:paraId="284BE8FE" w14:textId="77777777" w:rsidR="00FF6712" w:rsidRPr="00FF6712" w:rsidRDefault="00FF6712" w:rsidP="00FF6712">
            <w:pPr>
              <w:ind w:firstLine="708"/>
              <w:jc w:val="both"/>
              <w:rPr>
                <w:sz w:val="24"/>
                <w:szCs w:val="24"/>
                <w:lang w:eastAsia="uk-UA"/>
              </w:rPr>
            </w:pPr>
            <w:r w:rsidRPr="00FF6712">
              <w:rPr>
                <w:sz w:val="24"/>
                <w:szCs w:val="24"/>
                <w:lang w:eastAsia="uk-UA"/>
              </w:rPr>
              <w:t>номер особового рахунку;</w:t>
            </w:r>
          </w:p>
          <w:p w14:paraId="0336127F" w14:textId="77777777" w:rsidR="00FF6712" w:rsidRPr="00FF6712" w:rsidRDefault="00FF6712" w:rsidP="00FF6712">
            <w:pPr>
              <w:ind w:firstLine="708"/>
              <w:jc w:val="both"/>
              <w:rPr>
                <w:sz w:val="24"/>
                <w:szCs w:val="24"/>
                <w:lang w:eastAsia="uk-UA"/>
              </w:rPr>
            </w:pPr>
            <w:r w:rsidRPr="00FF6712">
              <w:rPr>
                <w:sz w:val="24"/>
                <w:szCs w:val="24"/>
                <w:lang w:eastAsia="uk-UA"/>
              </w:rPr>
              <w:t>унікальний код, який використовується для однозначної ідентифікації споживача або точки комерційного обліку (ЕІС-код);</w:t>
            </w:r>
          </w:p>
          <w:p w14:paraId="4C704AC8" w14:textId="77777777" w:rsidR="00FF6712" w:rsidRPr="00FF6712" w:rsidRDefault="00FF6712" w:rsidP="00FF6712">
            <w:pPr>
              <w:ind w:firstLine="708"/>
              <w:jc w:val="both"/>
              <w:rPr>
                <w:sz w:val="24"/>
                <w:szCs w:val="24"/>
                <w:lang w:eastAsia="uk-UA"/>
              </w:rPr>
            </w:pPr>
            <w:r w:rsidRPr="00FF6712">
              <w:rPr>
                <w:sz w:val="24"/>
                <w:szCs w:val="24"/>
                <w:lang w:eastAsia="uk-UA"/>
              </w:rPr>
              <w:t>період, за який проводиться розрахунок;</w:t>
            </w:r>
          </w:p>
          <w:p w14:paraId="0AF1C0CA" w14:textId="77777777" w:rsidR="00FF6712" w:rsidRPr="00FF6712" w:rsidRDefault="00FF6712" w:rsidP="00FF6712">
            <w:pPr>
              <w:ind w:firstLine="708"/>
              <w:jc w:val="both"/>
              <w:rPr>
                <w:sz w:val="24"/>
                <w:szCs w:val="24"/>
                <w:lang w:eastAsia="uk-UA"/>
              </w:rPr>
            </w:pPr>
            <w:r w:rsidRPr="00FF6712">
              <w:rPr>
                <w:sz w:val="24"/>
                <w:szCs w:val="24"/>
                <w:lang w:eastAsia="uk-UA"/>
              </w:rPr>
              <w:t>дату формування рахунка;</w:t>
            </w:r>
          </w:p>
          <w:p w14:paraId="777DBF99" w14:textId="77777777" w:rsidR="00FF6712" w:rsidRPr="00FF6712" w:rsidRDefault="00FF6712" w:rsidP="00FF6712">
            <w:pPr>
              <w:ind w:firstLine="708"/>
              <w:jc w:val="both"/>
              <w:rPr>
                <w:sz w:val="24"/>
                <w:szCs w:val="24"/>
                <w:lang w:eastAsia="uk-UA"/>
              </w:rPr>
            </w:pPr>
            <w:r w:rsidRPr="00FF6712">
              <w:rPr>
                <w:sz w:val="24"/>
                <w:szCs w:val="24"/>
                <w:lang w:eastAsia="uk-UA"/>
              </w:rPr>
              <w:lastRenderedPageBreak/>
              <w:t>суму заборгованості або переплати з оплати послуг розподілу природного газу;</w:t>
            </w:r>
          </w:p>
          <w:p w14:paraId="2E2C55F5" w14:textId="77777777" w:rsidR="00FF6712" w:rsidRPr="00FF6712" w:rsidRDefault="00FF6712" w:rsidP="00FF6712">
            <w:pPr>
              <w:ind w:firstLine="708"/>
              <w:jc w:val="both"/>
              <w:rPr>
                <w:sz w:val="24"/>
                <w:szCs w:val="24"/>
                <w:lang w:eastAsia="uk-UA"/>
              </w:rPr>
            </w:pPr>
            <w:r w:rsidRPr="00FF6712">
              <w:rPr>
                <w:sz w:val="24"/>
                <w:szCs w:val="24"/>
                <w:lang w:eastAsia="uk-UA"/>
              </w:rPr>
              <w:t>місячну замовлену потужність на розрахунковий період;</w:t>
            </w:r>
          </w:p>
          <w:p w14:paraId="75EA57C4" w14:textId="77777777" w:rsidR="00FF6712" w:rsidRPr="00FF6712" w:rsidRDefault="00FF6712" w:rsidP="00FF6712">
            <w:pPr>
              <w:ind w:firstLine="708"/>
              <w:jc w:val="both"/>
              <w:rPr>
                <w:sz w:val="24"/>
                <w:szCs w:val="24"/>
                <w:lang w:eastAsia="uk-UA"/>
              </w:rPr>
            </w:pPr>
            <w:r w:rsidRPr="00FF6712">
              <w:rPr>
                <w:sz w:val="24"/>
                <w:szCs w:val="24"/>
                <w:lang w:eastAsia="uk-UA"/>
              </w:rPr>
              <w:t>тариф на послуги розподілу природного газу;</w:t>
            </w:r>
          </w:p>
          <w:p w14:paraId="3A35EA26" w14:textId="77777777" w:rsidR="00FF6712" w:rsidRPr="00FF6712" w:rsidRDefault="00FF6712" w:rsidP="00FF6712">
            <w:pPr>
              <w:ind w:firstLine="708"/>
              <w:jc w:val="both"/>
              <w:rPr>
                <w:sz w:val="24"/>
                <w:szCs w:val="24"/>
                <w:lang w:eastAsia="uk-UA"/>
              </w:rPr>
            </w:pPr>
            <w:r w:rsidRPr="00FF6712">
              <w:rPr>
                <w:sz w:val="24"/>
                <w:szCs w:val="24"/>
                <w:lang w:eastAsia="uk-UA"/>
              </w:rPr>
              <w:t>місячну вартість послуг розподілу природного газу;</w:t>
            </w:r>
          </w:p>
          <w:p w14:paraId="416475AB" w14:textId="77777777" w:rsidR="00FF6712" w:rsidRPr="00FF6712" w:rsidRDefault="00FF6712" w:rsidP="00FF6712">
            <w:pPr>
              <w:ind w:firstLine="708"/>
              <w:jc w:val="both"/>
              <w:rPr>
                <w:sz w:val="24"/>
                <w:szCs w:val="24"/>
                <w:lang w:eastAsia="uk-UA"/>
              </w:rPr>
            </w:pPr>
            <w:r w:rsidRPr="00FF6712">
              <w:rPr>
                <w:sz w:val="24"/>
                <w:szCs w:val="24"/>
                <w:lang w:eastAsia="uk-UA"/>
              </w:rPr>
              <w:t>зміну (перерахунок) вартості послуг розподілу природного газу у визначених законодавством випадках (за наявності), зокрема у разі припинення або обмеження розподілу природного газу, що  здійснюється за ініціативи Оператора ГРМ у випадках, визначених цим Кодексом та договором розподілу природного газу, надання компенсації за недотримання мінімальних стандартів якості послуг розподілу природного газу тощо;</w:t>
            </w:r>
          </w:p>
          <w:p w14:paraId="4602EDFF" w14:textId="77777777" w:rsidR="00FF6712" w:rsidRPr="00FF6712" w:rsidRDefault="00FF6712" w:rsidP="00FF6712">
            <w:pPr>
              <w:ind w:firstLine="708"/>
              <w:jc w:val="both"/>
              <w:rPr>
                <w:sz w:val="24"/>
                <w:szCs w:val="24"/>
                <w:lang w:eastAsia="uk-UA"/>
              </w:rPr>
            </w:pPr>
            <w:r w:rsidRPr="00FF6712">
              <w:rPr>
                <w:sz w:val="24"/>
                <w:szCs w:val="24"/>
                <w:lang w:eastAsia="uk-UA"/>
              </w:rPr>
              <w:t>суму оплати споживачем за послуги розподілу природного газу у розрахунковому періоді (за наявності);</w:t>
            </w:r>
          </w:p>
          <w:p w14:paraId="79713769" w14:textId="77777777" w:rsidR="00FF6712" w:rsidRPr="00FF6712" w:rsidRDefault="00FF6712" w:rsidP="00FF6712">
            <w:pPr>
              <w:ind w:firstLine="708"/>
              <w:jc w:val="both"/>
              <w:rPr>
                <w:sz w:val="24"/>
                <w:szCs w:val="24"/>
                <w:lang w:eastAsia="uk-UA"/>
              </w:rPr>
            </w:pPr>
            <w:r w:rsidRPr="00FF6712">
              <w:rPr>
                <w:sz w:val="24"/>
                <w:szCs w:val="24"/>
                <w:lang w:eastAsia="uk-UA"/>
              </w:rPr>
              <w:t xml:space="preserve">суму нарахованої споживачеві пені за порушення строків оплати рахунків (за наявності); </w:t>
            </w:r>
          </w:p>
          <w:p w14:paraId="0767A6F1" w14:textId="77777777" w:rsidR="00FF6712" w:rsidRPr="00FF6712" w:rsidRDefault="00FF6712" w:rsidP="00FF6712">
            <w:pPr>
              <w:ind w:firstLine="708"/>
              <w:jc w:val="both"/>
              <w:rPr>
                <w:sz w:val="24"/>
                <w:szCs w:val="24"/>
                <w:lang w:eastAsia="uk-UA"/>
              </w:rPr>
            </w:pPr>
            <w:r w:rsidRPr="00FF6712">
              <w:rPr>
                <w:sz w:val="24"/>
                <w:szCs w:val="24"/>
                <w:lang w:eastAsia="uk-UA"/>
              </w:rPr>
              <w:t>суму до оплати та реквізити для оплати;</w:t>
            </w:r>
          </w:p>
          <w:p w14:paraId="2E7C1F54" w14:textId="77777777" w:rsidR="00FF6712" w:rsidRPr="00FF6712" w:rsidRDefault="00FF6712" w:rsidP="00FF6712">
            <w:pPr>
              <w:ind w:firstLine="708"/>
              <w:jc w:val="both"/>
              <w:rPr>
                <w:sz w:val="24"/>
                <w:szCs w:val="24"/>
                <w:lang w:eastAsia="uk-UA"/>
              </w:rPr>
            </w:pPr>
            <w:r w:rsidRPr="00FF6712">
              <w:rPr>
                <w:sz w:val="24"/>
                <w:szCs w:val="24"/>
                <w:lang w:eastAsia="uk-UA"/>
              </w:rPr>
              <w:t>поточні та попередні значення показів приладів обліку природного газу (якщо побутовий споживач забезпечений індивідуальним лічильником газу), на підставі яких здійснено розрахунок обсягу спожитого природного газу, та джерела їх отримання (надані споживачем, контрольні зняття, розрахункові значення відповідно до планового місячного об’єму споживання тощо);</w:t>
            </w:r>
          </w:p>
          <w:p w14:paraId="6ACAA0B2" w14:textId="77777777" w:rsidR="00FF6712" w:rsidRPr="00FF6712" w:rsidRDefault="00FF6712" w:rsidP="00FF6712">
            <w:pPr>
              <w:ind w:firstLine="708"/>
              <w:jc w:val="both"/>
              <w:rPr>
                <w:sz w:val="24"/>
                <w:szCs w:val="24"/>
                <w:lang w:eastAsia="uk-UA"/>
              </w:rPr>
            </w:pPr>
            <w:r w:rsidRPr="00FF6712">
              <w:rPr>
                <w:sz w:val="24"/>
                <w:szCs w:val="24"/>
                <w:lang w:eastAsia="uk-UA"/>
              </w:rPr>
              <w:t xml:space="preserve">об’єм спожитого природного газу та розмір спожитого обсягу енергії природного газу (за трьома одиницями виміру: </w:t>
            </w:r>
            <w:proofErr w:type="spellStart"/>
            <w:r w:rsidRPr="00FF6712">
              <w:rPr>
                <w:sz w:val="24"/>
                <w:szCs w:val="24"/>
                <w:lang w:eastAsia="uk-UA"/>
              </w:rPr>
              <w:t>кВт·год</w:t>
            </w:r>
            <w:proofErr w:type="spellEnd"/>
            <w:r w:rsidRPr="00FF6712">
              <w:rPr>
                <w:sz w:val="24"/>
                <w:szCs w:val="24"/>
                <w:lang w:eastAsia="uk-UA"/>
              </w:rPr>
              <w:t xml:space="preserve">, </w:t>
            </w:r>
            <w:proofErr w:type="spellStart"/>
            <w:r w:rsidRPr="00FF6712">
              <w:rPr>
                <w:sz w:val="24"/>
                <w:szCs w:val="24"/>
                <w:lang w:eastAsia="uk-UA"/>
              </w:rPr>
              <w:t>Гкал</w:t>
            </w:r>
            <w:proofErr w:type="spellEnd"/>
            <w:r w:rsidRPr="00FF6712">
              <w:rPr>
                <w:sz w:val="24"/>
                <w:szCs w:val="24"/>
                <w:lang w:eastAsia="uk-UA"/>
              </w:rPr>
              <w:t>, МДж) за розрахунковий період;</w:t>
            </w:r>
          </w:p>
          <w:p w14:paraId="7A83BBEE" w14:textId="77777777" w:rsidR="00FF6712" w:rsidRPr="00FF6712" w:rsidRDefault="00FF6712" w:rsidP="00FF6712">
            <w:pPr>
              <w:ind w:firstLine="708"/>
              <w:jc w:val="both"/>
              <w:rPr>
                <w:sz w:val="24"/>
                <w:szCs w:val="24"/>
                <w:lang w:eastAsia="uk-UA"/>
              </w:rPr>
            </w:pPr>
            <w:r w:rsidRPr="00FF6712">
              <w:rPr>
                <w:sz w:val="24"/>
                <w:szCs w:val="24"/>
                <w:lang w:eastAsia="uk-UA"/>
              </w:rPr>
              <w:t>номер групи споживання об’єкта споживача;</w:t>
            </w:r>
          </w:p>
          <w:p w14:paraId="2ACD8FA0" w14:textId="77777777" w:rsidR="00FF6712" w:rsidRPr="00FF6712" w:rsidRDefault="00FF6712" w:rsidP="00FF6712">
            <w:pPr>
              <w:ind w:firstLine="708"/>
              <w:jc w:val="both"/>
              <w:rPr>
                <w:sz w:val="24"/>
                <w:szCs w:val="24"/>
                <w:lang w:eastAsia="uk-UA"/>
              </w:rPr>
            </w:pPr>
            <w:r w:rsidRPr="00FF6712">
              <w:rPr>
                <w:sz w:val="24"/>
                <w:szCs w:val="24"/>
                <w:lang w:eastAsia="uk-UA"/>
              </w:rPr>
              <w:t xml:space="preserve">кількість осіб, що зареєстровані за </w:t>
            </w:r>
            <w:proofErr w:type="spellStart"/>
            <w:r w:rsidRPr="00FF6712">
              <w:rPr>
                <w:sz w:val="24"/>
                <w:szCs w:val="24"/>
                <w:lang w:eastAsia="uk-UA"/>
              </w:rPr>
              <w:t>адресою</w:t>
            </w:r>
            <w:proofErr w:type="spellEnd"/>
            <w:r w:rsidRPr="00FF6712">
              <w:rPr>
                <w:sz w:val="24"/>
                <w:szCs w:val="24"/>
                <w:lang w:eastAsia="uk-UA"/>
              </w:rPr>
              <w:t xml:space="preserve"> об’єкта споживача, та опалювальна площа;</w:t>
            </w:r>
          </w:p>
          <w:p w14:paraId="2B0BB1D6" w14:textId="77777777" w:rsidR="00FF6712" w:rsidRPr="00FF6712" w:rsidRDefault="00FF6712" w:rsidP="00FF6712">
            <w:pPr>
              <w:ind w:firstLine="708"/>
              <w:jc w:val="both"/>
              <w:rPr>
                <w:sz w:val="24"/>
                <w:szCs w:val="24"/>
                <w:lang w:eastAsia="uk-UA"/>
              </w:rPr>
            </w:pPr>
            <w:r w:rsidRPr="00FF6712">
              <w:rPr>
                <w:sz w:val="24"/>
                <w:szCs w:val="24"/>
                <w:lang w:eastAsia="uk-UA"/>
              </w:rPr>
              <w:t>порівняння об’ємів споживання у поточному розрахунковому періоді з об’ємами споживання за аналогічний період минулого року (в розрізі місячного споживання) (якщо побутовий споживач забезпечений індивідуальним лічильником газу);</w:t>
            </w:r>
          </w:p>
          <w:p w14:paraId="7AB227DE" w14:textId="77777777" w:rsidR="00FF6712" w:rsidRPr="00FF6712" w:rsidRDefault="00FF6712" w:rsidP="00FF6712">
            <w:pPr>
              <w:ind w:firstLine="708"/>
              <w:jc w:val="both"/>
              <w:rPr>
                <w:sz w:val="24"/>
                <w:szCs w:val="24"/>
                <w:lang w:eastAsia="uk-UA"/>
              </w:rPr>
            </w:pPr>
            <w:r w:rsidRPr="00FF6712">
              <w:rPr>
                <w:sz w:val="24"/>
                <w:szCs w:val="24"/>
                <w:lang w:eastAsia="uk-UA"/>
              </w:rPr>
              <w:t xml:space="preserve">енергоефективні заходи або адреси </w:t>
            </w:r>
            <w:proofErr w:type="spellStart"/>
            <w:r w:rsidRPr="00FF6712">
              <w:rPr>
                <w:sz w:val="24"/>
                <w:szCs w:val="24"/>
                <w:lang w:eastAsia="uk-UA"/>
              </w:rPr>
              <w:t>вебсайтів</w:t>
            </w:r>
            <w:proofErr w:type="spellEnd"/>
            <w:r w:rsidRPr="00FF6712">
              <w:rPr>
                <w:sz w:val="24"/>
                <w:szCs w:val="24"/>
                <w:lang w:eastAsia="uk-UA"/>
              </w:rPr>
              <w:t>, де розміщена така інформація;</w:t>
            </w:r>
          </w:p>
          <w:p w14:paraId="1FB07AA5" w14:textId="77777777" w:rsidR="00FF6712" w:rsidRPr="00FF6712" w:rsidRDefault="00FF6712" w:rsidP="00FF6712">
            <w:pPr>
              <w:ind w:firstLine="708"/>
              <w:jc w:val="both"/>
              <w:rPr>
                <w:sz w:val="24"/>
                <w:szCs w:val="24"/>
                <w:lang w:eastAsia="uk-UA"/>
              </w:rPr>
            </w:pPr>
            <w:r w:rsidRPr="00FF6712">
              <w:rPr>
                <w:sz w:val="24"/>
                <w:szCs w:val="24"/>
                <w:lang w:eastAsia="uk-UA"/>
              </w:rPr>
              <w:t>термін (строк) оплати рахунка;</w:t>
            </w:r>
          </w:p>
          <w:p w14:paraId="505DBD52" w14:textId="77777777" w:rsidR="00FF6712" w:rsidRPr="00FF6712" w:rsidRDefault="00FF6712" w:rsidP="00FF6712">
            <w:pPr>
              <w:ind w:firstLine="708"/>
              <w:jc w:val="both"/>
              <w:rPr>
                <w:sz w:val="24"/>
                <w:szCs w:val="24"/>
                <w:lang w:eastAsia="uk-UA"/>
              </w:rPr>
            </w:pPr>
            <w:r w:rsidRPr="00FF6712">
              <w:rPr>
                <w:sz w:val="24"/>
                <w:szCs w:val="24"/>
                <w:lang w:eastAsia="uk-UA"/>
              </w:rPr>
              <w:lastRenderedPageBreak/>
              <w:t xml:space="preserve">адреси, номери телефонів, </w:t>
            </w:r>
            <w:proofErr w:type="spellStart"/>
            <w:r w:rsidRPr="00FF6712">
              <w:rPr>
                <w:sz w:val="24"/>
                <w:szCs w:val="24"/>
                <w:lang w:eastAsia="uk-UA"/>
              </w:rPr>
              <w:t>вебсайт</w:t>
            </w:r>
            <w:proofErr w:type="spellEnd"/>
            <w:r w:rsidRPr="00FF6712">
              <w:rPr>
                <w:sz w:val="24"/>
                <w:szCs w:val="24"/>
                <w:lang w:eastAsia="uk-UA"/>
              </w:rPr>
              <w:t xml:space="preserve"> та електронні адреси Оператора ГРМ для подання заяв, претензій та скарг щодо якості природного газу та обслуговування споживачів;</w:t>
            </w:r>
          </w:p>
          <w:p w14:paraId="3734C12A" w14:textId="77777777" w:rsidR="00FF6712" w:rsidRPr="00FF6712" w:rsidRDefault="00FF6712" w:rsidP="00FF6712">
            <w:pPr>
              <w:ind w:firstLine="708"/>
              <w:jc w:val="both"/>
              <w:rPr>
                <w:sz w:val="24"/>
                <w:szCs w:val="24"/>
                <w:lang w:eastAsia="uk-UA"/>
              </w:rPr>
            </w:pPr>
            <w:r w:rsidRPr="00FF6712">
              <w:rPr>
                <w:sz w:val="24"/>
                <w:szCs w:val="24"/>
                <w:lang w:eastAsia="uk-UA"/>
              </w:rPr>
              <w:t>розмір середньозваженої вищої теплоти згоряння за попередній розрахунковий період;</w:t>
            </w:r>
          </w:p>
          <w:p w14:paraId="7DE341F2" w14:textId="77777777" w:rsidR="00FF6712" w:rsidRPr="00FF6712" w:rsidRDefault="00FF6712" w:rsidP="00FF6712">
            <w:pPr>
              <w:ind w:firstLine="708"/>
              <w:jc w:val="both"/>
              <w:rPr>
                <w:sz w:val="24"/>
                <w:szCs w:val="24"/>
                <w:lang w:eastAsia="uk-UA"/>
              </w:rPr>
            </w:pPr>
            <w:r w:rsidRPr="00FF6712">
              <w:rPr>
                <w:sz w:val="24"/>
                <w:szCs w:val="24"/>
                <w:lang w:eastAsia="uk-UA"/>
              </w:rPr>
              <w:t xml:space="preserve">інформацію щодо прав споживачів, передбачених законодавством, порядку розгляду скарг та звернень споживачів Оператором ГРМ (посилання на відповідний розділ </w:t>
            </w:r>
            <w:proofErr w:type="spellStart"/>
            <w:r w:rsidRPr="00FF6712">
              <w:rPr>
                <w:sz w:val="24"/>
                <w:szCs w:val="24"/>
                <w:lang w:eastAsia="uk-UA"/>
              </w:rPr>
              <w:t>вебсайту</w:t>
            </w:r>
            <w:proofErr w:type="spellEnd"/>
            <w:r w:rsidRPr="00FF6712">
              <w:rPr>
                <w:sz w:val="24"/>
                <w:szCs w:val="24"/>
                <w:lang w:eastAsia="uk-UA"/>
              </w:rPr>
              <w:t xml:space="preserve"> Оператора ГРМ);</w:t>
            </w:r>
          </w:p>
          <w:p w14:paraId="1265CB04" w14:textId="77777777" w:rsidR="00FF6712" w:rsidRPr="00FF6712" w:rsidRDefault="00FF6712" w:rsidP="00FF6712">
            <w:pPr>
              <w:ind w:firstLine="708"/>
              <w:jc w:val="both"/>
              <w:rPr>
                <w:sz w:val="24"/>
                <w:szCs w:val="24"/>
                <w:lang w:eastAsia="uk-UA"/>
              </w:rPr>
            </w:pPr>
            <w:r w:rsidRPr="00FF6712">
              <w:rPr>
                <w:sz w:val="24"/>
                <w:szCs w:val="24"/>
                <w:lang w:eastAsia="uk-UA"/>
              </w:rPr>
              <w:t xml:space="preserve">адресу та </w:t>
            </w:r>
            <w:proofErr w:type="spellStart"/>
            <w:r w:rsidRPr="00FF6712">
              <w:rPr>
                <w:sz w:val="24"/>
                <w:szCs w:val="24"/>
                <w:lang w:eastAsia="uk-UA"/>
              </w:rPr>
              <w:t>вебсайт</w:t>
            </w:r>
            <w:proofErr w:type="spellEnd"/>
            <w:r w:rsidRPr="00FF6712">
              <w:rPr>
                <w:sz w:val="24"/>
                <w:szCs w:val="24"/>
                <w:lang w:eastAsia="uk-UA"/>
              </w:rPr>
              <w:t xml:space="preserve"> Регулятора;</w:t>
            </w:r>
          </w:p>
          <w:p w14:paraId="662A13B8" w14:textId="77777777" w:rsidR="00FF6712" w:rsidRPr="00FF6712" w:rsidRDefault="00FF6712" w:rsidP="00FF6712">
            <w:pPr>
              <w:ind w:firstLine="708"/>
              <w:jc w:val="both"/>
              <w:rPr>
                <w:sz w:val="24"/>
                <w:szCs w:val="24"/>
                <w:lang w:eastAsia="uk-UA"/>
              </w:rPr>
            </w:pPr>
            <w:r w:rsidRPr="00FF6712">
              <w:rPr>
                <w:sz w:val="24"/>
                <w:szCs w:val="24"/>
                <w:lang w:eastAsia="uk-UA"/>
              </w:rPr>
              <w:t>інформацію, визначену Регулятором (за наявності);</w:t>
            </w:r>
          </w:p>
          <w:p w14:paraId="77436DAE" w14:textId="77777777" w:rsidR="00FF6712" w:rsidRPr="00FF6712" w:rsidRDefault="00FF6712" w:rsidP="00FF6712">
            <w:pPr>
              <w:ind w:firstLine="708"/>
              <w:jc w:val="both"/>
              <w:rPr>
                <w:sz w:val="24"/>
                <w:szCs w:val="24"/>
                <w:lang w:eastAsia="uk-UA"/>
              </w:rPr>
            </w:pPr>
            <w:r w:rsidRPr="00FF6712">
              <w:rPr>
                <w:sz w:val="24"/>
                <w:szCs w:val="24"/>
                <w:lang w:eastAsia="uk-UA"/>
              </w:rPr>
              <w:t xml:space="preserve">адресу споживача, на яку направляється рахунок (для </w:t>
            </w:r>
            <w:proofErr w:type="spellStart"/>
            <w:r w:rsidRPr="00FF6712">
              <w:rPr>
                <w:sz w:val="24"/>
                <w:szCs w:val="24"/>
                <w:lang w:eastAsia="uk-UA"/>
              </w:rPr>
              <w:t>безконвертних</w:t>
            </w:r>
            <w:proofErr w:type="spellEnd"/>
            <w:r w:rsidRPr="00FF6712">
              <w:rPr>
                <w:sz w:val="24"/>
                <w:szCs w:val="24"/>
                <w:lang w:eastAsia="uk-UA"/>
              </w:rPr>
              <w:t xml:space="preserve"> відправлень);</w:t>
            </w:r>
          </w:p>
          <w:p w14:paraId="70D3A55E" w14:textId="77777777" w:rsidR="00FF6712" w:rsidRPr="00FF6712" w:rsidRDefault="00FF6712" w:rsidP="00FF6712">
            <w:pPr>
              <w:ind w:firstLine="708"/>
              <w:jc w:val="both"/>
              <w:rPr>
                <w:sz w:val="24"/>
                <w:szCs w:val="24"/>
                <w:lang w:eastAsia="uk-UA"/>
              </w:rPr>
            </w:pPr>
            <w:r w:rsidRPr="00FF6712">
              <w:rPr>
                <w:sz w:val="24"/>
                <w:szCs w:val="24"/>
                <w:lang w:eastAsia="uk-UA"/>
              </w:rPr>
              <w:t>штрих-коди та/або QR-коди для доступу споживачів до сервісів оплати рахунка, особистого кабінету, засобів комунікації з Оператором ГРМ тощо;</w:t>
            </w:r>
          </w:p>
          <w:p w14:paraId="027BFC6A" w14:textId="77777777" w:rsidR="00FF6712" w:rsidRPr="00FF6712" w:rsidRDefault="00FF6712" w:rsidP="00FF6712">
            <w:pPr>
              <w:ind w:firstLine="708"/>
              <w:jc w:val="both"/>
              <w:rPr>
                <w:sz w:val="24"/>
                <w:szCs w:val="24"/>
                <w:lang w:eastAsia="uk-UA"/>
              </w:rPr>
            </w:pPr>
            <w:r w:rsidRPr="00FF6712">
              <w:rPr>
                <w:sz w:val="24"/>
                <w:szCs w:val="24"/>
                <w:lang w:eastAsia="uk-UA"/>
              </w:rPr>
              <w:t>іншу інформацію, визначену Оператором ГРМ.</w:t>
            </w:r>
          </w:p>
          <w:p w14:paraId="698F2C52" w14:textId="77777777" w:rsidR="00FF6712" w:rsidRPr="00FF6712" w:rsidRDefault="00FF6712" w:rsidP="00FF6712">
            <w:pPr>
              <w:ind w:firstLine="708"/>
              <w:jc w:val="both"/>
              <w:rPr>
                <w:sz w:val="24"/>
                <w:szCs w:val="24"/>
                <w:lang w:eastAsia="uk-UA"/>
              </w:rPr>
            </w:pPr>
            <w:r w:rsidRPr="00FF6712">
              <w:rPr>
                <w:sz w:val="24"/>
                <w:szCs w:val="24"/>
                <w:lang w:eastAsia="uk-UA"/>
              </w:rPr>
              <w:t xml:space="preserve">Регулятор, у разі необхідності, повідомляє Операторів ГРМ шляхом розміщення до 1 числа (включно) місяця розрахункового періоду повідомлення на </w:t>
            </w:r>
            <w:proofErr w:type="spellStart"/>
            <w:r w:rsidRPr="00FF6712">
              <w:rPr>
                <w:sz w:val="24"/>
                <w:szCs w:val="24"/>
                <w:lang w:eastAsia="uk-UA"/>
              </w:rPr>
              <w:t>вебсайті</w:t>
            </w:r>
            <w:proofErr w:type="spellEnd"/>
            <w:r w:rsidRPr="00FF6712">
              <w:rPr>
                <w:sz w:val="24"/>
                <w:szCs w:val="24"/>
                <w:lang w:eastAsia="uk-UA"/>
              </w:rPr>
              <w:t xml:space="preserve"> НКРЕКП про інформацію, яка має бути вказана в рахунках на оплату послуг розподілу природного газу (додаток 20, зворотна сторона, поле «Інформація, визначена Регулятором (за наявності)»), у поточному розрахунковому періоді. Оператор ГРМ зобов'язаний вказувати у рахунках на оплату послуг розподілу природного газу інформацію, визначену Регулятором відповідно до цього абзацу. У випадку </w:t>
            </w:r>
            <w:proofErr w:type="spellStart"/>
            <w:r w:rsidRPr="00FF6712">
              <w:rPr>
                <w:sz w:val="24"/>
                <w:szCs w:val="24"/>
                <w:lang w:eastAsia="uk-UA"/>
              </w:rPr>
              <w:t>неоприлюднення</w:t>
            </w:r>
            <w:proofErr w:type="spellEnd"/>
            <w:r w:rsidRPr="00FF6712">
              <w:rPr>
                <w:sz w:val="24"/>
                <w:szCs w:val="24"/>
                <w:lang w:eastAsia="uk-UA"/>
              </w:rPr>
              <w:t xml:space="preserve"> Регулятором вказаної інформації Оператор ГРМ має право розмістити іншу інформацію у полі «Інформація, визначена Регулятором (за наявності)» (додаток 20, зворотна сторона).</w:t>
            </w:r>
          </w:p>
          <w:p w14:paraId="34A44060" w14:textId="77777777" w:rsidR="00FF6712" w:rsidRPr="00FF6712" w:rsidRDefault="00FF6712" w:rsidP="00FF6712">
            <w:pPr>
              <w:ind w:firstLine="708"/>
              <w:jc w:val="both"/>
              <w:rPr>
                <w:sz w:val="24"/>
                <w:szCs w:val="24"/>
                <w:lang w:eastAsia="uk-UA"/>
              </w:rPr>
            </w:pPr>
            <w:r w:rsidRPr="00FF6712">
              <w:rPr>
                <w:sz w:val="24"/>
                <w:szCs w:val="24"/>
                <w:lang w:eastAsia="uk-UA"/>
              </w:rPr>
              <w:t xml:space="preserve">Споживачу спільно з рахунком на оплату послуг розподілу природного газу (на одному аркуші) може надаватися рахунок на оплату поставленого (спожитого) природного газу. При цьому Оператор ГРМ на договірних засадах забезпечує недискримінаційні умови участі зацікавлених постачальників природного газу у спільному розміщенні рахунків на оплату послуг розподілу природного газу та поставленого (спожитого) природного газу. Оператор ГРМ оприлюднює вказані умови формування рахунків на оплату послуг розподілу природного газу та поставленого (спожитого) природного газу на власному </w:t>
            </w:r>
            <w:proofErr w:type="spellStart"/>
            <w:r w:rsidRPr="00FF6712">
              <w:rPr>
                <w:sz w:val="24"/>
                <w:szCs w:val="24"/>
                <w:lang w:eastAsia="uk-UA"/>
              </w:rPr>
              <w:t>вебсайті</w:t>
            </w:r>
            <w:proofErr w:type="spellEnd"/>
            <w:r w:rsidRPr="00FF6712">
              <w:rPr>
                <w:sz w:val="24"/>
                <w:szCs w:val="24"/>
                <w:lang w:eastAsia="uk-UA"/>
              </w:rPr>
              <w:t>.</w:t>
            </w:r>
          </w:p>
          <w:p w14:paraId="52DE34CC" w14:textId="1C4673A6" w:rsidR="00F87FFA" w:rsidRPr="00445E23" w:rsidRDefault="00FF6712" w:rsidP="00FF6712">
            <w:pPr>
              <w:spacing w:after="40"/>
              <w:ind w:firstLine="319"/>
              <w:jc w:val="both"/>
              <w:rPr>
                <w:sz w:val="24"/>
                <w:szCs w:val="24"/>
                <w:shd w:val="clear" w:color="auto" w:fill="FFFFFF"/>
              </w:rPr>
            </w:pPr>
            <w:r w:rsidRPr="00FF6712">
              <w:rPr>
                <w:sz w:val="24"/>
                <w:szCs w:val="24"/>
                <w:lang w:eastAsia="uk-UA"/>
              </w:rPr>
              <w:lastRenderedPageBreak/>
              <w:t>Оператор ГРМ зобов’язаний дотримуватися структури, оформлення та вмісту інформації у рахунку на оплату послуг розподілу природного газу побутовим споживачам згідно з шаблоном рахунка, наведеним у додатку 20 до цього Кодексу. Зразок рахунка на оплату послуг розподілу природного газу побутовим споживачам наведений у додатку 21 до цього Кодексу.</w:t>
            </w:r>
          </w:p>
        </w:tc>
      </w:tr>
      <w:tr w:rsidR="00F547C1" w:rsidRPr="00DD02F4" w14:paraId="2950C258" w14:textId="77777777" w:rsidTr="00D871EE">
        <w:tc>
          <w:tcPr>
            <w:tcW w:w="6232" w:type="dxa"/>
          </w:tcPr>
          <w:p w14:paraId="7732143B" w14:textId="77777777" w:rsidR="00F547C1" w:rsidRPr="00DD02F4" w:rsidRDefault="00F547C1" w:rsidP="00F547C1">
            <w:pPr>
              <w:rPr>
                <w:b/>
                <w:sz w:val="24"/>
                <w:szCs w:val="24"/>
              </w:rPr>
            </w:pPr>
            <w:r w:rsidRPr="00DD02F4">
              <w:rPr>
                <w:b/>
                <w:sz w:val="24"/>
                <w:szCs w:val="24"/>
              </w:rPr>
              <w:lastRenderedPageBreak/>
              <w:t>Додаток відсутній</w:t>
            </w:r>
          </w:p>
        </w:tc>
        <w:tc>
          <w:tcPr>
            <w:tcW w:w="8328" w:type="dxa"/>
          </w:tcPr>
          <w:p w14:paraId="34A62CC6" w14:textId="64B60B79" w:rsidR="00F547C1" w:rsidRDefault="00FF6712" w:rsidP="006B1436">
            <w:pPr>
              <w:jc w:val="center"/>
              <w:rPr>
                <w:b/>
                <w:sz w:val="24"/>
                <w:szCs w:val="24"/>
              </w:rPr>
            </w:pPr>
            <w:r>
              <w:rPr>
                <w:noProof/>
              </w:rPr>
              <w:drawing>
                <wp:inline distT="0" distB="0" distL="0" distR="0" wp14:anchorId="36E31F1A" wp14:editId="422CE716">
                  <wp:extent cx="4519930" cy="639000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519930" cy="6390005"/>
                          </a:xfrm>
                          <a:prstGeom prst="rect">
                            <a:avLst/>
                          </a:prstGeom>
                        </pic:spPr>
                      </pic:pic>
                    </a:graphicData>
                  </a:graphic>
                </wp:inline>
              </w:drawing>
            </w:r>
          </w:p>
          <w:p w14:paraId="573F0FDF" w14:textId="1CEDF3BA" w:rsidR="009D0479" w:rsidRPr="00DD02F4" w:rsidRDefault="00FF6712" w:rsidP="006B1436">
            <w:pPr>
              <w:jc w:val="center"/>
              <w:rPr>
                <w:b/>
                <w:sz w:val="24"/>
                <w:szCs w:val="24"/>
              </w:rPr>
            </w:pPr>
            <w:r>
              <w:rPr>
                <w:noProof/>
              </w:rPr>
              <w:lastRenderedPageBreak/>
              <w:drawing>
                <wp:inline distT="0" distB="0" distL="0" distR="0" wp14:anchorId="6FABD9BE" wp14:editId="2ECD508D">
                  <wp:extent cx="5010150" cy="60769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010150" cy="6076950"/>
                          </a:xfrm>
                          <a:prstGeom prst="rect">
                            <a:avLst/>
                          </a:prstGeom>
                        </pic:spPr>
                      </pic:pic>
                    </a:graphicData>
                  </a:graphic>
                </wp:inline>
              </w:drawing>
            </w:r>
          </w:p>
        </w:tc>
      </w:tr>
      <w:tr w:rsidR="006B1436" w:rsidRPr="00DD02F4" w14:paraId="42CCFF3F" w14:textId="77777777" w:rsidTr="00D871EE">
        <w:tc>
          <w:tcPr>
            <w:tcW w:w="6232" w:type="dxa"/>
          </w:tcPr>
          <w:p w14:paraId="1A3C65C4" w14:textId="77777777" w:rsidR="006B1436" w:rsidRPr="00DD02F4" w:rsidRDefault="006B1436" w:rsidP="006B1436">
            <w:pPr>
              <w:rPr>
                <w:b/>
                <w:sz w:val="24"/>
                <w:szCs w:val="24"/>
              </w:rPr>
            </w:pPr>
            <w:r w:rsidRPr="00DD02F4">
              <w:rPr>
                <w:b/>
                <w:sz w:val="24"/>
                <w:szCs w:val="24"/>
              </w:rPr>
              <w:lastRenderedPageBreak/>
              <w:t>Додаток відсутній</w:t>
            </w:r>
          </w:p>
        </w:tc>
        <w:tc>
          <w:tcPr>
            <w:tcW w:w="8328" w:type="dxa"/>
          </w:tcPr>
          <w:p w14:paraId="04365492" w14:textId="62981867" w:rsidR="006B1436" w:rsidRDefault="00FF6712" w:rsidP="006B1436">
            <w:pPr>
              <w:jc w:val="center"/>
              <w:rPr>
                <w:b/>
                <w:sz w:val="24"/>
                <w:szCs w:val="24"/>
              </w:rPr>
            </w:pPr>
            <w:r>
              <w:rPr>
                <w:noProof/>
              </w:rPr>
              <w:drawing>
                <wp:inline distT="0" distB="0" distL="0" distR="0" wp14:anchorId="7FED21D9" wp14:editId="47387A64">
                  <wp:extent cx="4596765" cy="639000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596765" cy="6390005"/>
                          </a:xfrm>
                          <a:prstGeom prst="rect">
                            <a:avLst/>
                          </a:prstGeom>
                        </pic:spPr>
                      </pic:pic>
                    </a:graphicData>
                  </a:graphic>
                </wp:inline>
              </w:drawing>
            </w:r>
          </w:p>
          <w:p w14:paraId="1A18C1BC" w14:textId="7223FF94" w:rsidR="009D0479" w:rsidRPr="00DD02F4" w:rsidRDefault="00FF6712" w:rsidP="006B1436">
            <w:pPr>
              <w:jc w:val="center"/>
              <w:rPr>
                <w:b/>
                <w:sz w:val="24"/>
                <w:szCs w:val="24"/>
              </w:rPr>
            </w:pPr>
            <w:r>
              <w:rPr>
                <w:noProof/>
              </w:rPr>
              <w:lastRenderedPageBreak/>
              <w:drawing>
                <wp:inline distT="0" distB="0" distL="0" distR="0" wp14:anchorId="6A10D10A" wp14:editId="22306BA3">
                  <wp:extent cx="5000625" cy="6019800"/>
                  <wp:effectExtent l="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000625" cy="6019800"/>
                          </a:xfrm>
                          <a:prstGeom prst="rect">
                            <a:avLst/>
                          </a:prstGeom>
                        </pic:spPr>
                      </pic:pic>
                    </a:graphicData>
                  </a:graphic>
                </wp:inline>
              </w:drawing>
            </w:r>
          </w:p>
        </w:tc>
      </w:tr>
    </w:tbl>
    <w:p w14:paraId="03D56341" w14:textId="77777777" w:rsidR="00B36E86" w:rsidRDefault="00B36E86"/>
    <w:sectPr w:rsidR="00B36E86" w:rsidSect="009D0479">
      <w:footerReference w:type="default" r:id="rId11"/>
      <w:pgSz w:w="16838" w:h="11906" w:orient="landscape"/>
      <w:pgMar w:top="993" w:right="1134" w:bottom="850" w:left="1134"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35FC81D" w16cex:dateUtc="2025-12-26T12:31:00Z"/>
  <w16cex:commentExtensible w16cex:durableId="2B8C9133" w16cex:dateUtc="2025-12-26T12:3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E6C329" w14:textId="77777777" w:rsidR="009D0479" w:rsidRDefault="009D0479" w:rsidP="009D0479">
      <w:r>
        <w:separator/>
      </w:r>
    </w:p>
  </w:endnote>
  <w:endnote w:type="continuationSeparator" w:id="0">
    <w:p w14:paraId="677AC235" w14:textId="77777777" w:rsidR="009D0479" w:rsidRDefault="009D0479" w:rsidP="009D0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9496483"/>
      <w:docPartObj>
        <w:docPartGallery w:val="Page Numbers (Bottom of Page)"/>
        <w:docPartUnique/>
      </w:docPartObj>
    </w:sdtPr>
    <w:sdtEndPr/>
    <w:sdtContent>
      <w:p w14:paraId="21CADE1C" w14:textId="66BC5FB4" w:rsidR="009D0479" w:rsidRPr="009D0479" w:rsidRDefault="009D0479">
        <w:pPr>
          <w:pStyle w:val="af2"/>
          <w:jc w:val="right"/>
        </w:pPr>
        <w:r w:rsidRPr="009D0479">
          <w:fldChar w:fldCharType="begin"/>
        </w:r>
        <w:r w:rsidRPr="009D0479">
          <w:instrText>PAGE   \* MERGEFORMAT</w:instrText>
        </w:r>
        <w:r w:rsidRPr="009D0479">
          <w:fldChar w:fldCharType="separate"/>
        </w:r>
        <w:r w:rsidRPr="009D0479">
          <w:t>2</w:t>
        </w:r>
        <w:r w:rsidRPr="009D0479">
          <w:fldChar w:fldCharType="end"/>
        </w:r>
      </w:p>
    </w:sdtContent>
  </w:sdt>
  <w:p w14:paraId="585A3074" w14:textId="77777777" w:rsidR="009D0479" w:rsidRDefault="009D0479">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28607C" w14:textId="77777777" w:rsidR="009D0479" w:rsidRDefault="009D0479" w:rsidP="009D0479">
      <w:r>
        <w:separator/>
      </w:r>
    </w:p>
  </w:footnote>
  <w:footnote w:type="continuationSeparator" w:id="0">
    <w:p w14:paraId="2CD63A56" w14:textId="77777777" w:rsidR="009D0479" w:rsidRDefault="009D0479" w:rsidP="009D04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94A"/>
    <w:rsid w:val="00041613"/>
    <w:rsid w:val="00061A9C"/>
    <w:rsid w:val="00063C73"/>
    <w:rsid w:val="00073293"/>
    <w:rsid w:val="00086E00"/>
    <w:rsid w:val="000E3C63"/>
    <w:rsid w:val="001132D1"/>
    <w:rsid w:val="001148B7"/>
    <w:rsid w:val="0017170D"/>
    <w:rsid w:val="001A71F3"/>
    <w:rsid w:val="001C73F3"/>
    <w:rsid w:val="00223849"/>
    <w:rsid w:val="00223FDE"/>
    <w:rsid w:val="0024694A"/>
    <w:rsid w:val="00265237"/>
    <w:rsid w:val="00266407"/>
    <w:rsid w:val="0029599B"/>
    <w:rsid w:val="002F24F6"/>
    <w:rsid w:val="00333E10"/>
    <w:rsid w:val="003A0469"/>
    <w:rsid w:val="004165E9"/>
    <w:rsid w:val="00437269"/>
    <w:rsid w:val="00445E23"/>
    <w:rsid w:val="00464619"/>
    <w:rsid w:val="004846C7"/>
    <w:rsid w:val="005205BD"/>
    <w:rsid w:val="00526C7E"/>
    <w:rsid w:val="0055109B"/>
    <w:rsid w:val="00577854"/>
    <w:rsid w:val="00577F4D"/>
    <w:rsid w:val="006463F8"/>
    <w:rsid w:val="006701AC"/>
    <w:rsid w:val="006B1436"/>
    <w:rsid w:val="006D6FD9"/>
    <w:rsid w:val="007E162E"/>
    <w:rsid w:val="007F4809"/>
    <w:rsid w:val="00866871"/>
    <w:rsid w:val="00876008"/>
    <w:rsid w:val="00886D6D"/>
    <w:rsid w:val="008D01BB"/>
    <w:rsid w:val="008E7B46"/>
    <w:rsid w:val="009021B0"/>
    <w:rsid w:val="00917B09"/>
    <w:rsid w:val="00923662"/>
    <w:rsid w:val="00944DF7"/>
    <w:rsid w:val="009C7D4E"/>
    <w:rsid w:val="009D0479"/>
    <w:rsid w:val="009D24B7"/>
    <w:rsid w:val="00A744F1"/>
    <w:rsid w:val="00AD23CF"/>
    <w:rsid w:val="00B32F65"/>
    <w:rsid w:val="00B33DD3"/>
    <w:rsid w:val="00B35619"/>
    <w:rsid w:val="00B36E86"/>
    <w:rsid w:val="00B4390C"/>
    <w:rsid w:val="00BE5111"/>
    <w:rsid w:val="00C129AD"/>
    <w:rsid w:val="00C7219F"/>
    <w:rsid w:val="00CC321B"/>
    <w:rsid w:val="00CF3D55"/>
    <w:rsid w:val="00D1158E"/>
    <w:rsid w:val="00D12F61"/>
    <w:rsid w:val="00D5511F"/>
    <w:rsid w:val="00D871EE"/>
    <w:rsid w:val="00D92167"/>
    <w:rsid w:val="00DC439B"/>
    <w:rsid w:val="00DD02F4"/>
    <w:rsid w:val="00DF1A26"/>
    <w:rsid w:val="00E303A3"/>
    <w:rsid w:val="00E40D22"/>
    <w:rsid w:val="00E66D5B"/>
    <w:rsid w:val="00E810FF"/>
    <w:rsid w:val="00F267E2"/>
    <w:rsid w:val="00F47AC6"/>
    <w:rsid w:val="00F547C1"/>
    <w:rsid w:val="00F87FFA"/>
    <w:rsid w:val="00F93123"/>
    <w:rsid w:val="00FB0DE1"/>
    <w:rsid w:val="00FF671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6140FC"/>
  <w15:chartTrackingRefBased/>
  <w15:docId w15:val="{483E43CC-4129-42CD-8C14-8C0882B99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uk-UA" w:eastAsia="en-US" w:bidi="ar-SA"/>
      </w:rPr>
    </w:rPrDefault>
    <w:pPrDefault/>
  </w:docDefaults>
  <w:latentStyles w:defLockedState="0" w:defUIPriority="99" w:defSemiHidden="0" w:defUnhideWhenUsed="0" w:defQFormat="0" w:count="375">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A0469"/>
    <w:rPr>
      <w:rFonts w:ascii="Times New Roman" w:hAnsi="Times New Roman"/>
      <w:lang w:eastAsia="ru-RU"/>
    </w:rPr>
  </w:style>
  <w:style w:type="paragraph" w:styleId="3">
    <w:name w:val="heading 3"/>
    <w:basedOn w:val="a"/>
    <w:link w:val="30"/>
    <w:qFormat/>
    <w:locked/>
    <w:rsid w:val="00445E23"/>
    <w:pPr>
      <w:spacing w:before="100" w:beforeAutospacing="1" w:after="100" w:afterAutospacing="1"/>
      <w:outlineLvl w:val="2"/>
    </w:pPr>
    <w:rPr>
      <w:b/>
      <w:bCs/>
      <w:sz w:val="27"/>
      <w:szCs w:val="27"/>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у1"/>
    <w:basedOn w:val="a"/>
    <w:uiPriority w:val="99"/>
    <w:qFormat/>
    <w:rsid w:val="003A0469"/>
    <w:pPr>
      <w:ind w:left="720"/>
      <w:contextualSpacing/>
    </w:pPr>
  </w:style>
  <w:style w:type="character" w:styleId="a3">
    <w:name w:val="Strong"/>
    <w:qFormat/>
    <w:rsid w:val="003A0469"/>
    <w:rPr>
      <w:b/>
      <w:bCs/>
    </w:rPr>
  </w:style>
  <w:style w:type="character" w:styleId="a4">
    <w:name w:val="Emphasis"/>
    <w:uiPriority w:val="99"/>
    <w:qFormat/>
    <w:rsid w:val="003A0469"/>
    <w:rPr>
      <w:rFonts w:cs="Times New Roman"/>
      <w:i/>
      <w:iCs/>
    </w:rPr>
  </w:style>
  <w:style w:type="paragraph" w:styleId="a5">
    <w:name w:val="List Paragraph"/>
    <w:basedOn w:val="a"/>
    <w:uiPriority w:val="34"/>
    <w:qFormat/>
    <w:rsid w:val="003A0469"/>
    <w:pPr>
      <w:ind w:left="720"/>
    </w:pPr>
  </w:style>
  <w:style w:type="table" w:styleId="a6">
    <w:name w:val="Table Grid"/>
    <w:basedOn w:val="a1"/>
    <w:uiPriority w:val="39"/>
    <w:rsid w:val="00D871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basedOn w:val="a0"/>
    <w:uiPriority w:val="99"/>
    <w:semiHidden/>
    <w:unhideWhenUsed/>
    <w:rsid w:val="005205BD"/>
    <w:rPr>
      <w:sz w:val="16"/>
      <w:szCs w:val="16"/>
    </w:rPr>
  </w:style>
  <w:style w:type="paragraph" w:styleId="a8">
    <w:name w:val="annotation text"/>
    <w:basedOn w:val="a"/>
    <w:link w:val="a9"/>
    <w:uiPriority w:val="99"/>
    <w:unhideWhenUsed/>
    <w:rsid w:val="005205BD"/>
  </w:style>
  <w:style w:type="character" w:customStyle="1" w:styleId="a9">
    <w:name w:val="Текст примітки Знак"/>
    <w:basedOn w:val="a0"/>
    <w:link w:val="a8"/>
    <w:uiPriority w:val="99"/>
    <w:rsid w:val="005205BD"/>
    <w:rPr>
      <w:rFonts w:ascii="Times New Roman" w:hAnsi="Times New Roman"/>
      <w:lang w:eastAsia="ru-RU"/>
    </w:rPr>
  </w:style>
  <w:style w:type="paragraph" w:styleId="aa">
    <w:name w:val="annotation subject"/>
    <w:basedOn w:val="a8"/>
    <w:next w:val="a8"/>
    <w:link w:val="ab"/>
    <w:uiPriority w:val="99"/>
    <w:semiHidden/>
    <w:unhideWhenUsed/>
    <w:rsid w:val="005205BD"/>
    <w:rPr>
      <w:b/>
      <w:bCs/>
    </w:rPr>
  </w:style>
  <w:style w:type="character" w:customStyle="1" w:styleId="ab">
    <w:name w:val="Тема примітки Знак"/>
    <w:basedOn w:val="a9"/>
    <w:link w:val="aa"/>
    <w:uiPriority w:val="99"/>
    <w:semiHidden/>
    <w:rsid w:val="005205BD"/>
    <w:rPr>
      <w:rFonts w:ascii="Times New Roman" w:hAnsi="Times New Roman"/>
      <w:b/>
      <w:bCs/>
      <w:lang w:eastAsia="ru-RU"/>
    </w:rPr>
  </w:style>
  <w:style w:type="paragraph" w:styleId="ac">
    <w:name w:val="Balloon Text"/>
    <w:basedOn w:val="a"/>
    <w:link w:val="ad"/>
    <w:uiPriority w:val="99"/>
    <w:semiHidden/>
    <w:unhideWhenUsed/>
    <w:rsid w:val="005205BD"/>
    <w:rPr>
      <w:rFonts w:ascii="Segoe UI" w:hAnsi="Segoe UI" w:cs="Segoe UI"/>
      <w:sz w:val="18"/>
      <w:szCs w:val="18"/>
    </w:rPr>
  </w:style>
  <w:style w:type="character" w:customStyle="1" w:styleId="ad">
    <w:name w:val="Текст у виносці Знак"/>
    <w:basedOn w:val="a0"/>
    <w:link w:val="ac"/>
    <w:uiPriority w:val="99"/>
    <w:semiHidden/>
    <w:rsid w:val="005205BD"/>
    <w:rPr>
      <w:rFonts w:ascii="Segoe UI" w:hAnsi="Segoe UI" w:cs="Segoe UI"/>
      <w:sz w:val="18"/>
      <w:szCs w:val="18"/>
      <w:lang w:eastAsia="ru-RU"/>
    </w:rPr>
  </w:style>
  <w:style w:type="paragraph" w:customStyle="1" w:styleId="rvps2">
    <w:name w:val="rvps2"/>
    <w:basedOn w:val="a"/>
    <w:rsid w:val="005205BD"/>
    <w:pPr>
      <w:spacing w:before="100" w:beforeAutospacing="1" w:after="100" w:afterAutospacing="1"/>
    </w:pPr>
    <w:rPr>
      <w:sz w:val="24"/>
      <w:szCs w:val="24"/>
      <w:lang w:eastAsia="uk-UA"/>
    </w:rPr>
  </w:style>
  <w:style w:type="character" w:styleId="ae">
    <w:name w:val="Hyperlink"/>
    <w:basedOn w:val="a0"/>
    <w:uiPriority w:val="99"/>
    <w:semiHidden/>
    <w:unhideWhenUsed/>
    <w:rsid w:val="005205BD"/>
    <w:rPr>
      <w:color w:val="0000FF"/>
      <w:u w:val="single"/>
    </w:rPr>
  </w:style>
  <w:style w:type="paragraph" w:customStyle="1" w:styleId="rvps7">
    <w:name w:val="rvps7"/>
    <w:basedOn w:val="a"/>
    <w:rsid w:val="005205BD"/>
    <w:pPr>
      <w:spacing w:before="100" w:beforeAutospacing="1" w:after="100" w:afterAutospacing="1"/>
    </w:pPr>
    <w:rPr>
      <w:sz w:val="24"/>
      <w:szCs w:val="24"/>
      <w:lang w:eastAsia="uk-UA"/>
    </w:rPr>
  </w:style>
  <w:style w:type="character" w:customStyle="1" w:styleId="rvts15">
    <w:name w:val="rvts15"/>
    <w:basedOn w:val="a0"/>
    <w:rsid w:val="005205BD"/>
  </w:style>
  <w:style w:type="character" w:customStyle="1" w:styleId="rvts46">
    <w:name w:val="rvts46"/>
    <w:basedOn w:val="a0"/>
    <w:rsid w:val="00061A9C"/>
  </w:style>
  <w:style w:type="paragraph" w:styleId="af">
    <w:name w:val="Revision"/>
    <w:hidden/>
    <w:uiPriority w:val="99"/>
    <w:semiHidden/>
    <w:rsid w:val="007F4809"/>
    <w:rPr>
      <w:rFonts w:ascii="Times New Roman" w:hAnsi="Times New Roman"/>
      <w:lang w:eastAsia="ru-RU"/>
    </w:rPr>
  </w:style>
  <w:style w:type="character" w:customStyle="1" w:styleId="30">
    <w:name w:val="Заголовок 3 Знак"/>
    <w:basedOn w:val="a0"/>
    <w:link w:val="3"/>
    <w:rsid w:val="00445E23"/>
    <w:rPr>
      <w:rFonts w:ascii="Times New Roman" w:hAnsi="Times New Roman"/>
      <w:b/>
      <w:bCs/>
      <w:sz w:val="27"/>
      <w:szCs w:val="27"/>
      <w:lang w:val="ru-RU" w:eastAsia="ru-RU"/>
    </w:rPr>
  </w:style>
  <w:style w:type="paragraph" w:styleId="af0">
    <w:name w:val="header"/>
    <w:basedOn w:val="a"/>
    <w:link w:val="af1"/>
    <w:uiPriority w:val="99"/>
    <w:unhideWhenUsed/>
    <w:rsid w:val="009D0479"/>
    <w:pPr>
      <w:tabs>
        <w:tab w:val="center" w:pos="4677"/>
        <w:tab w:val="right" w:pos="9355"/>
      </w:tabs>
    </w:pPr>
  </w:style>
  <w:style w:type="character" w:customStyle="1" w:styleId="af1">
    <w:name w:val="Верхній колонтитул Знак"/>
    <w:basedOn w:val="a0"/>
    <w:link w:val="af0"/>
    <w:uiPriority w:val="99"/>
    <w:rsid w:val="009D0479"/>
    <w:rPr>
      <w:rFonts w:ascii="Times New Roman" w:hAnsi="Times New Roman"/>
      <w:lang w:eastAsia="ru-RU"/>
    </w:rPr>
  </w:style>
  <w:style w:type="paragraph" w:styleId="af2">
    <w:name w:val="footer"/>
    <w:basedOn w:val="a"/>
    <w:link w:val="af3"/>
    <w:uiPriority w:val="99"/>
    <w:unhideWhenUsed/>
    <w:rsid w:val="009D0479"/>
    <w:pPr>
      <w:tabs>
        <w:tab w:val="center" w:pos="4677"/>
        <w:tab w:val="right" w:pos="9355"/>
      </w:tabs>
    </w:pPr>
  </w:style>
  <w:style w:type="character" w:customStyle="1" w:styleId="af3">
    <w:name w:val="Нижній колонтитул Знак"/>
    <w:basedOn w:val="a0"/>
    <w:link w:val="af2"/>
    <w:uiPriority w:val="99"/>
    <w:rsid w:val="009D0479"/>
    <w:rPr>
      <w:rFonts w:ascii="Times New Roman" w:hAnsi="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044396">
      <w:bodyDiv w:val="1"/>
      <w:marLeft w:val="0"/>
      <w:marRight w:val="0"/>
      <w:marTop w:val="0"/>
      <w:marBottom w:val="0"/>
      <w:divBdr>
        <w:top w:val="none" w:sz="0" w:space="0" w:color="auto"/>
        <w:left w:val="none" w:sz="0" w:space="0" w:color="auto"/>
        <w:bottom w:val="none" w:sz="0" w:space="0" w:color="auto"/>
        <w:right w:val="none" w:sz="0" w:space="0" w:color="auto"/>
      </w:divBdr>
    </w:div>
    <w:div w:id="152722136">
      <w:bodyDiv w:val="1"/>
      <w:marLeft w:val="0"/>
      <w:marRight w:val="0"/>
      <w:marTop w:val="0"/>
      <w:marBottom w:val="0"/>
      <w:divBdr>
        <w:top w:val="none" w:sz="0" w:space="0" w:color="auto"/>
        <w:left w:val="none" w:sz="0" w:space="0" w:color="auto"/>
        <w:bottom w:val="none" w:sz="0" w:space="0" w:color="auto"/>
        <w:right w:val="none" w:sz="0" w:space="0" w:color="auto"/>
      </w:divBdr>
    </w:div>
    <w:div w:id="349333992">
      <w:bodyDiv w:val="1"/>
      <w:marLeft w:val="0"/>
      <w:marRight w:val="0"/>
      <w:marTop w:val="0"/>
      <w:marBottom w:val="0"/>
      <w:divBdr>
        <w:top w:val="none" w:sz="0" w:space="0" w:color="auto"/>
        <w:left w:val="none" w:sz="0" w:space="0" w:color="auto"/>
        <w:bottom w:val="none" w:sz="0" w:space="0" w:color="auto"/>
        <w:right w:val="none" w:sz="0" w:space="0" w:color="auto"/>
      </w:divBdr>
    </w:div>
    <w:div w:id="361783030">
      <w:bodyDiv w:val="1"/>
      <w:marLeft w:val="0"/>
      <w:marRight w:val="0"/>
      <w:marTop w:val="0"/>
      <w:marBottom w:val="0"/>
      <w:divBdr>
        <w:top w:val="none" w:sz="0" w:space="0" w:color="auto"/>
        <w:left w:val="none" w:sz="0" w:space="0" w:color="auto"/>
        <w:bottom w:val="none" w:sz="0" w:space="0" w:color="auto"/>
        <w:right w:val="none" w:sz="0" w:space="0" w:color="auto"/>
      </w:divBdr>
    </w:div>
    <w:div w:id="454716626">
      <w:bodyDiv w:val="1"/>
      <w:marLeft w:val="0"/>
      <w:marRight w:val="0"/>
      <w:marTop w:val="0"/>
      <w:marBottom w:val="0"/>
      <w:divBdr>
        <w:top w:val="none" w:sz="0" w:space="0" w:color="auto"/>
        <w:left w:val="none" w:sz="0" w:space="0" w:color="auto"/>
        <w:bottom w:val="none" w:sz="0" w:space="0" w:color="auto"/>
        <w:right w:val="none" w:sz="0" w:space="0" w:color="auto"/>
      </w:divBdr>
    </w:div>
    <w:div w:id="490751737">
      <w:bodyDiv w:val="1"/>
      <w:marLeft w:val="0"/>
      <w:marRight w:val="0"/>
      <w:marTop w:val="0"/>
      <w:marBottom w:val="0"/>
      <w:divBdr>
        <w:top w:val="none" w:sz="0" w:space="0" w:color="auto"/>
        <w:left w:val="none" w:sz="0" w:space="0" w:color="auto"/>
        <w:bottom w:val="none" w:sz="0" w:space="0" w:color="auto"/>
        <w:right w:val="none" w:sz="0" w:space="0" w:color="auto"/>
      </w:divBdr>
    </w:div>
    <w:div w:id="541946385">
      <w:bodyDiv w:val="1"/>
      <w:marLeft w:val="0"/>
      <w:marRight w:val="0"/>
      <w:marTop w:val="0"/>
      <w:marBottom w:val="0"/>
      <w:divBdr>
        <w:top w:val="none" w:sz="0" w:space="0" w:color="auto"/>
        <w:left w:val="none" w:sz="0" w:space="0" w:color="auto"/>
        <w:bottom w:val="none" w:sz="0" w:space="0" w:color="auto"/>
        <w:right w:val="none" w:sz="0" w:space="0" w:color="auto"/>
      </w:divBdr>
    </w:div>
    <w:div w:id="672222460">
      <w:bodyDiv w:val="1"/>
      <w:marLeft w:val="0"/>
      <w:marRight w:val="0"/>
      <w:marTop w:val="0"/>
      <w:marBottom w:val="0"/>
      <w:divBdr>
        <w:top w:val="none" w:sz="0" w:space="0" w:color="auto"/>
        <w:left w:val="none" w:sz="0" w:space="0" w:color="auto"/>
        <w:bottom w:val="none" w:sz="0" w:space="0" w:color="auto"/>
        <w:right w:val="none" w:sz="0" w:space="0" w:color="auto"/>
      </w:divBdr>
    </w:div>
    <w:div w:id="752356699">
      <w:bodyDiv w:val="1"/>
      <w:marLeft w:val="0"/>
      <w:marRight w:val="0"/>
      <w:marTop w:val="0"/>
      <w:marBottom w:val="0"/>
      <w:divBdr>
        <w:top w:val="none" w:sz="0" w:space="0" w:color="auto"/>
        <w:left w:val="none" w:sz="0" w:space="0" w:color="auto"/>
        <w:bottom w:val="none" w:sz="0" w:space="0" w:color="auto"/>
        <w:right w:val="none" w:sz="0" w:space="0" w:color="auto"/>
      </w:divBdr>
    </w:div>
    <w:div w:id="757869997">
      <w:bodyDiv w:val="1"/>
      <w:marLeft w:val="0"/>
      <w:marRight w:val="0"/>
      <w:marTop w:val="0"/>
      <w:marBottom w:val="0"/>
      <w:divBdr>
        <w:top w:val="none" w:sz="0" w:space="0" w:color="auto"/>
        <w:left w:val="none" w:sz="0" w:space="0" w:color="auto"/>
        <w:bottom w:val="none" w:sz="0" w:space="0" w:color="auto"/>
        <w:right w:val="none" w:sz="0" w:space="0" w:color="auto"/>
      </w:divBdr>
    </w:div>
    <w:div w:id="769621136">
      <w:bodyDiv w:val="1"/>
      <w:marLeft w:val="0"/>
      <w:marRight w:val="0"/>
      <w:marTop w:val="0"/>
      <w:marBottom w:val="0"/>
      <w:divBdr>
        <w:top w:val="none" w:sz="0" w:space="0" w:color="auto"/>
        <w:left w:val="none" w:sz="0" w:space="0" w:color="auto"/>
        <w:bottom w:val="none" w:sz="0" w:space="0" w:color="auto"/>
        <w:right w:val="none" w:sz="0" w:space="0" w:color="auto"/>
      </w:divBdr>
      <w:divsChild>
        <w:div w:id="828254816">
          <w:marLeft w:val="0"/>
          <w:marRight w:val="0"/>
          <w:marTop w:val="0"/>
          <w:marBottom w:val="150"/>
          <w:divBdr>
            <w:top w:val="none" w:sz="0" w:space="0" w:color="auto"/>
            <w:left w:val="none" w:sz="0" w:space="0" w:color="auto"/>
            <w:bottom w:val="none" w:sz="0" w:space="0" w:color="auto"/>
            <w:right w:val="none" w:sz="0" w:space="0" w:color="auto"/>
          </w:divBdr>
        </w:div>
      </w:divsChild>
    </w:div>
    <w:div w:id="774860032">
      <w:bodyDiv w:val="1"/>
      <w:marLeft w:val="0"/>
      <w:marRight w:val="0"/>
      <w:marTop w:val="0"/>
      <w:marBottom w:val="0"/>
      <w:divBdr>
        <w:top w:val="none" w:sz="0" w:space="0" w:color="auto"/>
        <w:left w:val="none" w:sz="0" w:space="0" w:color="auto"/>
        <w:bottom w:val="none" w:sz="0" w:space="0" w:color="auto"/>
        <w:right w:val="none" w:sz="0" w:space="0" w:color="auto"/>
      </w:divBdr>
    </w:div>
    <w:div w:id="782765278">
      <w:bodyDiv w:val="1"/>
      <w:marLeft w:val="0"/>
      <w:marRight w:val="0"/>
      <w:marTop w:val="0"/>
      <w:marBottom w:val="0"/>
      <w:divBdr>
        <w:top w:val="none" w:sz="0" w:space="0" w:color="auto"/>
        <w:left w:val="none" w:sz="0" w:space="0" w:color="auto"/>
        <w:bottom w:val="none" w:sz="0" w:space="0" w:color="auto"/>
        <w:right w:val="none" w:sz="0" w:space="0" w:color="auto"/>
      </w:divBdr>
    </w:div>
    <w:div w:id="804588244">
      <w:bodyDiv w:val="1"/>
      <w:marLeft w:val="0"/>
      <w:marRight w:val="0"/>
      <w:marTop w:val="0"/>
      <w:marBottom w:val="0"/>
      <w:divBdr>
        <w:top w:val="none" w:sz="0" w:space="0" w:color="auto"/>
        <w:left w:val="none" w:sz="0" w:space="0" w:color="auto"/>
        <w:bottom w:val="none" w:sz="0" w:space="0" w:color="auto"/>
        <w:right w:val="none" w:sz="0" w:space="0" w:color="auto"/>
      </w:divBdr>
    </w:div>
    <w:div w:id="834108064">
      <w:bodyDiv w:val="1"/>
      <w:marLeft w:val="0"/>
      <w:marRight w:val="0"/>
      <w:marTop w:val="0"/>
      <w:marBottom w:val="0"/>
      <w:divBdr>
        <w:top w:val="none" w:sz="0" w:space="0" w:color="auto"/>
        <w:left w:val="none" w:sz="0" w:space="0" w:color="auto"/>
        <w:bottom w:val="none" w:sz="0" w:space="0" w:color="auto"/>
        <w:right w:val="none" w:sz="0" w:space="0" w:color="auto"/>
      </w:divBdr>
    </w:div>
    <w:div w:id="882670516">
      <w:bodyDiv w:val="1"/>
      <w:marLeft w:val="0"/>
      <w:marRight w:val="0"/>
      <w:marTop w:val="0"/>
      <w:marBottom w:val="0"/>
      <w:divBdr>
        <w:top w:val="none" w:sz="0" w:space="0" w:color="auto"/>
        <w:left w:val="none" w:sz="0" w:space="0" w:color="auto"/>
        <w:bottom w:val="none" w:sz="0" w:space="0" w:color="auto"/>
        <w:right w:val="none" w:sz="0" w:space="0" w:color="auto"/>
      </w:divBdr>
    </w:div>
    <w:div w:id="900946380">
      <w:bodyDiv w:val="1"/>
      <w:marLeft w:val="0"/>
      <w:marRight w:val="0"/>
      <w:marTop w:val="0"/>
      <w:marBottom w:val="0"/>
      <w:divBdr>
        <w:top w:val="none" w:sz="0" w:space="0" w:color="auto"/>
        <w:left w:val="none" w:sz="0" w:space="0" w:color="auto"/>
        <w:bottom w:val="none" w:sz="0" w:space="0" w:color="auto"/>
        <w:right w:val="none" w:sz="0" w:space="0" w:color="auto"/>
      </w:divBdr>
    </w:div>
    <w:div w:id="1003312920">
      <w:bodyDiv w:val="1"/>
      <w:marLeft w:val="0"/>
      <w:marRight w:val="0"/>
      <w:marTop w:val="0"/>
      <w:marBottom w:val="0"/>
      <w:divBdr>
        <w:top w:val="none" w:sz="0" w:space="0" w:color="auto"/>
        <w:left w:val="none" w:sz="0" w:space="0" w:color="auto"/>
        <w:bottom w:val="none" w:sz="0" w:space="0" w:color="auto"/>
        <w:right w:val="none" w:sz="0" w:space="0" w:color="auto"/>
      </w:divBdr>
    </w:div>
    <w:div w:id="1468008182">
      <w:bodyDiv w:val="1"/>
      <w:marLeft w:val="0"/>
      <w:marRight w:val="0"/>
      <w:marTop w:val="0"/>
      <w:marBottom w:val="0"/>
      <w:divBdr>
        <w:top w:val="none" w:sz="0" w:space="0" w:color="auto"/>
        <w:left w:val="none" w:sz="0" w:space="0" w:color="auto"/>
        <w:bottom w:val="none" w:sz="0" w:space="0" w:color="auto"/>
        <w:right w:val="none" w:sz="0" w:space="0" w:color="auto"/>
      </w:divBdr>
      <w:divsChild>
        <w:div w:id="1127746910">
          <w:marLeft w:val="0"/>
          <w:marRight w:val="0"/>
          <w:marTop w:val="0"/>
          <w:marBottom w:val="150"/>
          <w:divBdr>
            <w:top w:val="none" w:sz="0" w:space="0" w:color="auto"/>
            <w:left w:val="none" w:sz="0" w:space="0" w:color="auto"/>
            <w:bottom w:val="none" w:sz="0" w:space="0" w:color="auto"/>
            <w:right w:val="none" w:sz="0" w:space="0" w:color="auto"/>
          </w:divBdr>
        </w:div>
      </w:divsChild>
    </w:div>
    <w:div w:id="1517379101">
      <w:bodyDiv w:val="1"/>
      <w:marLeft w:val="0"/>
      <w:marRight w:val="0"/>
      <w:marTop w:val="0"/>
      <w:marBottom w:val="0"/>
      <w:divBdr>
        <w:top w:val="none" w:sz="0" w:space="0" w:color="auto"/>
        <w:left w:val="none" w:sz="0" w:space="0" w:color="auto"/>
        <w:bottom w:val="none" w:sz="0" w:space="0" w:color="auto"/>
        <w:right w:val="none" w:sz="0" w:space="0" w:color="auto"/>
      </w:divBdr>
    </w:div>
    <w:div w:id="1699358478">
      <w:bodyDiv w:val="1"/>
      <w:marLeft w:val="0"/>
      <w:marRight w:val="0"/>
      <w:marTop w:val="0"/>
      <w:marBottom w:val="0"/>
      <w:divBdr>
        <w:top w:val="none" w:sz="0" w:space="0" w:color="auto"/>
        <w:left w:val="none" w:sz="0" w:space="0" w:color="auto"/>
        <w:bottom w:val="none" w:sz="0" w:space="0" w:color="auto"/>
        <w:right w:val="none" w:sz="0" w:space="0" w:color="auto"/>
      </w:divBdr>
      <w:divsChild>
        <w:div w:id="572550024">
          <w:marLeft w:val="0"/>
          <w:marRight w:val="0"/>
          <w:marTop w:val="0"/>
          <w:marBottom w:val="150"/>
          <w:divBdr>
            <w:top w:val="none" w:sz="0" w:space="0" w:color="auto"/>
            <w:left w:val="none" w:sz="0" w:space="0" w:color="auto"/>
            <w:bottom w:val="none" w:sz="0" w:space="0" w:color="auto"/>
            <w:right w:val="none" w:sz="0" w:space="0" w:color="auto"/>
          </w:divBdr>
        </w:div>
      </w:divsChild>
    </w:div>
    <w:div w:id="1716542138">
      <w:bodyDiv w:val="1"/>
      <w:marLeft w:val="0"/>
      <w:marRight w:val="0"/>
      <w:marTop w:val="0"/>
      <w:marBottom w:val="0"/>
      <w:divBdr>
        <w:top w:val="none" w:sz="0" w:space="0" w:color="auto"/>
        <w:left w:val="none" w:sz="0" w:space="0" w:color="auto"/>
        <w:bottom w:val="none" w:sz="0" w:space="0" w:color="auto"/>
        <w:right w:val="none" w:sz="0" w:space="0" w:color="auto"/>
      </w:divBdr>
    </w:div>
    <w:div w:id="1749156027">
      <w:bodyDiv w:val="1"/>
      <w:marLeft w:val="0"/>
      <w:marRight w:val="0"/>
      <w:marTop w:val="0"/>
      <w:marBottom w:val="0"/>
      <w:divBdr>
        <w:top w:val="none" w:sz="0" w:space="0" w:color="auto"/>
        <w:left w:val="none" w:sz="0" w:space="0" w:color="auto"/>
        <w:bottom w:val="none" w:sz="0" w:space="0" w:color="auto"/>
        <w:right w:val="none" w:sz="0" w:space="0" w:color="auto"/>
      </w:divBdr>
    </w:div>
    <w:div w:id="1918325037">
      <w:bodyDiv w:val="1"/>
      <w:marLeft w:val="0"/>
      <w:marRight w:val="0"/>
      <w:marTop w:val="0"/>
      <w:marBottom w:val="0"/>
      <w:divBdr>
        <w:top w:val="none" w:sz="0" w:space="0" w:color="auto"/>
        <w:left w:val="none" w:sz="0" w:space="0" w:color="auto"/>
        <w:bottom w:val="none" w:sz="0" w:space="0" w:color="auto"/>
        <w:right w:val="none" w:sz="0" w:space="0" w:color="auto"/>
      </w:divBdr>
    </w:div>
    <w:div w:id="2056545437">
      <w:bodyDiv w:val="1"/>
      <w:marLeft w:val="0"/>
      <w:marRight w:val="0"/>
      <w:marTop w:val="0"/>
      <w:marBottom w:val="0"/>
      <w:divBdr>
        <w:top w:val="none" w:sz="0" w:space="0" w:color="auto"/>
        <w:left w:val="none" w:sz="0" w:space="0" w:color="auto"/>
        <w:bottom w:val="none" w:sz="0" w:space="0" w:color="auto"/>
        <w:right w:val="none" w:sz="0" w:space="0" w:color="auto"/>
      </w:divBdr>
    </w:div>
    <w:div w:id="2096397361">
      <w:bodyDiv w:val="1"/>
      <w:marLeft w:val="0"/>
      <w:marRight w:val="0"/>
      <w:marTop w:val="0"/>
      <w:marBottom w:val="0"/>
      <w:divBdr>
        <w:top w:val="none" w:sz="0" w:space="0" w:color="auto"/>
        <w:left w:val="none" w:sz="0" w:space="0" w:color="auto"/>
        <w:bottom w:val="none" w:sz="0" w:space="0" w:color="auto"/>
        <w:right w:val="none" w:sz="0" w:space="0" w:color="auto"/>
      </w:divBdr>
    </w:div>
    <w:div w:id="2106536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18D176-B04A-4E28-88DF-1F8BE5B72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3964</Words>
  <Characters>2260</Characters>
  <Application>Microsoft Office Word</Application>
  <DocSecurity>0</DocSecurity>
  <Lines>18</Lines>
  <Paragraphs>12</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6212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Коваль Родіон</dc:creator>
  <cp:keywords/>
  <dc:description/>
  <cp:lastModifiedBy>Коваль Родіон</cp:lastModifiedBy>
  <cp:revision>6</cp:revision>
  <dcterms:created xsi:type="dcterms:W3CDTF">2025-12-30T07:22:00Z</dcterms:created>
  <dcterms:modified xsi:type="dcterms:W3CDTF">2026-02-17T09:17:00Z</dcterms:modified>
</cp:coreProperties>
</file>