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65A56" w14:textId="77777777" w:rsidR="00FA7D08" w:rsidRPr="00FA7D08" w:rsidRDefault="00301ECC" w:rsidP="00FA7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506FC" wp14:editId="41D9D3C7">
                <wp:simplePos x="0" y="0"/>
                <wp:positionH relativeFrom="column">
                  <wp:posOffset>5382079</wp:posOffset>
                </wp:positionH>
                <wp:positionV relativeFrom="paragraph">
                  <wp:posOffset>-324305</wp:posOffset>
                </wp:positionV>
                <wp:extent cx="839091" cy="462441"/>
                <wp:effectExtent l="0" t="0" r="0" b="1397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091" cy="462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4C96E" w14:textId="77777777" w:rsidR="00301ECC" w:rsidRPr="00301ECC" w:rsidRDefault="00301ECC" w:rsidP="00301EC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1ECC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ПРОЄКТ</w:t>
                            </w:r>
                            <w:r w:rsidRPr="00301E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08404E71" w14:textId="77777777" w:rsidR="00301ECC" w:rsidRPr="00B466D6" w:rsidRDefault="00301ECC" w:rsidP="00301ECC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27432" tIns="27432" rIns="27432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8pt;margin-top:-25.55pt;width:66.05pt;height:3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" filled="f" stroked="f">
                <v:textbox inset="2.16pt,2.16pt,2.16pt,0">
                  <w:txbxContent>
                    <w:p w:rsidR="00301ECC" w:rsidRPr="00301ECC" w:rsidRDefault="00301ECC" w:rsidP="00301ECC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1ECC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ПРОЄКТ</w:t>
                      </w:r>
                      <w:r w:rsidRPr="00301E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301ECC" w:rsidRPr="00B466D6" w:rsidRDefault="00301ECC" w:rsidP="00301EC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FA7D08" w:rsidRPr="00FA7D08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5C9E5827" wp14:editId="41A8A85C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46AE0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</w:pPr>
    </w:p>
    <w:p w14:paraId="7D54F587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FA7D08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  <w:t>Національна комісія, ЩО ЗДІЙСНЮЄ</w:t>
      </w:r>
    </w:p>
    <w:p w14:paraId="3F5C3A73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FA7D08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  <w:t xml:space="preserve"> ДЕРЖАВНЕ РЕГУЛЮВАННЯ У сФЕРАХ ЕНЕРГЕТИКИ </w:t>
      </w:r>
    </w:p>
    <w:p w14:paraId="503B11BD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FA7D08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  <w:t>ТА КОМУНАЛЬНИХ ПОСЛУГ</w:t>
      </w:r>
    </w:p>
    <w:p w14:paraId="05244FD6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FA7D08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  <w:t>(НКРЕКП)</w:t>
      </w:r>
    </w:p>
    <w:p w14:paraId="5D1785DA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</w:pPr>
    </w:p>
    <w:p w14:paraId="6A76F67A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FA7D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ПОСТАНОВА</w:t>
      </w:r>
    </w:p>
    <w:p w14:paraId="70DA90F1" w14:textId="77777777" w:rsidR="00FA7D08" w:rsidRPr="00FA7D08" w:rsidRDefault="00FA7D08" w:rsidP="00FA7D08">
      <w:pPr>
        <w:spacing w:after="0" w:line="240" w:lineRule="auto"/>
        <w:ind w:right="-6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0BF7599A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</w:pPr>
      <w:r w:rsidRPr="00FA7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________________ </w:t>
      </w:r>
      <w:r w:rsidRPr="00FA7D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FA7D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  <w:t xml:space="preserve">  </w:t>
      </w:r>
      <w:r w:rsidRPr="00FA7D0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Київ</w:t>
      </w:r>
      <w:r w:rsidRPr="00FA7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A7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№ __________________</w:t>
      </w:r>
    </w:p>
    <w:p w14:paraId="2B3519BA" w14:textId="77777777" w:rsidR="00FA7D08" w:rsidRPr="00FA7D08" w:rsidRDefault="00FA7D08" w:rsidP="00FA7D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F28B190" w14:textId="77777777" w:rsidR="00146BC0" w:rsidRDefault="00146BC0" w:rsidP="003F0721">
      <w:pPr>
        <w:pStyle w:val="2"/>
        <w:jc w:val="center"/>
        <w:rPr>
          <w:rFonts w:eastAsia="Times New Roman"/>
          <w:lang w:eastAsia="ru-RU"/>
        </w:rPr>
      </w:pPr>
    </w:p>
    <w:p w14:paraId="4730B59B" w14:textId="77777777" w:rsidR="00FA7D08" w:rsidRPr="00FA7D08" w:rsidRDefault="00FA7D08" w:rsidP="00FA7D08">
      <w:pPr>
        <w:rPr>
          <w:lang w:eastAsia="ru-RU"/>
        </w:rPr>
      </w:pPr>
    </w:p>
    <w:p w14:paraId="32B3E269" w14:textId="2970A66C" w:rsidR="0080007B" w:rsidRPr="0080007B" w:rsidRDefault="0080007B" w:rsidP="0080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000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="00C129CF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внесення</w:t>
      </w:r>
      <w:r w:rsidR="00C129CF" w:rsidRPr="008000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29CF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80007B">
        <w:rPr>
          <w:rFonts w:ascii="Times New Roman" w:eastAsia="Times New Roman" w:hAnsi="Times New Roman" w:cs="Times New Roman"/>
          <w:sz w:val="28"/>
          <w:szCs w:val="20"/>
          <w:lang w:eastAsia="ru-RU"/>
        </w:rPr>
        <w:t>мін до деяких</w:t>
      </w:r>
    </w:p>
    <w:p w14:paraId="3A01AD96" w14:textId="77777777" w:rsidR="00146BC0" w:rsidRDefault="0080007B" w:rsidP="0080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0007B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 НКРЕКП</w:t>
      </w:r>
    </w:p>
    <w:p w14:paraId="6D6D2C5B" w14:textId="77777777" w:rsidR="0080007B" w:rsidRPr="00146BC0" w:rsidRDefault="0080007B" w:rsidP="0080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B893C" w14:textId="77777777" w:rsidR="00146BC0" w:rsidRPr="00146BC0" w:rsidRDefault="00146BC0" w:rsidP="00751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C851C" w14:textId="77777777" w:rsidR="00146BC0" w:rsidRPr="00547AC2" w:rsidRDefault="00146BC0" w:rsidP="00146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2EB537E" w14:textId="77777777" w:rsidR="00146BC0" w:rsidRPr="00547AC2" w:rsidRDefault="00146BC0" w:rsidP="00146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EFE30" w14:textId="77777777" w:rsidR="00146BC0" w:rsidRPr="00547AC2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547AC2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ПОСТАНОВЛЯЄ: </w:t>
      </w:r>
    </w:p>
    <w:p w14:paraId="139A4331" w14:textId="77777777" w:rsidR="0080007B" w:rsidRPr="00547AC2" w:rsidRDefault="0080007B" w:rsidP="005A6C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07AC8" w14:textId="77777777" w:rsidR="00211406" w:rsidRPr="00547AC2" w:rsidRDefault="00211406" w:rsidP="002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47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Унести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глави 2 Порядку формування цін на універсальні послуги, затвердженого постановою Національної комісії, що здійснює державне регулювання у сферах енергетики та комунальних послуг,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від 05 жовтня 2018 року № 1177, такі </w:t>
      </w:r>
      <w:r w:rsidRPr="00547AC2">
        <w:rPr>
          <w:rFonts w:ascii="Times New Roman" w:eastAsia="Times New Roman" w:hAnsi="Times New Roman" w:cs="Times New Roman"/>
          <w:sz w:val="28"/>
          <w:szCs w:val="20"/>
          <w:lang w:eastAsia="ru-RU"/>
        </w:rPr>
        <w:t>зміни:</w:t>
      </w:r>
    </w:p>
    <w:p w14:paraId="3343052D" w14:textId="77777777" w:rsidR="00211406" w:rsidRPr="00547AC2" w:rsidRDefault="00211406" w:rsidP="00211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7A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E46114A" w14:textId="40AEBFB9" w:rsidR="00211406" w:rsidRPr="00547AC2" w:rsidRDefault="00211406" w:rsidP="0021140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20941048"/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C129CF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восьмий</w:t>
      </w:r>
      <w:r w:rsidR="00C129CF" w:rsidRPr="00547A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129C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</w:t>
      </w:r>
      <w:r w:rsidR="00C1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в такій</w:t>
      </w:r>
      <w:r w:rsidRPr="00547A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редакції:</w:t>
      </w:r>
    </w:p>
    <w:p w14:paraId="71123552" w14:textId="77777777" w:rsidR="00211406" w:rsidRPr="00547AC2" w:rsidRDefault="00211406" w:rsidP="002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РДД_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base</m:t>
            </m:r>
          </m:sup>
        </m:sSubSup>
      </m:oMath>
      <w:r w:rsidRPr="00547A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середньоарифметичне значення декадних</w:t>
      </w:r>
      <w:r w:rsidR="00547AC2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перші дві декади)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індексів базового навантаження на ринку двосторонніх договорів на місяць, що передував розрахунковому місяцю, як</w:t>
      </w:r>
      <w:r w:rsidR="00216A79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оприлюдню</w:t>
      </w:r>
      <w:r w:rsidR="00216A79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ТОВ «Українська енергетична біржа» на його офіційному вебсайті в мережі Інтернет, грн/МВт·год;»;</w:t>
      </w:r>
    </w:p>
    <w:bookmarkEnd w:id="0"/>
    <w:p w14:paraId="62948B24" w14:textId="77777777" w:rsidR="00211406" w:rsidRPr="00547AC2" w:rsidRDefault="00211406" w:rsidP="0021140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24E7F4" w14:textId="1CB87416" w:rsidR="00211406" w:rsidRPr="00547AC2" w:rsidRDefault="00211406" w:rsidP="0021140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994DCE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п’ятий</w:t>
      </w:r>
      <w:r w:rsidR="00994DCE" w:rsidRPr="00547A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994DC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</w:t>
      </w:r>
      <w:r w:rsidR="00994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в такій</w:t>
      </w:r>
      <w:r w:rsidRPr="00547A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редакції:</w:t>
      </w:r>
    </w:p>
    <w:p w14:paraId="3BE36CDC" w14:textId="77777777" w:rsidR="00211406" w:rsidRPr="00547AC2" w:rsidRDefault="00211406" w:rsidP="002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ф_р-3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РДД_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base</m:t>
            </m:r>
          </m:sup>
        </m:sSubSup>
      </m:oMath>
      <w:r w:rsidRPr="00547A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середньоарифметичне значення декадних індексів базового </w:t>
      </w:r>
      <w:r w:rsidRPr="00547AC2">
        <w:rPr>
          <w:rFonts w:ascii="Times New Roman" w:eastAsia="Times New Roman" w:hAnsi="Times New Roman" w:cs="Times New Roman"/>
          <w:sz w:val="28"/>
          <w:szCs w:val="28"/>
        </w:rPr>
        <w:t>навантаження на ринку двосторонніх договорів, як</w:t>
      </w:r>
      <w:r w:rsidR="00216A79" w:rsidRPr="00547AC2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547AC2">
        <w:rPr>
          <w:rFonts w:ascii="Times New Roman" w:eastAsia="Times New Roman" w:hAnsi="Times New Roman" w:cs="Times New Roman"/>
          <w:sz w:val="28"/>
          <w:szCs w:val="28"/>
        </w:rPr>
        <w:t xml:space="preserve"> оприлюдню</w:t>
      </w:r>
      <w:r w:rsidR="00216A79" w:rsidRPr="00547AC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547AC2">
        <w:rPr>
          <w:rFonts w:ascii="Times New Roman" w:eastAsia="Times New Roman" w:hAnsi="Times New Roman" w:cs="Times New Roman"/>
          <w:sz w:val="28"/>
          <w:szCs w:val="28"/>
        </w:rPr>
        <w:t>ться ТОВ «Українська енергетична біржа» на його офіційному вебсайті в мережі Інтернет, у місяці, що передував двом місяцям перед розрахунковим</w:t>
      </w:r>
      <w:r w:rsidR="0040005C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0005C" w:rsidRPr="00547AC2">
        <w:rPr>
          <w:rFonts w:ascii="Times New Roman" w:eastAsia="Times New Roman" w:hAnsi="Times New Roman" w:cs="Times New Roman"/>
          <w:sz w:val="28"/>
          <w:szCs w:val="28"/>
        </w:rPr>
        <w:t xml:space="preserve">на квітень </w:t>
      </w:r>
      <w:r w:rsidR="00547AC2" w:rsidRPr="00547AC2">
        <w:rPr>
          <w:rFonts w:ascii="Times New Roman" w:eastAsia="Times New Roman" w:hAnsi="Times New Roman" w:cs="Times New Roman"/>
          <w:sz w:val="28"/>
          <w:szCs w:val="28"/>
        </w:rPr>
        <w:lastRenderedPageBreak/>
        <w:t>та</w:t>
      </w:r>
      <w:r w:rsidR="0040005C" w:rsidRPr="00547A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0E8" w:rsidRPr="00547AC2">
        <w:rPr>
          <w:rFonts w:ascii="Times New Roman" w:eastAsia="Times New Roman" w:hAnsi="Times New Roman" w:cs="Times New Roman"/>
          <w:sz w:val="28"/>
          <w:szCs w:val="28"/>
        </w:rPr>
        <w:t>трав</w:t>
      </w:r>
      <w:r w:rsidR="0040005C" w:rsidRPr="00547AC2">
        <w:rPr>
          <w:rFonts w:ascii="Times New Roman" w:eastAsia="Times New Roman" w:hAnsi="Times New Roman" w:cs="Times New Roman"/>
          <w:sz w:val="28"/>
          <w:szCs w:val="28"/>
        </w:rPr>
        <w:t>ень 2026 року – місячний індекс базового навантаження на ринку двосторонніх договорів, який оприлюднюється ТОВ</w:t>
      </w:r>
      <w:r w:rsidR="0040005C" w:rsidRPr="00547AC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0005C" w:rsidRPr="00547AC2">
        <w:rPr>
          <w:rFonts w:ascii="Times New Roman" w:eastAsia="Times New Roman" w:hAnsi="Times New Roman" w:cs="Times New Roman"/>
          <w:sz w:val="28"/>
          <w:szCs w:val="28"/>
        </w:rPr>
        <w:t>«Українська енергетична біржа» на його офіційному вебсайті в мережі Інтернет, у місяці, що передував двом місяцям перед розрахунковим)</w:t>
      </w:r>
      <w:r w:rsidRPr="00547AC2">
        <w:rPr>
          <w:rFonts w:ascii="Times New Roman" w:eastAsia="Times New Roman" w:hAnsi="Times New Roman" w:cs="Times New Roman"/>
          <w:sz w:val="28"/>
          <w:szCs w:val="28"/>
        </w:rPr>
        <w:t>, грн/МВт·год</w:t>
      </w:r>
      <w:r w:rsidR="00E342F6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ED3F915" w14:textId="77777777" w:rsidR="00211406" w:rsidRPr="00547AC2" w:rsidRDefault="00211406" w:rsidP="002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0F2828" w14:textId="10D158BB" w:rsidR="00211406" w:rsidRPr="00547AC2" w:rsidRDefault="00211406" w:rsidP="0021140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F124D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четвертий</w:t>
      </w:r>
      <w:r w:rsidR="005F124D" w:rsidRPr="00547A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5F124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</w:t>
      </w:r>
      <w:r w:rsidR="005F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в такій</w:t>
      </w:r>
      <w:r w:rsidRPr="00547A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редакції:</w:t>
      </w:r>
    </w:p>
    <w:p w14:paraId="08846073" w14:textId="77777777" w:rsidR="00211406" w:rsidRPr="00547AC2" w:rsidRDefault="00211406" w:rsidP="009F7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C2">
        <w:rPr>
          <w:rFonts w:ascii="Times New Roman" w:eastAsia="Times New Roman" w:hAnsi="Times New Roman" w:cs="Times New Roman"/>
          <w:sz w:val="28"/>
          <w:szCs w:val="28"/>
        </w:rPr>
        <w:t>«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р-4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РДД_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base</m:t>
            </m:r>
          </m:sup>
        </m:sSubSup>
      </m:oMath>
      <w:r w:rsidRPr="00547A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середньоарифметичне значення декадних</w:t>
      </w:r>
      <w:r w:rsidR="00547AC2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перші дві декади)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індексів базового навантаження на ринку двосторонніх договорів на місяць, що передував трьом місяцям перед розрахунковим, як</w:t>
      </w:r>
      <w:r w:rsidR="009F706A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оприлюдню</w:t>
      </w:r>
      <w:r w:rsidR="009F706A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ТОВ</w:t>
      </w:r>
      <w:r w:rsidR="00456E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«Українська енергетична біржа» на його офіційному вебсайті в мережі Інтернет</w:t>
      </w:r>
      <w:r w:rsidR="009F706A"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47AC2">
        <w:rPr>
          <w:rFonts w:ascii="Times New Roman" w:eastAsia="Times New Roman" w:hAnsi="Times New Roman" w:cs="Times New Roman"/>
          <w:sz w:val="28"/>
          <w:szCs w:val="28"/>
        </w:rPr>
        <w:t>на квітень</w:t>
      </w:r>
      <w:r w:rsidR="009F706A" w:rsidRPr="00547AC2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547AC2">
        <w:rPr>
          <w:rFonts w:ascii="Times New Roman" w:eastAsia="Times New Roman" w:hAnsi="Times New Roman" w:cs="Times New Roman"/>
          <w:sz w:val="28"/>
          <w:szCs w:val="28"/>
        </w:rPr>
        <w:t xml:space="preserve"> червень 2026 року – місячний індекс базового навантаження на ринку двосторонніх договорів, який оприлюднюється ТОВ</w:t>
      </w:r>
      <w:r w:rsidRPr="00547AC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547AC2">
        <w:rPr>
          <w:rFonts w:ascii="Times New Roman" w:eastAsia="Times New Roman" w:hAnsi="Times New Roman" w:cs="Times New Roman"/>
          <w:sz w:val="28"/>
          <w:szCs w:val="28"/>
        </w:rPr>
        <w:t>«Українська енергетична біржа» на його офіційному вебсайті в мережі Інтернет, у місяці, що передував трьом місяцям перед розрахунковим</w:t>
      </w:r>
      <w:r w:rsidR="009F706A" w:rsidRPr="00547AC2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547AC2">
        <w:rPr>
          <w:rFonts w:ascii="Times New Roman" w:eastAsia="Times New Roman" w:hAnsi="Times New Roman" w:cs="Times New Roman"/>
          <w:sz w:val="28"/>
          <w:szCs w:val="28"/>
        </w:rPr>
        <w:t xml:space="preserve"> грн/МВт·год;».</w:t>
      </w:r>
    </w:p>
    <w:p w14:paraId="5974CE0E" w14:textId="77777777" w:rsidR="00211406" w:rsidRPr="00547AC2" w:rsidRDefault="00211406" w:rsidP="002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1C45A" w14:textId="77777777" w:rsidR="00211406" w:rsidRPr="00AE103F" w:rsidRDefault="00211406" w:rsidP="0021140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56E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абзаці третьому пункту 2.1 глави 2 Порядку формування ціни, за якою здійснюється постачання електричної енергії споживачам постачальником «останньої надії», затвердженого постановою Національної комісії, що здійснює державне регулювання у сферах енергетики та комунальних послуг, </w:t>
      </w:r>
      <w:r w:rsidR="00456E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05 жовтня 2018 року № 1179, цифри та знак «1,3» замінити цифрами та знаком «1,</w:t>
      </w:r>
      <w:r w:rsidR="00547AC2" w:rsidRPr="00547A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547AC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1A6A5A8" w14:textId="77777777" w:rsidR="00211406" w:rsidRDefault="00211406" w:rsidP="0021140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E0CB4" w14:textId="77777777" w:rsidR="00FA7D08" w:rsidRPr="005A6CBA" w:rsidRDefault="00211406" w:rsidP="005A6C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4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FA7D08" w:rsidRPr="005A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Ця постанова набирає чинності з </w:t>
      </w:r>
      <w:r w:rsidR="008F4866" w:rsidRPr="005A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</w:t>
      </w:r>
      <w:r w:rsidR="005A6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</w:t>
      </w:r>
      <w:r w:rsidR="008F4866" w:rsidRPr="005A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</w:t>
      </w:r>
      <w:r w:rsidR="00FA7D08" w:rsidRPr="005A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року, але не раніше дня, наступного за днем її оприлюднення на офіційному вебсайті Національної комісії, що здійснює державне регулювання </w:t>
      </w:r>
      <w:proofErr w:type="gramStart"/>
      <w:r w:rsidR="00FA7D08" w:rsidRPr="005A6CBA">
        <w:rPr>
          <w:rFonts w:ascii="Times New Roman" w:eastAsia="Times New Roman" w:hAnsi="Times New Roman" w:cs="Times New Roman"/>
          <w:sz w:val="28"/>
          <w:szCs w:val="28"/>
          <w:lang w:eastAsia="ru-RU"/>
        </w:rPr>
        <w:t>у сферах</w:t>
      </w:r>
      <w:proofErr w:type="gramEnd"/>
      <w:r w:rsidR="00FA7D08" w:rsidRPr="005A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енергетики та комунальних послуг.</w:t>
      </w:r>
    </w:p>
    <w:p w14:paraId="5EAA13BB" w14:textId="77777777" w:rsidR="00FA7D08" w:rsidRDefault="00FA7D08" w:rsidP="00FA7D08">
      <w:pPr>
        <w:pStyle w:val="a8"/>
        <w:spacing w:after="0"/>
        <w:ind w:left="0" w:firstLine="709"/>
        <w:jc w:val="both"/>
        <w:rPr>
          <w:lang w:val="uk-UA"/>
        </w:rPr>
      </w:pPr>
    </w:p>
    <w:p w14:paraId="3DC3CB92" w14:textId="77777777"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656ECB" w14:textId="77777777"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14:paraId="1D58118E" w14:textId="77777777" w:rsidR="00FA7D08" w:rsidRPr="00FA7D08" w:rsidRDefault="00FA7D08" w:rsidP="00FA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НКРЕКП</w:t>
      </w: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D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Юрій ВЛАСЕНКО</w:t>
      </w:r>
    </w:p>
    <w:p w14:paraId="56A623B7" w14:textId="77777777" w:rsidR="00146BC0" w:rsidRPr="00D777E0" w:rsidRDefault="00146BC0" w:rsidP="00D777E0">
      <w:pPr>
        <w:widowControl w:val="0"/>
        <w:spacing w:before="100" w:beforeAutospacing="1" w:after="100" w:afterAutospacing="1" w:line="240" w:lineRule="auto"/>
        <w:ind w:right="-81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bookmarkStart w:id="1" w:name="_GoBack"/>
      <w:bookmarkEnd w:id="1"/>
    </w:p>
    <w:sectPr w:rsidR="00146BC0" w:rsidRPr="00D777E0" w:rsidSect="0040157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26CC3" w14:textId="77777777" w:rsidR="004F17A9" w:rsidRDefault="004F17A9" w:rsidP="00127463">
      <w:pPr>
        <w:spacing w:after="0" w:line="240" w:lineRule="auto"/>
      </w:pPr>
      <w:r>
        <w:separator/>
      </w:r>
    </w:p>
  </w:endnote>
  <w:endnote w:type="continuationSeparator" w:id="0">
    <w:p w14:paraId="025B4636" w14:textId="77777777" w:rsidR="004F17A9" w:rsidRDefault="004F17A9" w:rsidP="0012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AD846" w14:textId="77777777" w:rsidR="004F17A9" w:rsidRDefault="004F17A9" w:rsidP="00127463">
      <w:pPr>
        <w:spacing w:after="0" w:line="240" w:lineRule="auto"/>
      </w:pPr>
      <w:r>
        <w:separator/>
      </w:r>
    </w:p>
  </w:footnote>
  <w:footnote w:type="continuationSeparator" w:id="0">
    <w:p w14:paraId="46829F28" w14:textId="77777777" w:rsidR="004F17A9" w:rsidRDefault="004F17A9" w:rsidP="00127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6162502"/>
      <w:docPartObj>
        <w:docPartGallery w:val="Page Numbers (Top of Page)"/>
        <w:docPartUnique/>
      </w:docPartObj>
    </w:sdtPr>
    <w:sdtEndPr/>
    <w:sdtContent>
      <w:p w14:paraId="36A7C9F7" w14:textId="77777777" w:rsidR="00127463" w:rsidRDefault="001274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FBD71B" w14:textId="77777777" w:rsidR="00127463" w:rsidRDefault="001274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A7"/>
    <w:rsid w:val="00025226"/>
    <w:rsid w:val="00034A27"/>
    <w:rsid w:val="0008269C"/>
    <w:rsid w:val="000A4707"/>
    <w:rsid w:val="000E12AB"/>
    <w:rsid w:val="00127463"/>
    <w:rsid w:val="00146BC0"/>
    <w:rsid w:val="001F1B81"/>
    <w:rsid w:val="001F3FA7"/>
    <w:rsid w:val="00211406"/>
    <w:rsid w:val="00216A79"/>
    <w:rsid w:val="0027532D"/>
    <w:rsid w:val="00284F78"/>
    <w:rsid w:val="00285B92"/>
    <w:rsid w:val="0029193D"/>
    <w:rsid w:val="002A3721"/>
    <w:rsid w:val="002F22AC"/>
    <w:rsid w:val="002F7194"/>
    <w:rsid w:val="00301ECC"/>
    <w:rsid w:val="00340094"/>
    <w:rsid w:val="00373088"/>
    <w:rsid w:val="00397FF7"/>
    <w:rsid w:val="003E53ED"/>
    <w:rsid w:val="003F0721"/>
    <w:rsid w:val="0040005C"/>
    <w:rsid w:val="00401577"/>
    <w:rsid w:val="00417162"/>
    <w:rsid w:val="00456E03"/>
    <w:rsid w:val="0046677C"/>
    <w:rsid w:val="004A346E"/>
    <w:rsid w:val="004E6B83"/>
    <w:rsid w:val="004F17A9"/>
    <w:rsid w:val="00522CF5"/>
    <w:rsid w:val="00532716"/>
    <w:rsid w:val="0054395B"/>
    <w:rsid w:val="00547AC2"/>
    <w:rsid w:val="005721A9"/>
    <w:rsid w:val="00593295"/>
    <w:rsid w:val="005A6CBA"/>
    <w:rsid w:val="005C20E8"/>
    <w:rsid w:val="005C3CD1"/>
    <w:rsid w:val="005E12B4"/>
    <w:rsid w:val="005E5405"/>
    <w:rsid w:val="005F124D"/>
    <w:rsid w:val="005F7539"/>
    <w:rsid w:val="00641C94"/>
    <w:rsid w:val="00680654"/>
    <w:rsid w:val="00740B04"/>
    <w:rsid w:val="00751EF8"/>
    <w:rsid w:val="0075627D"/>
    <w:rsid w:val="007E61F9"/>
    <w:rsid w:val="0080007B"/>
    <w:rsid w:val="00827A84"/>
    <w:rsid w:val="008F4866"/>
    <w:rsid w:val="00964E68"/>
    <w:rsid w:val="00994DCE"/>
    <w:rsid w:val="009B2AB5"/>
    <w:rsid w:val="009C27C5"/>
    <w:rsid w:val="009F706A"/>
    <w:rsid w:val="00AF45B5"/>
    <w:rsid w:val="00B16E4D"/>
    <w:rsid w:val="00B30656"/>
    <w:rsid w:val="00B606C4"/>
    <w:rsid w:val="00B71E75"/>
    <w:rsid w:val="00C10319"/>
    <w:rsid w:val="00C129CF"/>
    <w:rsid w:val="00C17D2B"/>
    <w:rsid w:val="00C4602C"/>
    <w:rsid w:val="00CD0F97"/>
    <w:rsid w:val="00D777E0"/>
    <w:rsid w:val="00D90C57"/>
    <w:rsid w:val="00DB7A8B"/>
    <w:rsid w:val="00DF3C94"/>
    <w:rsid w:val="00E03B73"/>
    <w:rsid w:val="00E342F6"/>
    <w:rsid w:val="00E549A3"/>
    <w:rsid w:val="00E83F40"/>
    <w:rsid w:val="00EB6382"/>
    <w:rsid w:val="00F17103"/>
    <w:rsid w:val="00FA7D08"/>
    <w:rsid w:val="00FD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1B40"/>
  <w15:chartTrackingRefBased/>
  <w15:docId w15:val="{CCC0D5E1-523F-4C36-9DA5-001FE603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606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7FF7"/>
    <w:rPr>
      <w:color w:val="808080"/>
    </w:rPr>
  </w:style>
  <w:style w:type="paragraph" w:customStyle="1" w:styleId="5">
    <w:name w:val="Знак Знак5 Знак Знак"/>
    <w:basedOn w:val="a"/>
    <w:rsid w:val="00D90C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2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27463"/>
  </w:style>
  <w:style w:type="paragraph" w:styleId="a6">
    <w:name w:val="footer"/>
    <w:basedOn w:val="a"/>
    <w:link w:val="a7"/>
    <w:uiPriority w:val="99"/>
    <w:unhideWhenUsed/>
    <w:rsid w:val="0012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27463"/>
  </w:style>
  <w:style w:type="character" w:customStyle="1" w:styleId="20">
    <w:name w:val="Заголовок 2 Знак"/>
    <w:basedOn w:val="a0"/>
    <w:link w:val="2"/>
    <w:uiPriority w:val="9"/>
    <w:rsid w:val="00B606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31">
    <w:name w:val="Знак Знак3 Знак Знак Знак Знак1 Знак Знак"/>
    <w:basedOn w:val="a"/>
    <w:rsid w:val="00FA7D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Body Text Indent"/>
    <w:basedOn w:val="a"/>
    <w:link w:val="a9"/>
    <w:rsid w:val="00FA7D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Основний текст з відступом Знак"/>
    <w:basedOn w:val="a0"/>
    <w:link w:val="a8"/>
    <w:rsid w:val="00FA7D0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tj">
    <w:name w:val="tj"/>
    <w:basedOn w:val="a"/>
    <w:rsid w:val="0057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C17D2B"/>
    <w:rPr>
      <w:color w:val="0000FF"/>
      <w:u w:val="single"/>
    </w:rPr>
  </w:style>
  <w:style w:type="paragraph" w:styleId="ab">
    <w:name w:val="Revision"/>
    <w:hidden/>
    <w:uiPriority w:val="99"/>
    <w:semiHidden/>
    <w:rsid w:val="00C129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Анна Біленко</cp:lastModifiedBy>
  <cp:revision>61</cp:revision>
  <cp:lastPrinted>2020-12-08T08:10:00Z</cp:lastPrinted>
  <dcterms:created xsi:type="dcterms:W3CDTF">2020-08-31T10:24:00Z</dcterms:created>
  <dcterms:modified xsi:type="dcterms:W3CDTF">2026-02-04T14:11:00Z</dcterms:modified>
</cp:coreProperties>
</file>