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F0970" w14:textId="77777777" w:rsidR="00F5115C" w:rsidRDefault="00F5115C" w:rsidP="00331316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EAB7F0" w14:textId="3459BB9B" w:rsidR="00331316" w:rsidRPr="00FB0736" w:rsidRDefault="00331316" w:rsidP="00331316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2376">
        <w:rPr>
          <w:rFonts w:ascii="Times New Roman" w:hAnsi="Times New Roman" w:cs="Times New Roman"/>
          <w:b/>
          <w:bCs/>
          <w:sz w:val="28"/>
          <w:szCs w:val="28"/>
        </w:rPr>
        <w:t xml:space="preserve">Аналіз впливу проєкту постанови </w:t>
      </w:r>
      <w:r w:rsidRPr="00FB0736">
        <w:rPr>
          <w:rFonts w:ascii="Times New Roman" w:hAnsi="Times New Roman" w:cs="Times New Roman"/>
          <w:b/>
          <w:bCs/>
          <w:sz w:val="28"/>
          <w:szCs w:val="28"/>
        </w:rPr>
        <w:t xml:space="preserve">НКРЕКП </w:t>
      </w:r>
    </w:p>
    <w:p w14:paraId="259F75B0" w14:textId="1B78CA85" w:rsidR="00331316" w:rsidRPr="00FB0736" w:rsidRDefault="00331316" w:rsidP="00331316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523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31316">
        <w:rPr>
          <w:rFonts w:ascii="Times New Roman" w:hAnsi="Times New Roman" w:cs="Times New Roman"/>
          <w:b/>
          <w:bCs/>
          <w:sz w:val="28"/>
          <w:szCs w:val="28"/>
        </w:rPr>
        <w:t>Про внесення змін до деяких постанов НКРЕКП</w:t>
      </w:r>
      <w:r w:rsidRPr="00EA5239">
        <w:rPr>
          <w:rFonts w:ascii="Times New Roman" w:hAnsi="Times New Roman" w:cs="Times New Roman"/>
          <w:b/>
          <w:bCs/>
          <w:sz w:val="28"/>
          <w:szCs w:val="28"/>
        </w:rPr>
        <w:t xml:space="preserve">», що має ознаки регуляторного </w:t>
      </w:r>
      <w:proofErr w:type="spellStart"/>
      <w:r w:rsidRPr="00EA5239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7A178F30" w14:textId="319A0F9D" w:rsidR="008F5F46" w:rsidRDefault="008F5F46" w:rsidP="00AB36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55D2AC" w14:textId="77777777" w:rsidR="00F5115C" w:rsidRPr="005C6D06" w:rsidRDefault="00F5115C" w:rsidP="00AB36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DD28DF" w14:textId="77777777" w:rsidR="00DC1500" w:rsidRPr="005C6D06" w:rsidRDefault="00DC1500" w:rsidP="00AB3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I. Визначення проблеми</w:t>
      </w:r>
    </w:p>
    <w:p w14:paraId="7ABB5287" w14:textId="49681A23" w:rsidR="005A31FB" w:rsidRPr="005C6D06" w:rsidRDefault="005A31FB" w:rsidP="00AB3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DF1409B" w14:textId="5AE6348A" w:rsidR="00331316" w:rsidRPr="00331316" w:rsidRDefault="00331316" w:rsidP="003313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1316">
        <w:rPr>
          <w:rFonts w:ascii="Times New Roman" w:hAnsi="Times New Roman" w:cs="Times New Roman"/>
          <w:bCs/>
          <w:sz w:val="28"/>
          <w:szCs w:val="28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 (далі – Закон про НКРЕКП), «Про ринок електричної енергії» </w:t>
      </w:r>
      <w:r w:rsidR="0071152E">
        <w:rPr>
          <w:rFonts w:ascii="Times New Roman" w:hAnsi="Times New Roman" w:cs="Times New Roman"/>
          <w:bCs/>
          <w:sz w:val="28"/>
          <w:szCs w:val="28"/>
        </w:rPr>
        <w:t xml:space="preserve">(далі – Закон) </w:t>
      </w:r>
      <w:r w:rsidRPr="00331316">
        <w:rPr>
          <w:rFonts w:ascii="Times New Roman" w:hAnsi="Times New Roman" w:cs="Times New Roman"/>
          <w:bCs/>
          <w:sz w:val="28"/>
          <w:szCs w:val="28"/>
        </w:rPr>
        <w:t>НКРЕКП здійснює державне регулювання з метою досягнення балансу інтересів споживачів, суб’єктів господарювання, що провадять діяльність у сферах енергетики та комунальних послуг, і держави, забезпечення енергетичної безпеки, європейської інтеграції ринків електричної енергії України.</w:t>
      </w:r>
    </w:p>
    <w:p w14:paraId="1B48569F" w14:textId="23A45886" w:rsidR="00331316" w:rsidRPr="00331316" w:rsidRDefault="00331316" w:rsidP="003313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1316">
        <w:rPr>
          <w:rFonts w:ascii="Times New Roman" w:hAnsi="Times New Roman" w:cs="Times New Roman"/>
          <w:bCs/>
          <w:sz w:val="28"/>
          <w:szCs w:val="28"/>
        </w:rPr>
        <w:t>Розрахунок цін на універсальні послуги для малих непобутових споживачів здійснюється відповідно до Порядку формування цін на універсальні послуги, затвердженого постановою НКРЕКП від 05.10.2018 № 1177 (далі – Порядок №</w:t>
      </w:r>
      <w:r w:rsidR="00AD593D">
        <w:rPr>
          <w:rFonts w:ascii="Times New Roman" w:hAnsi="Times New Roman" w:cs="Times New Roman"/>
          <w:bCs/>
          <w:sz w:val="28"/>
          <w:szCs w:val="28"/>
        </w:rPr>
        <w:t> </w:t>
      </w:r>
      <w:r w:rsidRPr="00331316">
        <w:rPr>
          <w:rFonts w:ascii="Times New Roman" w:hAnsi="Times New Roman" w:cs="Times New Roman"/>
          <w:bCs/>
          <w:sz w:val="28"/>
          <w:szCs w:val="28"/>
        </w:rPr>
        <w:t>1177). На сьогодні Порядком № 1177 передбачено</w:t>
      </w:r>
      <w:r w:rsidR="00782AC3">
        <w:rPr>
          <w:rFonts w:ascii="Times New Roman" w:hAnsi="Times New Roman" w:cs="Times New Roman"/>
          <w:bCs/>
          <w:sz w:val="28"/>
          <w:szCs w:val="28"/>
        </w:rPr>
        <w:t>, що</w:t>
      </w:r>
      <w:r w:rsidRPr="00331316">
        <w:rPr>
          <w:rFonts w:ascii="Times New Roman" w:hAnsi="Times New Roman" w:cs="Times New Roman"/>
          <w:bCs/>
          <w:sz w:val="28"/>
          <w:szCs w:val="28"/>
        </w:rPr>
        <w:t xml:space="preserve"> при розрахунку ціни закупівлі електричної енергії на ринку електричної енергії, яка є складовою цін на універсальні послуги, застос</w:t>
      </w:r>
      <w:r w:rsidR="00782AC3">
        <w:rPr>
          <w:rFonts w:ascii="Times New Roman" w:hAnsi="Times New Roman" w:cs="Times New Roman"/>
          <w:bCs/>
          <w:sz w:val="28"/>
          <w:szCs w:val="28"/>
        </w:rPr>
        <w:t>овується</w:t>
      </w:r>
      <w:r w:rsidRPr="00331316">
        <w:rPr>
          <w:rFonts w:ascii="Times New Roman" w:hAnsi="Times New Roman" w:cs="Times New Roman"/>
          <w:bCs/>
          <w:sz w:val="28"/>
          <w:szCs w:val="28"/>
        </w:rPr>
        <w:t xml:space="preserve"> місячн</w:t>
      </w:r>
      <w:r w:rsidR="00782AC3">
        <w:rPr>
          <w:rFonts w:ascii="Times New Roman" w:hAnsi="Times New Roman" w:cs="Times New Roman"/>
          <w:bCs/>
          <w:sz w:val="28"/>
          <w:szCs w:val="28"/>
        </w:rPr>
        <w:t>ий</w:t>
      </w:r>
      <w:r w:rsidRPr="00331316">
        <w:rPr>
          <w:rFonts w:ascii="Times New Roman" w:hAnsi="Times New Roman" w:cs="Times New Roman"/>
          <w:bCs/>
          <w:sz w:val="28"/>
          <w:szCs w:val="28"/>
        </w:rPr>
        <w:t xml:space="preserve"> індекс базового навантаження на ринку двосторонніх договорів, який оприлюднюється ТОВ «Українська енергетична біржа» на його офіційному </w:t>
      </w:r>
      <w:proofErr w:type="spellStart"/>
      <w:r w:rsidRPr="00331316">
        <w:rPr>
          <w:rFonts w:ascii="Times New Roman" w:hAnsi="Times New Roman" w:cs="Times New Roman"/>
          <w:bCs/>
          <w:sz w:val="28"/>
          <w:szCs w:val="28"/>
        </w:rPr>
        <w:t>вебсайті</w:t>
      </w:r>
      <w:proofErr w:type="spellEnd"/>
      <w:r w:rsidRPr="00331316">
        <w:rPr>
          <w:rFonts w:ascii="Times New Roman" w:hAnsi="Times New Roman" w:cs="Times New Roman"/>
          <w:bCs/>
          <w:sz w:val="28"/>
          <w:szCs w:val="28"/>
        </w:rPr>
        <w:t xml:space="preserve"> в мережі Інтернет.</w:t>
      </w:r>
    </w:p>
    <w:p w14:paraId="652C531A" w14:textId="2FDB55D2" w:rsidR="00331316" w:rsidRPr="00331316" w:rsidRDefault="00331316" w:rsidP="003313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1316">
        <w:rPr>
          <w:rFonts w:ascii="Times New Roman" w:hAnsi="Times New Roman" w:cs="Times New Roman"/>
          <w:bCs/>
          <w:sz w:val="28"/>
          <w:szCs w:val="28"/>
        </w:rPr>
        <w:t>У жовтні 2025 року АТ «НАК «Енергоатом» почав проводити аукціонні торги подекадно, на яких бул</w:t>
      </w:r>
      <w:r w:rsidR="007A7EE2">
        <w:rPr>
          <w:rFonts w:ascii="Times New Roman" w:hAnsi="Times New Roman" w:cs="Times New Roman"/>
          <w:bCs/>
          <w:sz w:val="28"/>
          <w:szCs w:val="28"/>
        </w:rPr>
        <w:t>о</w:t>
      </w:r>
      <w:r w:rsidRPr="00331316">
        <w:rPr>
          <w:rFonts w:ascii="Times New Roman" w:hAnsi="Times New Roman" w:cs="Times New Roman"/>
          <w:bCs/>
          <w:sz w:val="28"/>
          <w:szCs w:val="28"/>
        </w:rPr>
        <w:t xml:space="preserve"> продан</w:t>
      </w:r>
      <w:r w:rsidR="007A7EE2">
        <w:rPr>
          <w:rFonts w:ascii="Times New Roman" w:hAnsi="Times New Roman" w:cs="Times New Roman"/>
          <w:bCs/>
          <w:sz w:val="28"/>
          <w:szCs w:val="28"/>
        </w:rPr>
        <w:t>о</w:t>
      </w:r>
      <w:r w:rsidRPr="00331316">
        <w:rPr>
          <w:rFonts w:ascii="Times New Roman" w:hAnsi="Times New Roman" w:cs="Times New Roman"/>
          <w:bCs/>
          <w:sz w:val="28"/>
          <w:szCs w:val="28"/>
        </w:rPr>
        <w:t xml:space="preserve"> біля 90 % обсягу електричної енергії, а тільки близько 10% бул</w:t>
      </w:r>
      <w:r w:rsidR="007A7EE2">
        <w:rPr>
          <w:rFonts w:ascii="Times New Roman" w:hAnsi="Times New Roman" w:cs="Times New Roman"/>
          <w:bCs/>
          <w:sz w:val="28"/>
          <w:szCs w:val="28"/>
        </w:rPr>
        <w:t>о</w:t>
      </w:r>
      <w:r w:rsidRPr="00331316">
        <w:rPr>
          <w:rFonts w:ascii="Times New Roman" w:hAnsi="Times New Roman" w:cs="Times New Roman"/>
          <w:bCs/>
          <w:sz w:val="28"/>
          <w:szCs w:val="28"/>
        </w:rPr>
        <w:t xml:space="preserve"> продан</w:t>
      </w:r>
      <w:r w:rsidR="007A7EE2">
        <w:rPr>
          <w:rFonts w:ascii="Times New Roman" w:hAnsi="Times New Roman" w:cs="Times New Roman"/>
          <w:bCs/>
          <w:sz w:val="28"/>
          <w:szCs w:val="28"/>
        </w:rPr>
        <w:t>о</w:t>
      </w:r>
      <w:r w:rsidRPr="00331316">
        <w:rPr>
          <w:rFonts w:ascii="Times New Roman" w:hAnsi="Times New Roman" w:cs="Times New Roman"/>
          <w:bCs/>
          <w:sz w:val="28"/>
          <w:szCs w:val="28"/>
        </w:rPr>
        <w:t xml:space="preserve"> на місячному аукціоні. </w:t>
      </w:r>
    </w:p>
    <w:p w14:paraId="707CE708" w14:textId="789F1E0E" w:rsidR="00331316" w:rsidRPr="00331316" w:rsidRDefault="00331316" w:rsidP="003313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1316">
        <w:rPr>
          <w:rFonts w:ascii="Times New Roman" w:hAnsi="Times New Roman" w:cs="Times New Roman"/>
          <w:bCs/>
          <w:sz w:val="28"/>
          <w:szCs w:val="28"/>
        </w:rPr>
        <w:t xml:space="preserve">Водночас, за даними ТОВ «Українська енергетична біржа» подекадні ціни індексу базового навантаження на ринку двосторонніх договорів (які почали публікуватись з листопада 2025 року) не враховані </w:t>
      </w:r>
      <w:r w:rsidR="00F34BFB">
        <w:rPr>
          <w:rFonts w:ascii="Times New Roman" w:hAnsi="Times New Roman" w:cs="Times New Roman"/>
          <w:bCs/>
          <w:sz w:val="28"/>
          <w:szCs w:val="28"/>
        </w:rPr>
        <w:t>при</w:t>
      </w:r>
      <w:r w:rsidRPr="00331316">
        <w:rPr>
          <w:rFonts w:ascii="Times New Roman" w:hAnsi="Times New Roman" w:cs="Times New Roman"/>
          <w:bCs/>
          <w:sz w:val="28"/>
          <w:szCs w:val="28"/>
        </w:rPr>
        <w:t xml:space="preserve"> розрахун</w:t>
      </w:r>
      <w:r w:rsidR="00F34BFB">
        <w:rPr>
          <w:rFonts w:ascii="Times New Roman" w:hAnsi="Times New Roman" w:cs="Times New Roman"/>
          <w:bCs/>
          <w:sz w:val="28"/>
          <w:szCs w:val="28"/>
        </w:rPr>
        <w:t>ку</w:t>
      </w:r>
      <w:r w:rsidRPr="00331316">
        <w:rPr>
          <w:rFonts w:ascii="Times New Roman" w:hAnsi="Times New Roman" w:cs="Times New Roman"/>
          <w:bCs/>
          <w:sz w:val="28"/>
          <w:szCs w:val="28"/>
        </w:rPr>
        <w:t xml:space="preserve"> місячної ціни базового навантаження. </w:t>
      </w:r>
    </w:p>
    <w:p w14:paraId="02B80EE7" w14:textId="77777777" w:rsidR="00331316" w:rsidRPr="00331316" w:rsidRDefault="00331316" w:rsidP="003313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1316">
        <w:rPr>
          <w:rFonts w:ascii="Times New Roman" w:hAnsi="Times New Roman" w:cs="Times New Roman"/>
          <w:bCs/>
          <w:sz w:val="28"/>
          <w:szCs w:val="28"/>
        </w:rPr>
        <w:t>Враховуючи зазначене, до НКРЕКП надходять звернення постачальників універсальних послуг щодо недоотримання коштів унаслідок застосування в ціні на універсальну послугу місячного, а не декадних індексів базового навантаження на ринку двосторонніх договорів.</w:t>
      </w:r>
    </w:p>
    <w:p w14:paraId="6A206418" w14:textId="0B510330" w:rsidR="00331316" w:rsidRPr="00331316" w:rsidRDefault="00331316" w:rsidP="003313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1316">
        <w:rPr>
          <w:rFonts w:ascii="Times New Roman" w:hAnsi="Times New Roman" w:cs="Times New Roman"/>
          <w:bCs/>
          <w:sz w:val="28"/>
          <w:szCs w:val="28"/>
        </w:rPr>
        <w:t xml:space="preserve">Отже, при розрахунку ціни закупівлі електричної енергії на ринку електричної енергії, яка є складовою цін на універсальні послуги, </w:t>
      </w:r>
      <w:r w:rsidR="00A11390" w:rsidRPr="00331316">
        <w:rPr>
          <w:rFonts w:ascii="Times New Roman" w:hAnsi="Times New Roman" w:cs="Times New Roman"/>
          <w:bCs/>
          <w:sz w:val="28"/>
          <w:szCs w:val="28"/>
        </w:rPr>
        <w:t xml:space="preserve">пропонується </w:t>
      </w:r>
      <w:r w:rsidRPr="00331316">
        <w:rPr>
          <w:rFonts w:ascii="Times New Roman" w:hAnsi="Times New Roman" w:cs="Times New Roman"/>
          <w:bCs/>
          <w:sz w:val="28"/>
          <w:szCs w:val="28"/>
        </w:rPr>
        <w:t xml:space="preserve">застосування середньоарифметичного значення декадних індексів (ураховуючи терміни розрахунку – за перші дві декади) базового навантаження на ринку двосторонніх договорів, на місяць, що передував розрахунковому місяцю, який оприлюднюється ТОВ «Українська енергетична біржа» на його офіційному </w:t>
      </w:r>
      <w:proofErr w:type="spellStart"/>
      <w:r w:rsidRPr="00331316">
        <w:rPr>
          <w:rFonts w:ascii="Times New Roman" w:hAnsi="Times New Roman" w:cs="Times New Roman"/>
          <w:bCs/>
          <w:sz w:val="28"/>
          <w:szCs w:val="28"/>
        </w:rPr>
        <w:t>вебсайті</w:t>
      </w:r>
      <w:proofErr w:type="spellEnd"/>
      <w:r w:rsidRPr="00331316">
        <w:rPr>
          <w:rFonts w:ascii="Times New Roman" w:hAnsi="Times New Roman" w:cs="Times New Roman"/>
          <w:bCs/>
          <w:sz w:val="28"/>
          <w:szCs w:val="28"/>
        </w:rPr>
        <w:t xml:space="preserve"> в мережі Інтернет.</w:t>
      </w:r>
    </w:p>
    <w:p w14:paraId="2029D7F3" w14:textId="3DF404E8" w:rsidR="00331316" w:rsidRPr="00331316" w:rsidRDefault="00331316" w:rsidP="003313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1316">
        <w:rPr>
          <w:rFonts w:ascii="Times New Roman" w:hAnsi="Times New Roman" w:cs="Times New Roman"/>
          <w:bCs/>
          <w:sz w:val="28"/>
          <w:szCs w:val="28"/>
        </w:rPr>
        <w:t xml:space="preserve">Порядок формування ціни, за якою здійснюється постачання електричної енергії споживачам постачальником «останньої надії», затверджений постановою НКРЕКП від 05.10.2018 № 1179 (далі – Порядок № 1179), визначає </w:t>
      </w:r>
      <w:r w:rsidRPr="00331316">
        <w:rPr>
          <w:rFonts w:ascii="Times New Roman" w:hAnsi="Times New Roman" w:cs="Times New Roman"/>
          <w:bCs/>
          <w:sz w:val="28"/>
          <w:szCs w:val="28"/>
        </w:rPr>
        <w:lastRenderedPageBreak/>
        <w:t>методику формування цін, за якими здійснюється постачання електричної енергії споживачам постачальником «останньої надії» (далі – ПОН).</w:t>
      </w:r>
    </w:p>
    <w:p w14:paraId="004E535B" w14:textId="77777777" w:rsidR="00331316" w:rsidRPr="00331316" w:rsidRDefault="00331316" w:rsidP="003313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1316">
        <w:rPr>
          <w:rFonts w:ascii="Times New Roman" w:hAnsi="Times New Roman" w:cs="Times New Roman"/>
          <w:bCs/>
          <w:sz w:val="28"/>
          <w:szCs w:val="28"/>
        </w:rPr>
        <w:t>Згідно з пунктом 1.4 глави 1 Порядку № 1179 ціна, за якою здійснюється постачання електричної енергії ПОН, включає в себе ціну купівлі електричної енергії на ринку електричної енергії, ціну (тариф) на послуги ПОН та ціну (тариф) на послуги оператора системи передачі.</w:t>
      </w:r>
    </w:p>
    <w:p w14:paraId="57E087E0" w14:textId="77777777" w:rsidR="00331316" w:rsidRPr="00331316" w:rsidRDefault="00331316" w:rsidP="003313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1316">
        <w:rPr>
          <w:rFonts w:ascii="Times New Roman" w:hAnsi="Times New Roman" w:cs="Times New Roman"/>
          <w:bCs/>
          <w:sz w:val="28"/>
          <w:szCs w:val="28"/>
        </w:rPr>
        <w:t>Ціна електричної енергії для споживачів ПОН на розрахунковий місяць визначається з урахуванням середньозваженої фактичної ціни електричної енергії на ринку «на добу наперед» (далі – РДН) за перші 20 днів попереднього розрахункового періоду, збільшеної на коефіцієнт, який враховує ризики від коливання цін на балансуючому ринку (далі – БР) та РДН і на сьогодні становить 1,3 відносних одиниці.</w:t>
      </w:r>
    </w:p>
    <w:p w14:paraId="59F165BD" w14:textId="556D0229" w:rsidR="00331316" w:rsidRPr="00331316" w:rsidRDefault="00331316" w:rsidP="003313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1316">
        <w:rPr>
          <w:rFonts w:ascii="Times New Roman" w:hAnsi="Times New Roman" w:cs="Times New Roman"/>
          <w:bCs/>
          <w:sz w:val="28"/>
          <w:szCs w:val="28"/>
        </w:rPr>
        <w:t xml:space="preserve">До НКРЕКП листом від 29.01.2026 № 44/04-185 звернулось ДПЗД «УКРІНТЕРЕНЕРГО», яке відповідно до розпорядження Кабінету Міністрів України від 12.12.2018 № 1023-р визначено ПОН до 31.12.2026, з пропозицією внесення змін до Порядку № 1179 у частині збільшення коефіцієнта, який враховує ризики від коливання цін на балансуючому ринку та РДН з 1,3 до 1,6. </w:t>
      </w:r>
    </w:p>
    <w:p w14:paraId="1CD8DA6E" w14:textId="77777777" w:rsidR="00331316" w:rsidRPr="00331316" w:rsidRDefault="00331316" w:rsidP="003313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1316">
        <w:rPr>
          <w:rFonts w:ascii="Times New Roman" w:hAnsi="Times New Roman" w:cs="Times New Roman"/>
          <w:bCs/>
          <w:sz w:val="28"/>
          <w:szCs w:val="28"/>
        </w:rPr>
        <w:t>Так, ДПЗД «УКРІНТЕРЕНЕРГО» зазначає, що в першій декаді 2026 року ціна електричної енергії на балансуючому ринку становить 10,2 грн/</w:t>
      </w:r>
      <w:proofErr w:type="spellStart"/>
      <w:r w:rsidRPr="00331316">
        <w:rPr>
          <w:rFonts w:ascii="Times New Roman" w:hAnsi="Times New Roman" w:cs="Times New Roman"/>
          <w:bCs/>
          <w:sz w:val="28"/>
          <w:szCs w:val="28"/>
        </w:rPr>
        <w:t>кВт·год</w:t>
      </w:r>
      <w:proofErr w:type="spellEnd"/>
      <w:r w:rsidRPr="00331316">
        <w:rPr>
          <w:rFonts w:ascii="Times New Roman" w:hAnsi="Times New Roman" w:cs="Times New Roman"/>
          <w:bCs/>
          <w:sz w:val="28"/>
          <w:szCs w:val="28"/>
        </w:rPr>
        <w:t>. За результатами другої декади 2026 року ціна електричної енергії на балансуючому ринку збільшилась до 12,3 грн/</w:t>
      </w:r>
      <w:proofErr w:type="spellStart"/>
      <w:r w:rsidRPr="00331316">
        <w:rPr>
          <w:rFonts w:ascii="Times New Roman" w:hAnsi="Times New Roman" w:cs="Times New Roman"/>
          <w:bCs/>
          <w:sz w:val="28"/>
          <w:szCs w:val="28"/>
        </w:rPr>
        <w:t>кВт·год</w:t>
      </w:r>
      <w:proofErr w:type="spellEnd"/>
      <w:r w:rsidRPr="00331316">
        <w:rPr>
          <w:rFonts w:ascii="Times New Roman" w:hAnsi="Times New Roman" w:cs="Times New Roman"/>
          <w:bCs/>
          <w:sz w:val="28"/>
          <w:szCs w:val="28"/>
        </w:rPr>
        <w:t xml:space="preserve"> (+ 2,1 грн грн/</w:t>
      </w:r>
      <w:proofErr w:type="spellStart"/>
      <w:r w:rsidRPr="00331316">
        <w:rPr>
          <w:rFonts w:ascii="Times New Roman" w:hAnsi="Times New Roman" w:cs="Times New Roman"/>
          <w:bCs/>
          <w:sz w:val="28"/>
          <w:szCs w:val="28"/>
        </w:rPr>
        <w:t>кВт·год</w:t>
      </w:r>
      <w:proofErr w:type="spellEnd"/>
      <w:r w:rsidRPr="00331316">
        <w:rPr>
          <w:rFonts w:ascii="Times New Roman" w:hAnsi="Times New Roman" w:cs="Times New Roman"/>
          <w:bCs/>
          <w:sz w:val="28"/>
          <w:szCs w:val="28"/>
        </w:rPr>
        <w:t xml:space="preserve"> або 20,6 % до ціни грудня 2025 року). </w:t>
      </w:r>
    </w:p>
    <w:p w14:paraId="46406E79" w14:textId="77777777" w:rsidR="00331316" w:rsidRPr="00331316" w:rsidRDefault="00331316" w:rsidP="003313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1316">
        <w:rPr>
          <w:rFonts w:ascii="Times New Roman" w:hAnsi="Times New Roman" w:cs="Times New Roman"/>
          <w:bCs/>
          <w:sz w:val="28"/>
          <w:szCs w:val="28"/>
        </w:rPr>
        <w:t>При цьому, ціна реалізації електричної енергії споживачам постачальника «останньої надії» в січні 2026 року становить 9,4 грн/</w:t>
      </w:r>
      <w:proofErr w:type="spellStart"/>
      <w:r w:rsidRPr="00331316">
        <w:rPr>
          <w:rFonts w:ascii="Times New Roman" w:hAnsi="Times New Roman" w:cs="Times New Roman"/>
          <w:bCs/>
          <w:sz w:val="28"/>
          <w:szCs w:val="28"/>
        </w:rPr>
        <w:t>кВт·год</w:t>
      </w:r>
      <w:proofErr w:type="spellEnd"/>
      <w:r w:rsidRPr="00331316">
        <w:rPr>
          <w:rFonts w:ascii="Times New Roman" w:hAnsi="Times New Roman" w:cs="Times New Roman"/>
          <w:bCs/>
          <w:sz w:val="28"/>
          <w:szCs w:val="28"/>
        </w:rPr>
        <w:t xml:space="preserve">. Очікуваний збиток від реалізації електричної енергії споживачам лише за січень 2026 року становитиме близько 75 млн грн. За прогнозними даними збиток за результатами січня-лютого 2026 року становитиме близько 195 млн грн. </w:t>
      </w:r>
    </w:p>
    <w:p w14:paraId="30DB00DC" w14:textId="77777777" w:rsidR="00331316" w:rsidRPr="00331316" w:rsidRDefault="00331316" w:rsidP="003313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1316">
        <w:rPr>
          <w:rFonts w:ascii="Times New Roman" w:hAnsi="Times New Roman" w:cs="Times New Roman"/>
          <w:bCs/>
          <w:sz w:val="28"/>
          <w:szCs w:val="28"/>
        </w:rPr>
        <w:t>Відповідно до частини п’ятої статті 64 Закону ціни, за якими здійснюється постачання електричної енергії ПОН, мають бути економічно обґрунтованими, прозорими та недискримінаційними і не повинні перешкоджати конкуренції на ринку електричної енергії.</w:t>
      </w:r>
    </w:p>
    <w:p w14:paraId="5CBCB6C9" w14:textId="77777777" w:rsidR="00331316" w:rsidRPr="00331316" w:rsidRDefault="00331316" w:rsidP="003313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1316">
        <w:rPr>
          <w:rFonts w:ascii="Times New Roman" w:hAnsi="Times New Roman" w:cs="Times New Roman"/>
          <w:bCs/>
          <w:sz w:val="28"/>
          <w:szCs w:val="28"/>
        </w:rPr>
        <w:t>Згідно зі статтею 3 Закону про НКРЕКП Регулятор здійснює державне регулювання з метою досягнення балансу інтересів споживачів, суб’єктів господарювання, що провадять діяльність у сферах енергетики та комунальних послуг, і держави, забезпечення енергетичної безпеки, європейської інтеграції ринків електричної енергії та природного газу України.</w:t>
      </w:r>
    </w:p>
    <w:p w14:paraId="0E25E36B" w14:textId="77777777" w:rsidR="00331316" w:rsidRPr="00331316" w:rsidRDefault="00331316" w:rsidP="003313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1316">
        <w:rPr>
          <w:rFonts w:ascii="Times New Roman" w:hAnsi="Times New Roman" w:cs="Times New Roman"/>
          <w:bCs/>
          <w:sz w:val="28"/>
          <w:szCs w:val="28"/>
        </w:rPr>
        <w:t xml:space="preserve">З огляду на зазначене, та з урахуванням необхідності досягнення балансу інтересів усіх учасників ринку електричної енергії, пропонується </w:t>
      </w:r>
      <w:proofErr w:type="spellStart"/>
      <w:r w:rsidRPr="00331316">
        <w:rPr>
          <w:rFonts w:ascii="Times New Roman" w:hAnsi="Times New Roman" w:cs="Times New Roman"/>
          <w:bCs/>
          <w:sz w:val="28"/>
          <w:szCs w:val="28"/>
        </w:rPr>
        <w:t>внести</w:t>
      </w:r>
      <w:proofErr w:type="spellEnd"/>
      <w:r w:rsidRPr="00331316">
        <w:rPr>
          <w:rFonts w:ascii="Times New Roman" w:hAnsi="Times New Roman" w:cs="Times New Roman"/>
          <w:bCs/>
          <w:sz w:val="28"/>
          <w:szCs w:val="28"/>
        </w:rPr>
        <w:t xml:space="preserve"> зміну до Порядку № 1179, якою визначити коефіцієнт, який враховує ризики від коливання цін на БР та РДН (</w:t>
      </w:r>
      <w:proofErr w:type="spellStart"/>
      <w:r w:rsidRPr="00331316">
        <w:rPr>
          <w:rFonts w:ascii="Times New Roman" w:hAnsi="Times New Roman" w:cs="Times New Roman"/>
          <w:bCs/>
          <w:sz w:val="28"/>
          <w:szCs w:val="28"/>
        </w:rPr>
        <w:t>kБР</w:t>
      </w:r>
      <w:proofErr w:type="spellEnd"/>
      <w:r w:rsidRPr="00331316">
        <w:rPr>
          <w:rFonts w:ascii="Times New Roman" w:hAnsi="Times New Roman" w:cs="Times New Roman"/>
          <w:bCs/>
          <w:sz w:val="28"/>
          <w:szCs w:val="28"/>
        </w:rPr>
        <w:t>/РДН), на рівні 1,4 відносних одиниці.</w:t>
      </w:r>
    </w:p>
    <w:p w14:paraId="7F5A088A" w14:textId="39C2412B" w:rsidR="00EF2E5C" w:rsidRPr="0026649E" w:rsidRDefault="005A31FB" w:rsidP="003313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649E">
        <w:rPr>
          <w:rFonts w:ascii="Times New Roman" w:hAnsi="Times New Roman" w:cs="Times New Roman"/>
          <w:bCs/>
          <w:sz w:val="28"/>
          <w:szCs w:val="28"/>
        </w:rPr>
        <w:t xml:space="preserve">З огляду на зазначене, </w:t>
      </w:r>
      <w:r w:rsidRPr="002664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НКРЕКП </w:t>
      </w:r>
      <w:r w:rsidRPr="0026649E">
        <w:rPr>
          <w:rFonts w:ascii="Times New Roman" w:hAnsi="Times New Roman" w:cs="Times New Roman"/>
          <w:bCs/>
          <w:sz w:val="28"/>
          <w:szCs w:val="28"/>
        </w:rPr>
        <w:t xml:space="preserve">розроблено </w:t>
      </w:r>
      <w:proofErr w:type="spellStart"/>
      <w:r w:rsidRPr="0026649E">
        <w:rPr>
          <w:rFonts w:ascii="Times New Roman" w:hAnsi="Times New Roman" w:cs="Times New Roman"/>
          <w:bCs/>
          <w:sz w:val="28"/>
          <w:szCs w:val="28"/>
        </w:rPr>
        <w:t>проєкт</w:t>
      </w:r>
      <w:proofErr w:type="spellEnd"/>
      <w:r w:rsidRPr="0026649E">
        <w:rPr>
          <w:rFonts w:ascii="Times New Roman" w:hAnsi="Times New Roman" w:cs="Times New Roman"/>
          <w:bCs/>
          <w:sz w:val="28"/>
          <w:szCs w:val="28"/>
        </w:rPr>
        <w:t xml:space="preserve"> постанови «</w:t>
      </w:r>
      <w:r w:rsidR="00331316" w:rsidRPr="00331316">
        <w:rPr>
          <w:rFonts w:ascii="Times New Roman" w:hAnsi="Times New Roman" w:cs="Times New Roman"/>
          <w:color w:val="000000"/>
          <w:sz w:val="28"/>
          <w:szCs w:val="28"/>
        </w:rPr>
        <w:t>Про внесення змін до деяких постанов НКРЕКП</w:t>
      </w:r>
      <w:r w:rsidRPr="0026649E">
        <w:rPr>
          <w:rFonts w:ascii="Times New Roman" w:hAnsi="Times New Roman" w:cs="Times New Roman"/>
          <w:bCs/>
          <w:sz w:val="28"/>
          <w:szCs w:val="28"/>
        </w:rPr>
        <w:t>» (далі –</w:t>
      </w:r>
      <w:r w:rsidRPr="002664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26649E">
        <w:rPr>
          <w:rFonts w:ascii="Times New Roman" w:hAnsi="Times New Roman" w:cs="Times New Roman"/>
          <w:bCs/>
          <w:sz w:val="28"/>
          <w:szCs w:val="28"/>
        </w:rPr>
        <w:t>Проєкт</w:t>
      </w:r>
      <w:proofErr w:type="spellEnd"/>
      <w:r w:rsidRPr="0026649E">
        <w:rPr>
          <w:rFonts w:ascii="Times New Roman" w:hAnsi="Times New Roman" w:cs="Times New Roman"/>
          <w:bCs/>
          <w:sz w:val="28"/>
          <w:szCs w:val="28"/>
        </w:rPr>
        <w:t xml:space="preserve"> постанови). </w:t>
      </w:r>
    </w:p>
    <w:p w14:paraId="63248540" w14:textId="77777777" w:rsidR="00216AD8" w:rsidRDefault="00216AD8" w:rsidP="00A330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37DFAC6" w14:textId="77777777" w:rsidR="00F5115C" w:rsidRDefault="00F5115C" w:rsidP="00A330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24B4A7C" w14:textId="77777777" w:rsidR="00F5115C" w:rsidRDefault="00F5115C" w:rsidP="00A330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D5CA083" w14:textId="430A6ED9" w:rsidR="00DC1500" w:rsidRDefault="00D165E3" w:rsidP="00A330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lastRenderedPageBreak/>
        <w:t>Основні групи (підгрупи), на які проблема справляє вплив:</w:t>
      </w:r>
    </w:p>
    <w:p w14:paraId="31D5238F" w14:textId="77777777" w:rsidR="00A9071B" w:rsidRPr="005C6D06" w:rsidRDefault="00A9071B" w:rsidP="00A330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4383"/>
        <w:gridCol w:w="1985"/>
      </w:tblGrid>
      <w:tr w:rsidR="00101840" w:rsidRPr="005C6D06" w14:paraId="6764756E" w14:textId="77777777" w:rsidTr="00DC6752">
        <w:trPr>
          <w:trHeight w:val="70"/>
          <w:jc w:val="center"/>
        </w:trPr>
        <w:tc>
          <w:tcPr>
            <w:tcW w:w="3202" w:type="dxa"/>
          </w:tcPr>
          <w:p w14:paraId="6ADFBBDB" w14:textId="77777777" w:rsidR="00DC1500" w:rsidRPr="005C6D06" w:rsidRDefault="00DC1500" w:rsidP="00822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Групи (підгрупи)</w:t>
            </w:r>
          </w:p>
        </w:tc>
        <w:tc>
          <w:tcPr>
            <w:tcW w:w="4383" w:type="dxa"/>
            <w:vAlign w:val="center"/>
          </w:tcPr>
          <w:p w14:paraId="2436BC58" w14:textId="77777777" w:rsidR="00DC1500" w:rsidRPr="005C6D06" w:rsidRDefault="00DC1500" w:rsidP="00EF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  <w:tc>
          <w:tcPr>
            <w:tcW w:w="1985" w:type="dxa"/>
            <w:vAlign w:val="center"/>
          </w:tcPr>
          <w:p w14:paraId="62E43224" w14:textId="77777777" w:rsidR="00DC1500" w:rsidRPr="005C6D06" w:rsidRDefault="00DC1500" w:rsidP="00EF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101840" w:rsidRPr="005C6D06" w14:paraId="5D510240" w14:textId="77777777" w:rsidTr="00DC6752">
        <w:trPr>
          <w:trHeight w:val="70"/>
          <w:jc w:val="center"/>
        </w:trPr>
        <w:tc>
          <w:tcPr>
            <w:tcW w:w="3202" w:type="dxa"/>
          </w:tcPr>
          <w:p w14:paraId="13F9DB73" w14:textId="77777777" w:rsidR="00DC1500" w:rsidRPr="005C6D06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Громадяни</w:t>
            </w:r>
          </w:p>
        </w:tc>
        <w:tc>
          <w:tcPr>
            <w:tcW w:w="4383" w:type="dxa"/>
            <w:vAlign w:val="center"/>
          </w:tcPr>
          <w:p w14:paraId="73648020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7194320D" w14:textId="77777777" w:rsidR="00DC1500" w:rsidRPr="005C6D06" w:rsidRDefault="008223F7" w:rsidP="00822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101840" w:rsidRPr="005C6D06" w14:paraId="01339518" w14:textId="77777777" w:rsidTr="00DC6752">
        <w:trPr>
          <w:trHeight w:val="70"/>
          <w:jc w:val="center"/>
        </w:trPr>
        <w:tc>
          <w:tcPr>
            <w:tcW w:w="3202" w:type="dxa"/>
          </w:tcPr>
          <w:p w14:paraId="07D02FE3" w14:textId="77777777" w:rsidR="00DC1500" w:rsidRPr="005C6D06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Держава</w:t>
            </w:r>
          </w:p>
        </w:tc>
        <w:tc>
          <w:tcPr>
            <w:tcW w:w="4383" w:type="dxa"/>
            <w:vAlign w:val="center"/>
          </w:tcPr>
          <w:p w14:paraId="74C15EFA" w14:textId="77777777" w:rsidR="0026649E" w:rsidRPr="0026649E" w:rsidRDefault="0026649E" w:rsidP="002664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649E">
              <w:rPr>
                <w:rFonts w:ascii="Times New Roman" w:hAnsi="Times New Roman" w:cs="Times New Roman"/>
                <w:bCs/>
                <w:sz w:val="28"/>
                <w:szCs w:val="28"/>
              </w:rPr>
              <w:t>Стабільне функціонування паливно-енергетичного комплексу України</w:t>
            </w:r>
          </w:p>
          <w:p w14:paraId="52D9D5EF" w14:textId="0791002C" w:rsidR="00E5241C" w:rsidRPr="005C6D06" w:rsidRDefault="0026649E" w:rsidP="0026649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</w:pPr>
            <w:r w:rsidRPr="0026649E">
              <w:rPr>
                <w:rFonts w:ascii="Times New Roman" w:hAnsi="Times New Roman" w:cs="Times New Roman"/>
                <w:bCs/>
                <w:sz w:val="28"/>
                <w:szCs w:val="28"/>
              </w:rPr>
              <w:t>Реалізація державної політики в сфері паливно-енергетичного комплексу України</w:t>
            </w:r>
            <w:r w:rsidRPr="005C6D06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09F11808" w14:textId="77777777" w:rsidR="00DC1500" w:rsidRPr="005C6D06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840" w:rsidRPr="005C6D06" w14:paraId="5942F519" w14:textId="77777777" w:rsidTr="00DC6752">
        <w:trPr>
          <w:trHeight w:val="70"/>
          <w:jc w:val="center"/>
        </w:trPr>
        <w:tc>
          <w:tcPr>
            <w:tcW w:w="3202" w:type="dxa"/>
          </w:tcPr>
          <w:p w14:paraId="32EB7750" w14:textId="77777777" w:rsidR="00DC1500" w:rsidRPr="005C6D06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Суб’єкти господарювання</w:t>
            </w:r>
          </w:p>
        </w:tc>
        <w:tc>
          <w:tcPr>
            <w:tcW w:w="4383" w:type="dxa"/>
            <w:vAlign w:val="center"/>
          </w:tcPr>
          <w:p w14:paraId="0E4CF762" w14:textId="698B4CBC" w:rsidR="00A85BCD" w:rsidRPr="0026649E" w:rsidRDefault="0026649E" w:rsidP="00E40C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64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Дозволить удосконалити механізм формування цін на універсальні послуги </w:t>
            </w:r>
            <w:r w:rsidR="003313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та </w:t>
            </w:r>
            <w:r w:rsidR="00331316" w:rsidRPr="00331316">
              <w:rPr>
                <w:rFonts w:ascii="Times New Roman" w:hAnsi="Times New Roman" w:cs="Times New Roman"/>
                <w:bCs/>
                <w:sz w:val="28"/>
                <w:szCs w:val="28"/>
              </w:rPr>
              <w:t>забезпечити відповідність положень Порядку</w:t>
            </w:r>
            <w:r w:rsidR="00D722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1179</w:t>
            </w:r>
            <w:r w:rsidR="00331316" w:rsidRPr="003313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частині розрахунку ціни, за якою здійснюється постачання електричної енергії споживачам ПОН, вимогам частини п’ятої статті 64 Закону</w:t>
            </w:r>
          </w:p>
        </w:tc>
        <w:tc>
          <w:tcPr>
            <w:tcW w:w="1985" w:type="dxa"/>
            <w:vAlign w:val="center"/>
          </w:tcPr>
          <w:p w14:paraId="39BB15E0" w14:textId="77777777" w:rsidR="00DC1500" w:rsidRPr="005C6D06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CBA954B" w14:textId="77777777" w:rsidR="00375422" w:rsidRPr="005C6D06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AD93B9" w14:textId="777777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II. Цілі державного регулювання</w:t>
      </w:r>
    </w:p>
    <w:p w14:paraId="1908FF25" w14:textId="777777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DF03FE" w14:textId="336FD6D9" w:rsidR="0026649E" w:rsidRPr="00582376" w:rsidRDefault="00DC1500" w:rsidP="00266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Метою прийняття </w:t>
      </w:r>
      <w:r w:rsidR="00B26044" w:rsidRPr="005C6D06">
        <w:rPr>
          <w:rFonts w:ascii="Times New Roman" w:hAnsi="Times New Roman" w:cs="Times New Roman"/>
          <w:sz w:val="28"/>
          <w:szCs w:val="28"/>
        </w:rPr>
        <w:t>П</w:t>
      </w:r>
      <w:r w:rsidR="008C6D40" w:rsidRPr="005C6D06">
        <w:rPr>
          <w:rFonts w:ascii="Times New Roman" w:hAnsi="Times New Roman" w:cs="Times New Roman"/>
          <w:sz w:val="28"/>
          <w:szCs w:val="28"/>
        </w:rPr>
        <w:t>роєкту постанови</w:t>
      </w:r>
      <w:r w:rsidRPr="005C6D06">
        <w:rPr>
          <w:rFonts w:ascii="Times New Roman" w:hAnsi="Times New Roman" w:cs="Times New Roman"/>
          <w:sz w:val="28"/>
          <w:szCs w:val="28"/>
        </w:rPr>
        <w:t xml:space="preserve"> </w:t>
      </w:r>
      <w:r w:rsidR="009C561D" w:rsidRPr="005C6D06">
        <w:rPr>
          <w:rFonts w:ascii="Times New Roman" w:hAnsi="Times New Roman" w:cs="Times New Roman"/>
          <w:sz w:val="28"/>
          <w:szCs w:val="28"/>
        </w:rPr>
        <w:t xml:space="preserve">є </w:t>
      </w:r>
      <w:r w:rsidR="0026649E" w:rsidRPr="0026649E">
        <w:rPr>
          <w:rFonts w:ascii="Times New Roman" w:hAnsi="Times New Roman" w:cs="Times New Roman"/>
          <w:sz w:val="28"/>
          <w:szCs w:val="28"/>
        </w:rPr>
        <w:t xml:space="preserve">приведення </w:t>
      </w:r>
      <w:r w:rsidR="008B4F44" w:rsidRPr="0026649E">
        <w:rPr>
          <w:rFonts w:ascii="Times New Roman" w:hAnsi="Times New Roman" w:cs="Times New Roman"/>
          <w:sz w:val="28"/>
          <w:szCs w:val="28"/>
        </w:rPr>
        <w:t>Порядку</w:t>
      </w:r>
      <w:r w:rsidR="00D722AA">
        <w:rPr>
          <w:rFonts w:ascii="Times New Roman" w:hAnsi="Times New Roman" w:cs="Times New Roman"/>
          <w:sz w:val="28"/>
          <w:szCs w:val="28"/>
        </w:rPr>
        <w:t xml:space="preserve"> № 1177 </w:t>
      </w:r>
      <w:r w:rsidR="0026649E" w:rsidRPr="0026649E">
        <w:rPr>
          <w:rFonts w:ascii="Times New Roman" w:hAnsi="Times New Roman" w:cs="Times New Roman"/>
          <w:sz w:val="28"/>
          <w:szCs w:val="28"/>
        </w:rPr>
        <w:t xml:space="preserve">у </w:t>
      </w:r>
      <w:r w:rsidR="0026649E" w:rsidRPr="006201FF">
        <w:rPr>
          <w:rFonts w:ascii="Times New Roman" w:hAnsi="Times New Roman" w:cs="Times New Roman"/>
          <w:sz w:val="28"/>
          <w:szCs w:val="28"/>
        </w:rPr>
        <w:t xml:space="preserve">відповідність </w:t>
      </w:r>
      <w:r w:rsidR="00D722AA" w:rsidRPr="006201FF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AF04BB" w:rsidRPr="00A9071B">
        <w:rPr>
          <w:rFonts w:ascii="Times New Roman" w:hAnsi="Times New Roman" w:cs="Times New Roman"/>
          <w:bCs/>
          <w:sz w:val="28"/>
          <w:szCs w:val="28"/>
        </w:rPr>
        <w:t xml:space="preserve">зміни умов </w:t>
      </w:r>
      <w:r w:rsidR="00D722AA" w:rsidRPr="00A9071B">
        <w:rPr>
          <w:rFonts w:ascii="Times New Roman" w:hAnsi="Times New Roman" w:cs="Times New Roman"/>
          <w:bCs/>
          <w:sz w:val="28"/>
          <w:szCs w:val="28"/>
        </w:rPr>
        <w:t xml:space="preserve">проведення аукціонних торгів </w:t>
      </w:r>
      <w:r w:rsidR="006201FF" w:rsidRPr="00A9071B">
        <w:rPr>
          <w:rFonts w:ascii="Times New Roman" w:hAnsi="Times New Roman" w:cs="Times New Roman"/>
          <w:bCs/>
          <w:sz w:val="28"/>
          <w:szCs w:val="28"/>
        </w:rPr>
        <w:t>на ринку двосторонніх договорів</w:t>
      </w:r>
      <w:r w:rsidR="00AF04BB" w:rsidRPr="00A9071B">
        <w:rPr>
          <w:rFonts w:ascii="Times New Roman" w:hAnsi="Times New Roman" w:cs="Times New Roman"/>
          <w:bCs/>
          <w:sz w:val="28"/>
          <w:szCs w:val="28"/>
        </w:rPr>
        <w:t xml:space="preserve"> та відповідно врахування подекадних індексів замість місячного</w:t>
      </w:r>
      <w:r w:rsidR="00AF033F" w:rsidRPr="00A907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2B91" w:rsidRPr="00A9071B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AF033F" w:rsidRPr="00A9071B">
        <w:rPr>
          <w:rFonts w:ascii="Times New Roman" w:hAnsi="Times New Roman" w:cs="Times New Roman"/>
          <w:bCs/>
          <w:sz w:val="28"/>
          <w:szCs w:val="28"/>
        </w:rPr>
        <w:t xml:space="preserve">розрахунку ціни </w:t>
      </w:r>
      <w:r w:rsidR="00F82B91" w:rsidRPr="00A9071B">
        <w:rPr>
          <w:rFonts w:ascii="Times New Roman" w:hAnsi="Times New Roman" w:cs="Times New Roman"/>
          <w:bCs/>
          <w:sz w:val="28"/>
          <w:szCs w:val="28"/>
        </w:rPr>
        <w:t>закупівлі електричної енергії на ринку електричної енергії</w:t>
      </w:r>
      <w:r w:rsidR="00331316" w:rsidRPr="00A9071B">
        <w:rPr>
          <w:rFonts w:ascii="Times New Roman" w:hAnsi="Times New Roman" w:cs="Times New Roman"/>
          <w:sz w:val="28"/>
          <w:szCs w:val="28"/>
        </w:rPr>
        <w:t xml:space="preserve">, а також забезпечення відповідності положень Порядку </w:t>
      </w:r>
      <w:r w:rsidR="00D722AA" w:rsidRPr="00A9071B">
        <w:rPr>
          <w:rFonts w:ascii="Times New Roman" w:hAnsi="Times New Roman" w:cs="Times New Roman"/>
          <w:sz w:val="28"/>
          <w:szCs w:val="28"/>
        </w:rPr>
        <w:t xml:space="preserve">№ 1179 </w:t>
      </w:r>
      <w:r w:rsidR="00331316" w:rsidRPr="00A9071B">
        <w:rPr>
          <w:rFonts w:ascii="Times New Roman" w:hAnsi="Times New Roman" w:cs="Times New Roman"/>
          <w:sz w:val="28"/>
          <w:szCs w:val="28"/>
        </w:rPr>
        <w:t>в частині розрахунку ціни, за якою здійснюється постачання електричної енергії споживачам ПОН, вимогам</w:t>
      </w:r>
      <w:r w:rsidR="00331316" w:rsidRPr="006201FF">
        <w:t xml:space="preserve"> </w:t>
      </w:r>
      <w:r w:rsidR="00331316" w:rsidRPr="006201FF">
        <w:rPr>
          <w:rFonts w:ascii="Times New Roman" w:hAnsi="Times New Roman" w:cs="Times New Roman"/>
          <w:sz w:val="28"/>
          <w:szCs w:val="28"/>
        </w:rPr>
        <w:t>частини п’ятої статті 64 Закону.</w:t>
      </w:r>
    </w:p>
    <w:p w14:paraId="11A2F8D9" w14:textId="77777777" w:rsidR="001F5B1B" w:rsidRPr="005C6D06" w:rsidRDefault="001F5B1B" w:rsidP="006C13C0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577C7B96" w14:textId="208B0DF3" w:rsidR="00DC1500" w:rsidRPr="005C6D06" w:rsidRDefault="00DC1500" w:rsidP="006C13C0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III. Визначення та оцінка альтернативних способів досягнення цілей</w:t>
      </w:r>
    </w:p>
    <w:p w14:paraId="5D9E07C0" w14:textId="77777777" w:rsidR="00014069" w:rsidRPr="005C6D06" w:rsidRDefault="00014069" w:rsidP="00C15B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9C3DEC" w14:textId="77777777" w:rsidR="00DC1500" w:rsidRPr="005C6D06" w:rsidRDefault="00C15B38" w:rsidP="00C15B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1. </w:t>
      </w:r>
      <w:r w:rsidR="00DC1500" w:rsidRPr="005C6D06">
        <w:rPr>
          <w:rFonts w:ascii="Times New Roman" w:hAnsi="Times New Roman" w:cs="Times New Roman"/>
          <w:sz w:val="28"/>
          <w:szCs w:val="28"/>
        </w:rPr>
        <w:t>Визначення альтернативних способів</w:t>
      </w:r>
    </w:p>
    <w:p w14:paraId="0F00532A" w14:textId="77777777" w:rsidR="00DC1500" w:rsidRPr="005C6D06" w:rsidRDefault="00DC1500" w:rsidP="00DC6752">
      <w:pPr>
        <w:spacing w:after="0" w:line="240" w:lineRule="auto"/>
        <w:ind w:left="1068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784"/>
      </w:tblGrid>
      <w:tr w:rsidR="00101840" w:rsidRPr="005C6D06" w14:paraId="1B6EE22E" w14:textId="77777777" w:rsidTr="00BD52D9">
        <w:trPr>
          <w:trHeight w:val="496"/>
          <w:jc w:val="center"/>
        </w:trPr>
        <w:tc>
          <w:tcPr>
            <w:tcW w:w="4786" w:type="dxa"/>
          </w:tcPr>
          <w:p w14:paraId="1A83303A" w14:textId="77777777" w:rsidR="00DC1500" w:rsidRPr="005C6D06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4784" w:type="dxa"/>
          </w:tcPr>
          <w:p w14:paraId="35DDDCDD" w14:textId="77777777" w:rsidR="00DC1500" w:rsidRPr="005C6D06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Опис альтернативи</w:t>
            </w:r>
          </w:p>
        </w:tc>
      </w:tr>
      <w:tr w:rsidR="00101840" w:rsidRPr="005C6D06" w14:paraId="0B4F8D3C" w14:textId="77777777" w:rsidTr="00DC6752">
        <w:trPr>
          <w:trHeight w:val="1134"/>
          <w:jc w:val="center"/>
        </w:trPr>
        <w:tc>
          <w:tcPr>
            <w:tcW w:w="4786" w:type="dxa"/>
          </w:tcPr>
          <w:p w14:paraId="07E7B4AA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5F0A88D7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4784" w:type="dxa"/>
          </w:tcPr>
          <w:p w14:paraId="6FD0FE25" w14:textId="1D1E7E47" w:rsidR="00C9564F" w:rsidRPr="00A9071B" w:rsidRDefault="00FD4BCD" w:rsidP="00D722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071B">
              <w:rPr>
                <w:rFonts w:ascii="Times New Roman" w:hAnsi="Times New Roman" w:cs="Times New Roman"/>
                <w:sz w:val="28"/>
                <w:szCs w:val="28"/>
              </w:rPr>
              <w:t>Порядок № 1177 п</w:t>
            </w:r>
            <w:r w:rsidR="0026649E" w:rsidRPr="00A9071B">
              <w:rPr>
                <w:rFonts w:ascii="Times New Roman" w:hAnsi="Times New Roman" w:cs="Times New Roman"/>
                <w:sz w:val="28"/>
                <w:szCs w:val="28"/>
              </w:rPr>
              <w:t xml:space="preserve">ередбачає у формулі </w:t>
            </w:r>
            <w:r w:rsidR="00D722AA"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розрахунку ціни закупівлі електричної енергії на ринку електричної енергії застосування </w:t>
            </w:r>
            <w:r w:rsidR="00F82B91"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місячного індексу замість </w:t>
            </w:r>
            <w:r w:rsidR="00D722AA"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t>середньоарифметичного значення декадних індексів базового навантаження на ринку двосторонніх договорів</w:t>
            </w:r>
            <w:r w:rsidR="00F82B91"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що не відповідає поточним </w:t>
            </w:r>
            <w:r w:rsidR="00F82B91"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умовам ціноутворення та може призводити до касових розривів у постачальників універсальних послуг</w:t>
            </w:r>
            <w:r w:rsidR="00D722AA"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4A18D900" w14:textId="77777777" w:rsidR="00C9564F" w:rsidRPr="00A9071B" w:rsidRDefault="00C9564F" w:rsidP="00D722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2308AF4" w14:textId="51F8BC7B" w:rsidR="00D722AA" w:rsidRPr="00C9564F" w:rsidRDefault="00FD4BCD" w:rsidP="00D722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Порядок № 1179 </w:t>
            </w:r>
            <w:r w:rsidR="00B46D1E"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сьогодні </w:t>
            </w:r>
            <w:r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t>передбачає застосування коефіцієнта</w:t>
            </w:r>
            <w:r w:rsidR="00B46D1E"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t>, який враховує ризики від коливання цін на БР та РДН, на рівні 1,3 умовних одиниць.</w:t>
            </w:r>
            <w:r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46D1E"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t>Залишення д</w:t>
            </w:r>
            <w:r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t>іюч</w:t>
            </w:r>
            <w:r w:rsidR="00B46D1E"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t>ого</w:t>
            </w:r>
            <w:r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рівн</w:t>
            </w:r>
            <w:r w:rsidR="00B46D1E"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 не забезпечує дотримання </w:t>
            </w:r>
            <w:r w:rsidR="00D722AA"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t>вимог частини п’ятої статті 64 Закону</w:t>
            </w:r>
            <w:r w:rsidR="00D722AA" w:rsidRPr="00D722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сприятиме погіршенню фінансового становища ПОН через невідповідність цін купівлі на ринку електричної енергії цінам, за якими ПОН постачає електроенергію власним споживачам</w:t>
            </w:r>
          </w:p>
        </w:tc>
      </w:tr>
      <w:tr w:rsidR="008F37C0" w:rsidRPr="005C6D06" w14:paraId="4BC9B3AE" w14:textId="77777777" w:rsidTr="00DC6752">
        <w:trPr>
          <w:trHeight w:val="317"/>
          <w:jc w:val="center"/>
        </w:trPr>
        <w:tc>
          <w:tcPr>
            <w:tcW w:w="4786" w:type="dxa"/>
          </w:tcPr>
          <w:p w14:paraId="05E9DB11" w14:textId="77777777" w:rsidR="008F37C0" w:rsidRPr="005C6D06" w:rsidRDefault="008F37C0" w:rsidP="008F3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Альтернатива 2.</w:t>
            </w:r>
          </w:p>
          <w:p w14:paraId="7785CB5A" w14:textId="77777777" w:rsidR="008F37C0" w:rsidRPr="005C6D06" w:rsidRDefault="008F37C0" w:rsidP="008F3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Внесення змін до чинного регуляторного </w:t>
            </w:r>
            <w:proofErr w:type="spellStart"/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4784" w:type="dxa"/>
          </w:tcPr>
          <w:p w14:paraId="74F3E5F4" w14:textId="1107AE1F" w:rsidR="008F37C0" w:rsidRPr="00157F95" w:rsidRDefault="00D722AA" w:rsidP="008B5D3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</w:pPr>
            <w:r w:rsidRPr="006201FF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Передбачає</w:t>
            </w:r>
            <w:r w:rsidRPr="006201FF">
              <w:rPr>
                <w:rFonts w:ascii="Times New Roman" w:hAnsi="Times New Roman" w:cs="Times New Roman"/>
                <w:sz w:val="28"/>
                <w:szCs w:val="28"/>
              </w:rPr>
              <w:t xml:space="preserve"> приведення </w:t>
            </w:r>
            <w:r w:rsidR="009978D5" w:rsidRPr="0026649E">
              <w:rPr>
                <w:rFonts w:ascii="Times New Roman" w:hAnsi="Times New Roman" w:cs="Times New Roman"/>
                <w:sz w:val="28"/>
                <w:szCs w:val="28"/>
              </w:rPr>
              <w:t>Порядку</w:t>
            </w:r>
            <w:r w:rsidR="009978D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ED46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78D5">
              <w:rPr>
                <w:rFonts w:ascii="Times New Roman" w:hAnsi="Times New Roman" w:cs="Times New Roman"/>
                <w:sz w:val="28"/>
                <w:szCs w:val="28"/>
              </w:rPr>
              <w:t xml:space="preserve">1177 </w:t>
            </w:r>
            <w:r w:rsidR="009978D5" w:rsidRPr="0026649E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9978D5" w:rsidRPr="006201FF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відповідність </w:t>
            </w:r>
            <w:r w:rsidR="009978D5" w:rsidRPr="006201F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 </w:t>
            </w:r>
            <w:r w:rsidR="009978D5" w:rsidRPr="00A9071B">
              <w:rPr>
                <w:rFonts w:ascii="Times New Roman" w:hAnsi="Times New Roman" w:cs="Times New Roman"/>
                <w:bCs/>
                <w:sz w:val="28"/>
                <w:szCs w:val="28"/>
              </w:rPr>
              <w:t>зміни умов проведення аукціонних торгів на ринку двосторонніх договорів та відповідно врахування подекадних індексів замість місячного в розрахунку ціни закупівлі електричної енергії на ринку електричної енергії</w:t>
            </w:r>
            <w:r w:rsidR="009978D5" w:rsidRPr="00A9071B">
              <w:rPr>
                <w:rFonts w:ascii="Times New Roman" w:hAnsi="Times New Roman" w:cs="Times New Roman"/>
                <w:sz w:val="28"/>
                <w:szCs w:val="28"/>
              </w:rPr>
              <w:t>, а також забезпечення в</w:t>
            </w:r>
            <w:bookmarkStart w:id="0" w:name="_GoBack"/>
            <w:bookmarkEnd w:id="0"/>
            <w:r w:rsidR="009978D5" w:rsidRPr="00A9071B">
              <w:rPr>
                <w:rFonts w:ascii="Times New Roman" w:hAnsi="Times New Roman" w:cs="Times New Roman"/>
                <w:sz w:val="28"/>
                <w:szCs w:val="28"/>
              </w:rPr>
              <w:t>ідповідності положень Порядку № 1179 в частині розрахунку ціни, за якою здійснюється постачання електричної енергії споживачам ПОН, вимогам</w:t>
            </w:r>
            <w:r w:rsidR="009978D5" w:rsidRPr="006201FF">
              <w:t xml:space="preserve"> </w:t>
            </w:r>
            <w:r w:rsidR="009978D5" w:rsidRPr="006201FF">
              <w:rPr>
                <w:rFonts w:ascii="Times New Roman" w:hAnsi="Times New Roman" w:cs="Times New Roman"/>
                <w:sz w:val="28"/>
                <w:szCs w:val="28"/>
              </w:rPr>
              <w:t>частини п’ятої статті 64 Закону</w:t>
            </w:r>
          </w:p>
        </w:tc>
      </w:tr>
    </w:tbl>
    <w:p w14:paraId="13FF05BC" w14:textId="77777777" w:rsidR="000E0120" w:rsidRPr="005C6D06" w:rsidRDefault="000E012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8BC9E0" w14:textId="77777777" w:rsidR="00DC1500" w:rsidRPr="005C6D06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42CC6247" w14:textId="77777777" w:rsidR="00DC1500" w:rsidRPr="005C6D06" w:rsidRDefault="00DC1500" w:rsidP="00DC6752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E317B5" w14:textId="77777777" w:rsidR="00DC1500" w:rsidRPr="005C6D06" w:rsidRDefault="00DC1500" w:rsidP="00C15B3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p w14:paraId="64115364" w14:textId="77777777" w:rsidR="00DC6752" w:rsidRPr="005C6D06" w:rsidRDefault="00DC6752" w:rsidP="00DC6752">
      <w:pPr>
        <w:pStyle w:val="aa"/>
        <w:spacing w:after="0" w:line="240" w:lineRule="auto"/>
        <w:ind w:left="164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779"/>
        <w:gridCol w:w="3686"/>
        <w:gridCol w:w="1276"/>
      </w:tblGrid>
      <w:tr w:rsidR="00101840" w:rsidRPr="005C6D06" w14:paraId="007610E4" w14:textId="77777777" w:rsidTr="00DC6752">
        <w:trPr>
          <w:trHeight w:val="28"/>
          <w:jc w:val="center"/>
        </w:trPr>
        <w:tc>
          <w:tcPr>
            <w:tcW w:w="4779" w:type="dxa"/>
          </w:tcPr>
          <w:p w14:paraId="07B91EF7" w14:textId="77777777" w:rsidR="00DC1500" w:rsidRPr="005C6D06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3686" w:type="dxa"/>
          </w:tcPr>
          <w:p w14:paraId="63E591F7" w14:textId="77777777" w:rsidR="00DC1500" w:rsidRPr="005C6D06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276" w:type="dxa"/>
          </w:tcPr>
          <w:p w14:paraId="791D9F52" w14:textId="77777777" w:rsidR="00DC1500" w:rsidRPr="005C6D06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5C6D06" w14:paraId="72503BED" w14:textId="77777777" w:rsidTr="00DC6752">
        <w:trPr>
          <w:trHeight w:val="169"/>
          <w:jc w:val="center"/>
        </w:trPr>
        <w:tc>
          <w:tcPr>
            <w:tcW w:w="4779" w:type="dxa"/>
          </w:tcPr>
          <w:p w14:paraId="4C72B74B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67EEA87D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3686" w:type="dxa"/>
          </w:tcPr>
          <w:p w14:paraId="49C2AC76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276" w:type="dxa"/>
          </w:tcPr>
          <w:p w14:paraId="4C5EF7AB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5C6D06" w14:paraId="5E28433F" w14:textId="77777777" w:rsidTr="00DC6752">
        <w:trPr>
          <w:jc w:val="center"/>
        </w:trPr>
        <w:tc>
          <w:tcPr>
            <w:tcW w:w="4779" w:type="dxa"/>
          </w:tcPr>
          <w:p w14:paraId="0B17E704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2F0637EE" w14:textId="77777777" w:rsidR="00DC1500" w:rsidRPr="005C6D06" w:rsidRDefault="00092636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Внесення змін до чинного регуляторного </w:t>
            </w:r>
            <w:proofErr w:type="spellStart"/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3686" w:type="dxa"/>
          </w:tcPr>
          <w:p w14:paraId="1C9C7723" w14:textId="5EA281FD" w:rsidR="0077202A" w:rsidRPr="00157F95" w:rsidRDefault="00157F95" w:rsidP="00157F95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157F95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 xml:space="preserve">Удосконалення механізму формування ціни на універсальні послуги </w:t>
            </w:r>
            <w:r w:rsidR="006201FF" w:rsidRPr="006201FF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 xml:space="preserve">та ціни, за якою здійснюється постачання електричної </w:t>
            </w:r>
            <w:r w:rsidR="006201FF" w:rsidRPr="006201FF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lastRenderedPageBreak/>
              <w:t>енергії постачальником «останньої надії</w:t>
            </w:r>
            <w:r w:rsidR="006201FF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»</w:t>
            </w:r>
          </w:p>
        </w:tc>
        <w:tc>
          <w:tcPr>
            <w:tcW w:w="1276" w:type="dxa"/>
          </w:tcPr>
          <w:p w14:paraId="39932CBE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lastRenderedPageBreak/>
              <w:t>Відсутні</w:t>
            </w:r>
          </w:p>
        </w:tc>
      </w:tr>
    </w:tbl>
    <w:p w14:paraId="49A8BA01" w14:textId="77ED58BF" w:rsidR="00476B9E" w:rsidRDefault="00476B9E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F48457" w14:textId="77777777" w:rsidR="00DC1500" w:rsidRPr="005C6D06" w:rsidRDefault="00DC1500" w:rsidP="00C15B3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оцінка впливу на сферу інтересів громадян:</w:t>
      </w:r>
    </w:p>
    <w:p w14:paraId="0785DE7E" w14:textId="77777777" w:rsidR="00DC6752" w:rsidRPr="005C6D06" w:rsidRDefault="00DC6752" w:rsidP="00DC6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3"/>
        <w:gridCol w:w="2580"/>
        <w:gridCol w:w="1531"/>
      </w:tblGrid>
      <w:tr w:rsidR="00101840" w:rsidRPr="005C6D06" w14:paraId="64972574" w14:textId="77777777" w:rsidTr="00DC6752">
        <w:trPr>
          <w:jc w:val="center"/>
        </w:trPr>
        <w:tc>
          <w:tcPr>
            <w:tcW w:w="5743" w:type="dxa"/>
          </w:tcPr>
          <w:p w14:paraId="35B535EE" w14:textId="77777777" w:rsidR="00DC1500" w:rsidRPr="005C6D06" w:rsidRDefault="00DC1500" w:rsidP="00A045B4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2580" w:type="dxa"/>
          </w:tcPr>
          <w:p w14:paraId="03E2C11C" w14:textId="77777777" w:rsidR="00DC1500" w:rsidRPr="005C6D06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531" w:type="dxa"/>
          </w:tcPr>
          <w:p w14:paraId="2D16F3E3" w14:textId="77777777" w:rsidR="00DC1500" w:rsidRPr="005C6D06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5C6D06" w14:paraId="367F4C08" w14:textId="77777777" w:rsidTr="00DC6752">
        <w:trPr>
          <w:jc w:val="center"/>
        </w:trPr>
        <w:tc>
          <w:tcPr>
            <w:tcW w:w="5743" w:type="dxa"/>
          </w:tcPr>
          <w:p w14:paraId="1584B2C1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1ECA40E6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2580" w:type="dxa"/>
          </w:tcPr>
          <w:p w14:paraId="50288687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531" w:type="dxa"/>
          </w:tcPr>
          <w:p w14:paraId="3DBDD41E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5C6D06" w14:paraId="4DC433B6" w14:textId="77777777" w:rsidTr="00DC6752">
        <w:trPr>
          <w:jc w:val="center"/>
        </w:trPr>
        <w:tc>
          <w:tcPr>
            <w:tcW w:w="5743" w:type="dxa"/>
          </w:tcPr>
          <w:p w14:paraId="4C948D2C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79F8A8A6" w14:textId="77777777" w:rsidR="00DC1500" w:rsidRPr="005C6D06" w:rsidRDefault="00411CCB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</w:t>
            </w:r>
            <w:r w:rsidR="00092636" w:rsidRPr="005C6D0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регуляторн</w:t>
            </w:r>
            <w:r w:rsidR="00092636" w:rsidRPr="005C6D0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  <w:r w:rsidR="00092636" w:rsidRPr="005C6D0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2580" w:type="dxa"/>
          </w:tcPr>
          <w:p w14:paraId="536AD613" w14:textId="77777777" w:rsidR="00DC1500" w:rsidRPr="005C6D06" w:rsidRDefault="008223F7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531" w:type="dxa"/>
          </w:tcPr>
          <w:p w14:paraId="44A374CA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</w:tbl>
    <w:p w14:paraId="7B00AE25" w14:textId="77777777" w:rsidR="00014069" w:rsidRPr="005C6D06" w:rsidRDefault="00C15B38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425CA42" w14:textId="0B18C17E" w:rsidR="00DC1500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3) оцінка впливу на сферу інтересів суб’єктів господарювання:</w:t>
      </w:r>
    </w:p>
    <w:p w14:paraId="4FC3BF10" w14:textId="77777777" w:rsidR="00216AD8" w:rsidRPr="005C6D06" w:rsidRDefault="00216AD8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894"/>
        <w:gridCol w:w="4327"/>
        <w:gridCol w:w="1661"/>
      </w:tblGrid>
      <w:tr w:rsidR="00101840" w:rsidRPr="005C6D06" w14:paraId="64DD23BC" w14:textId="77777777" w:rsidTr="00DC5497">
        <w:trPr>
          <w:trHeight w:val="28"/>
          <w:jc w:val="center"/>
        </w:trPr>
        <w:tc>
          <w:tcPr>
            <w:tcW w:w="3894" w:type="dxa"/>
          </w:tcPr>
          <w:p w14:paraId="1432B998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4327" w:type="dxa"/>
          </w:tcPr>
          <w:p w14:paraId="7906C6EB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661" w:type="dxa"/>
          </w:tcPr>
          <w:p w14:paraId="140A293F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5C6D06" w14:paraId="17AFEB2C" w14:textId="77777777" w:rsidTr="00DC5497">
        <w:trPr>
          <w:jc w:val="center"/>
        </w:trPr>
        <w:tc>
          <w:tcPr>
            <w:tcW w:w="3894" w:type="dxa"/>
          </w:tcPr>
          <w:p w14:paraId="12B0D8F0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257F2969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4327" w:type="dxa"/>
          </w:tcPr>
          <w:p w14:paraId="1A6459CB" w14:textId="77777777" w:rsidR="00DC1500" w:rsidRPr="005C6D06" w:rsidRDefault="00DC1500" w:rsidP="00DC6752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Додаткових витрат немає</w:t>
            </w:r>
          </w:p>
        </w:tc>
        <w:tc>
          <w:tcPr>
            <w:tcW w:w="1661" w:type="dxa"/>
          </w:tcPr>
          <w:p w14:paraId="16D58083" w14:textId="77777777" w:rsidR="00DC1500" w:rsidRPr="005C6D06" w:rsidRDefault="00DC1500" w:rsidP="00DC6752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5C6D06" w14:paraId="6BDB1478" w14:textId="77777777" w:rsidTr="00DC5497">
        <w:trPr>
          <w:jc w:val="center"/>
        </w:trPr>
        <w:tc>
          <w:tcPr>
            <w:tcW w:w="3894" w:type="dxa"/>
          </w:tcPr>
          <w:p w14:paraId="52DDB8B2" w14:textId="77777777" w:rsidR="006777CE" w:rsidRPr="005C6D06" w:rsidRDefault="006777CE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1F0369F8" w14:textId="77777777" w:rsidR="006777CE" w:rsidRPr="005C6D06" w:rsidRDefault="00411CCB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4327" w:type="dxa"/>
          </w:tcPr>
          <w:p w14:paraId="610518BF" w14:textId="58BB4423" w:rsidR="006777CE" w:rsidRPr="005C6D06" w:rsidRDefault="00157F95" w:rsidP="00065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7F95">
              <w:rPr>
                <w:rFonts w:ascii="Times New Roman" w:hAnsi="Times New Roman" w:cs="Times New Roman"/>
                <w:sz w:val="28"/>
                <w:szCs w:val="28"/>
              </w:rPr>
              <w:t>Дозволяє удосконалити механізм формування цін на електричну</w:t>
            </w:r>
            <w:r w:rsidRPr="0058237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7F95">
              <w:rPr>
                <w:rFonts w:ascii="Times New Roman" w:hAnsi="Times New Roman" w:cs="Times New Roman"/>
                <w:sz w:val="28"/>
                <w:szCs w:val="28"/>
              </w:rPr>
              <w:t>енергію</w:t>
            </w:r>
            <w:r w:rsidR="00620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01FF" w:rsidRPr="006201FF">
              <w:rPr>
                <w:rFonts w:ascii="Times New Roman" w:hAnsi="Times New Roman" w:cs="Times New Roman"/>
                <w:sz w:val="28"/>
                <w:szCs w:val="28"/>
              </w:rPr>
              <w:t>та ціни, за якою здійснюється постачання електричної енергії</w:t>
            </w:r>
            <w:r w:rsidR="00620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01FF" w:rsidRPr="006201FF">
              <w:rPr>
                <w:rFonts w:ascii="Times New Roman" w:hAnsi="Times New Roman" w:cs="Times New Roman"/>
                <w:sz w:val="28"/>
                <w:szCs w:val="28"/>
              </w:rPr>
              <w:t>постачальником «останньої надії»</w:t>
            </w:r>
          </w:p>
        </w:tc>
        <w:tc>
          <w:tcPr>
            <w:tcW w:w="1661" w:type="dxa"/>
          </w:tcPr>
          <w:p w14:paraId="7C01CB24" w14:textId="2FBE60E4" w:rsidR="007B5019" w:rsidRPr="005C6D06" w:rsidRDefault="007E49B1" w:rsidP="00BD52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</w:tr>
    </w:tbl>
    <w:p w14:paraId="4EAD2B1E" w14:textId="77777777" w:rsidR="00DC6752" w:rsidRPr="005C6D06" w:rsidRDefault="00DC6752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5BEA8C" w14:textId="77777777" w:rsidR="00DC1500" w:rsidRPr="005C6D06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IV. Вибір найбільш оптимального альтернативного способу</w:t>
      </w:r>
      <w:r w:rsidRPr="005C6D06">
        <w:rPr>
          <w:rFonts w:ascii="Times New Roman" w:hAnsi="Times New Roman" w:cs="Times New Roman"/>
          <w:b/>
          <w:bCs/>
          <w:sz w:val="28"/>
          <w:szCs w:val="28"/>
        </w:rPr>
        <w:br/>
        <w:t>досягнення цілей</w:t>
      </w:r>
    </w:p>
    <w:p w14:paraId="3541F618" w14:textId="77777777" w:rsidR="00B26044" w:rsidRPr="005C6D06" w:rsidRDefault="00B26044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3"/>
        <w:gridCol w:w="2991"/>
        <w:gridCol w:w="2476"/>
      </w:tblGrid>
      <w:tr w:rsidR="00101840" w:rsidRPr="005C6D06" w14:paraId="69971B84" w14:textId="77777777" w:rsidTr="00476B9E">
        <w:trPr>
          <w:jc w:val="center"/>
        </w:trPr>
        <w:tc>
          <w:tcPr>
            <w:tcW w:w="4273" w:type="dxa"/>
          </w:tcPr>
          <w:p w14:paraId="3E8ACC83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Рейтинг результативності</w:t>
            </w:r>
            <w:r w:rsidR="00DC6752"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(досягнення цілей під час вирішення проблеми)</w:t>
            </w:r>
          </w:p>
        </w:tc>
        <w:tc>
          <w:tcPr>
            <w:tcW w:w="2991" w:type="dxa"/>
          </w:tcPr>
          <w:p w14:paraId="6DD4969A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Бал результативності</w:t>
            </w:r>
            <w:r w:rsidR="00DC6752"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(за чотирибальною системою оцінки)</w:t>
            </w:r>
          </w:p>
        </w:tc>
        <w:tc>
          <w:tcPr>
            <w:tcW w:w="2476" w:type="dxa"/>
          </w:tcPr>
          <w:p w14:paraId="0FA28A0F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Коментарі</w:t>
            </w:r>
            <w:r w:rsidR="00DC6752"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щодо присвоєння відповідного </w:t>
            </w:r>
            <w:proofErr w:type="spellStart"/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бала</w:t>
            </w:r>
            <w:proofErr w:type="spellEnd"/>
          </w:p>
        </w:tc>
      </w:tr>
      <w:tr w:rsidR="00101840" w:rsidRPr="005C6D06" w14:paraId="5AD56041" w14:textId="77777777" w:rsidTr="00476B9E">
        <w:trPr>
          <w:jc w:val="center"/>
        </w:trPr>
        <w:tc>
          <w:tcPr>
            <w:tcW w:w="4273" w:type="dxa"/>
            <w:tcBorders>
              <w:bottom w:val="single" w:sz="4" w:space="0" w:color="auto"/>
            </w:tcBorders>
          </w:tcPr>
          <w:p w14:paraId="65078E63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6DEE5A55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14:paraId="6C0C5E12" w14:textId="77777777" w:rsidR="00DC1500" w:rsidRPr="005C6D06" w:rsidRDefault="00DC1500" w:rsidP="00DC6752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476" w:type="dxa"/>
            <w:tcBorders>
              <w:bottom w:val="single" w:sz="4" w:space="0" w:color="auto"/>
            </w:tcBorders>
          </w:tcPr>
          <w:p w14:paraId="3181C7A9" w14:textId="77777777" w:rsidR="00DC1500" w:rsidRPr="005C6D06" w:rsidRDefault="00DC1500" w:rsidP="00DC6752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Не досягає поставленої мети </w:t>
            </w:r>
          </w:p>
        </w:tc>
      </w:tr>
      <w:tr w:rsidR="00101840" w:rsidRPr="005C6D06" w14:paraId="2E3CB27E" w14:textId="77777777" w:rsidTr="00CB0C9B">
        <w:trPr>
          <w:trHeight w:val="416"/>
          <w:jc w:val="center"/>
        </w:trPr>
        <w:tc>
          <w:tcPr>
            <w:tcW w:w="4273" w:type="dxa"/>
            <w:tcBorders>
              <w:bottom w:val="single" w:sz="4" w:space="0" w:color="auto"/>
            </w:tcBorders>
          </w:tcPr>
          <w:p w14:paraId="46DA90DA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Обрана Альтернатива 2.</w:t>
            </w:r>
          </w:p>
          <w:p w14:paraId="49F3E2F9" w14:textId="77777777" w:rsidR="00DC1500" w:rsidRPr="005C6D06" w:rsidRDefault="003061E1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14:paraId="2C5733E3" w14:textId="77777777" w:rsidR="00DC1500" w:rsidRPr="005C6D06" w:rsidRDefault="00DC1500" w:rsidP="00DC6752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476" w:type="dxa"/>
            <w:tcBorders>
              <w:bottom w:val="single" w:sz="4" w:space="0" w:color="auto"/>
            </w:tcBorders>
          </w:tcPr>
          <w:p w14:paraId="286E659B" w14:textId="37C69A6D" w:rsidR="00476B9E" w:rsidRPr="005C6D06" w:rsidRDefault="00DC1500" w:rsidP="00DC6752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Дозволяє вирішити проблему </w:t>
            </w:r>
            <w:r w:rsidR="00211F26"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най</w:t>
            </w:r>
            <w:r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ефективн</w:t>
            </w:r>
            <w:r w:rsidR="00211F26"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іш</w:t>
            </w:r>
            <w:r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им шляхо</w:t>
            </w:r>
            <w:r w:rsidR="00CB0C9B"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м</w:t>
            </w:r>
          </w:p>
        </w:tc>
      </w:tr>
    </w:tbl>
    <w:p w14:paraId="699854AD" w14:textId="77777777" w:rsidR="00D165E3" w:rsidRPr="005C6D06" w:rsidRDefault="00D165E3"/>
    <w:tbl>
      <w:tblPr>
        <w:tblW w:w="9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3"/>
        <w:gridCol w:w="1839"/>
        <w:gridCol w:w="2614"/>
        <w:gridCol w:w="2482"/>
      </w:tblGrid>
      <w:tr w:rsidR="00101840" w:rsidRPr="005C6D06" w14:paraId="0C83E1AC" w14:textId="77777777" w:rsidTr="005A6A4B">
        <w:trPr>
          <w:jc w:val="center"/>
        </w:trPr>
        <w:tc>
          <w:tcPr>
            <w:tcW w:w="2778" w:type="dxa"/>
          </w:tcPr>
          <w:p w14:paraId="13F566F0" w14:textId="77777777" w:rsidR="000E0120" w:rsidRPr="005C6D06" w:rsidRDefault="000E012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87AC2DA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результативності</w:t>
            </w:r>
          </w:p>
        </w:tc>
        <w:tc>
          <w:tcPr>
            <w:tcW w:w="1817" w:type="dxa"/>
          </w:tcPr>
          <w:p w14:paraId="289211D8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Вигоди (підсумок)</w:t>
            </w:r>
          </w:p>
        </w:tc>
        <w:tc>
          <w:tcPr>
            <w:tcW w:w="2630" w:type="dxa"/>
          </w:tcPr>
          <w:p w14:paraId="06C34D7C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Витрати (підсумок)</w:t>
            </w:r>
          </w:p>
        </w:tc>
        <w:tc>
          <w:tcPr>
            <w:tcW w:w="2483" w:type="dxa"/>
          </w:tcPr>
          <w:p w14:paraId="0D804280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Обґрунтування відповідного місця </w:t>
            </w: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альтернативи у рейтингу</w:t>
            </w:r>
          </w:p>
        </w:tc>
      </w:tr>
      <w:tr w:rsidR="00101840" w:rsidRPr="005C6D06" w14:paraId="539BE1E0" w14:textId="77777777" w:rsidTr="005A6A4B">
        <w:trPr>
          <w:jc w:val="center"/>
        </w:trPr>
        <w:tc>
          <w:tcPr>
            <w:tcW w:w="2778" w:type="dxa"/>
          </w:tcPr>
          <w:p w14:paraId="3A754DAA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Альтернатива 1.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Збереження чинного регулювання</w:t>
            </w:r>
          </w:p>
        </w:tc>
        <w:tc>
          <w:tcPr>
            <w:tcW w:w="1817" w:type="dxa"/>
          </w:tcPr>
          <w:p w14:paraId="413145DB" w14:textId="77777777" w:rsidR="00DC1500" w:rsidRPr="005C6D06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51A6E5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  <w:p w14:paraId="497C6BD8" w14:textId="77777777" w:rsidR="00DC1500" w:rsidRPr="005C6D06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dxa"/>
          </w:tcPr>
          <w:p w14:paraId="45421057" w14:textId="77777777" w:rsidR="00DC1500" w:rsidRPr="005C6D06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79AF67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  <w:tc>
          <w:tcPr>
            <w:tcW w:w="2483" w:type="dxa"/>
          </w:tcPr>
          <w:p w14:paraId="614AB511" w14:textId="77777777" w:rsidR="00DC1500" w:rsidRPr="005C6D06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11454A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Не вирішує проблему </w:t>
            </w:r>
          </w:p>
        </w:tc>
      </w:tr>
      <w:tr w:rsidR="00DC1500" w:rsidRPr="005C6D06" w14:paraId="0168CB6F" w14:textId="77777777" w:rsidTr="005A6A4B">
        <w:trPr>
          <w:jc w:val="center"/>
        </w:trPr>
        <w:tc>
          <w:tcPr>
            <w:tcW w:w="2778" w:type="dxa"/>
          </w:tcPr>
          <w:p w14:paraId="1E353ED8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Обрана Альтернатива 2.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E1" w:rsidRPr="005C6D06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1817" w:type="dxa"/>
          </w:tcPr>
          <w:p w14:paraId="7BB8B098" w14:textId="64DE8818" w:rsidR="007E49B1" w:rsidRPr="00EA62B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Забезпечує досягнення цілей державного регулювання</w:t>
            </w:r>
            <w:r w:rsidR="007E49B1" w:rsidRPr="005C6D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0" w:type="dxa"/>
          </w:tcPr>
          <w:p w14:paraId="7BA48D1E" w14:textId="14CA4A7A" w:rsidR="006B5D4A" w:rsidRPr="005C6D06" w:rsidRDefault="007E49B1" w:rsidP="006B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  <w:p w14:paraId="11FD99FD" w14:textId="7A88BEF4" w:rsidR="00205B59" w:rsidRPr="005C6D06" w:rsidRDefault="00205B59" w:rsidP="00B01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3" w:type="dxa"/>
          </w:tcPr>
          <w:p w14:paraId="490935FB" w14:textId="37A5D06B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Дозволяє досягти цілей державного регулювання </w:t>
            </w:r>
            <w:r w:rsidR="008F2126" w:rsidRPr="005C6D06">
              <w:rPr>
                <w:rFonts w:ascii="Times New Roman" w:hAnsi="Times New Roman" w:cs="Times New Roman"/>
                <w:sz w:val="28"/>
                <w:szCs w:val="28"/>
              </w:rPr>
              <w:t>най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ефективн</w:t>
            </w:r>
            <w:r w:rsidR="008F2126" w:rsidRPr="005C6D06">
              <w:rPr>
                <w:rFonts w:ascii="Times New Roman" w:hAnsi="Times New Roman" w:cs="Times New Roman"/>
                <w:sz w:val="28"/>
                <w:szCs w:val="28"/>
              </w:rPr>
              <w:t>іш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им шляхом</w:t>
            </w:r>
          </w:p>
        </w:tc>
      </w:tr>
    </w:tbl>
    <w:p w14:paraId="2C510E5C" w14:textId="3D878AC5" w:rsidR="000E0120" w:rsidRPr="005C6D06" w:rsidRDefault="000E0120" w:rsidP="00DC6752">
      <w:pPr>
        <w:pStyle w:val="2"/>
        <w:spacing w:before="0" w:beforeAutospacing="0" w:after="0" w:afterAutospacing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3"/>
        <w:gridCol w:w="4252"/>
        <w:gridCol w:w="2761"/>
      </w:tblGrid>
      <w:tr w:rsidR="00101840" w:rsidRPr="005C6D06" w14:paraId="0B3659A2" w14:textId="77777777" w:rsidTr="00D165E3">
        <w:trPr>
          <w:trHeight w:val="1734"/>
          <w:jc w:val="center"/>
        </w:trPr>
        <w:tc>
          <w:tcPr>
            <w:tcW w:w="2763" w:type="dxa"/>
          </w:tcPr>
          <w:p w14:paraId="3CA09945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Рейтинг</w:t>
            </w:r>
          </w:p>
        </w:tc>
        <w:tc>
          <w:tcPr>
            <w:tcW w:w="4252" w:type="dxa"/>
          </w:tcPr>
          <w:p w14:paraId="7824B3BB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761" w:type="dxa"/>
          </w:tcPr>
          <w:p w14:paraId="3310165A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акта</w:t>
            </w:r>
            <w:proofErr w:type="spellEnd"/>
          </w:p>
        </w:tc>
      </w:tr>
      <w:tr w:rsidR="00101840" w:rsidRPr="005C6D06" w14:paraId="140BA6A4" w14:textId="77777777" w:rsidTr="00D165E3">
        <w:trPr>
          <w:jc w:val="center"/>
        </w:trPr>
        <w:tc>
          <w:tcPr>
            <w:tcW w:w="2763" w:type="dxa"/>
          </w:tcPr>
          <w:p w14:paraId="3F1954A6" w14:textId="77777777" w:rsidR="00DC1500" w:rsidRPr="005C6D06" w:rsidRDefault="00DC1500" w:rsidP="00D165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Альтернатива</w:t>
            </w:r>
            <w:r w:rsidR="00D165E3"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Збереження чинного регулювання</w:t>
            </w:r>
          </w:p>
        </w:tc>
        <w:tc>
          <w:tcPr>
            <w:tcW w:w="4252" w:type="dxa"/>
          </w:tcPr>
          <w:p w14:paraId="49D13201" w14:textId="77777777" w:rsidR="00DC1500" w:rsidRPr="005C6D06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Не вирішує проблему та не забезпечує цілей державного регулювання</w:t>
            </w:r>
          </w:p>
        </w:tc>
        <w:tc>
          <w:tcPr>
            <w:tcW w:w="2761" w:type="dxa"/>
          </w:tcPr>
          <w:p w14:paraId="79783810" w14:textId="77777777" w:rsidR="00DC1500" w:rsidRPr="005C6D06" w:rsidRDefault="00DC1500" w:rsidP="0082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Відсутній</w:t>
            </w:r>
          </w:p>
        </w:tc>
      </w:tr>
      <w:tr w:rsidR="00DC1500" w:rsidRPr="005C6D06" w14:paraId="4923E10A" w14:textId="77777777" w:rsidTr="00D165E3">
        <w:trPr>
          <w:jc w:val="center"/>
        </w:trPr>
        <w:tc>
          <w:tcPr>
            <w:tcW w:w="2763" w:type="dxa"/>
          </w:tcPr>
          <w:p w14:paraId="1E04998D" w14:textId="77777777" w:rsidR="00DC1500" w:rsidRPr="005C6D06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Обрана Альтернатива</w:t>
            </w:r>
            <w:r w:rsidR="00D165E3"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E1" w:rsidRPr="005C6D06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4252" w:type="dxa"/>
          </w:tcPr>
          <w:p w14:paraId="31838400" w14:textId="6F395F60" w:rsidR="00DC1500" w:rsidRPr="005C6D06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Дозволяє вирішити проблему </w:t>
            </w:r>
            <w:r w:rsidR="001C00D5" w:rsidRPr="005C6D06">
              <w:rPr>
                <w:rFonts w:ascii="Times New Roman" w:hAnsi="Times New Roman" w:cs="Times New Roman"/>
                <w:sz w:val="28"/>
                <w:szCs w:val="28"/>
              </w:rPr>
              <w:t>най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ефективн</w:t>
            </w:r>
            <w:r w:rsidR="001C00D5" w:rsidRPr="005C6D06">
              <w:rPr>
                <w:rFonts w:ascii="Times New Roman" w:hAnsi="Times New Roman" w:cs="Times New Roman"/>
                <w:sz w:val="28"/>
                <w:szCs w:val="28"/>
              </w:rPr>
              <w:t>іш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2761" w:type="dxa"/>
          </w:tcPr>
          <w:p w14:paraId="1D6BBC4F" w14:textId="77777777" w:rsidR="00DC1500" w:rsidRPr="005C6D06" w:rsidRDefault="00DC1500" w:rsidP="0082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Відсутній</w:t>
            </w:r>
          </w:p>
        </w:tc>
      </w:tr>
    </w:tbl>
    <w:p w14:paraId="007D1B45" w14:textId="777777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90BA310" w14:textId="77777777" w:rsidR="00375422" w:rsidRPr="005C6D06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A8BE95A" w14:textId="777777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V. Механізми та заходи, які забезпечать розв’язання визначеної проблеми</w:t>
      </w:r>
    </w:p>
    <w:p w14:paraId="4483FFE2" w14:textId="777777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5DBD6141" w14:textId="5C851304" w:rsidR="006201FF" w:rsidRDefault="00034ACD" w:rsidP="00620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376"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="006201FF">
        <w:rPr>
          <w:rFonts w:ascii="Times New Roman" w:hAnsi="Times New Roman" w:cs="Times New Roman"/>
          <w:sz w:val="28"/>
          <w:szCs w:val="28"/>
        </w:rPr>
        <w:t>П</w:t>
      </w:r>
      <w:r w:rsidRPr="00582376">
        <w:rPr>
          <w:rFonts w:ascii="Times New Roman" w:hAnsi="Times New Roman" w:cs="Times New Roman"/>
          <w:sz w:val="28"/>
          <w:szCs w:val="28"/>
        </w:rPr>
        <w:t xml:space="preserve">роєкту постанови дозволить </w:t>
      </w:r>
      <w:r w:rsidR="00216AD8" w:rsidRPr="0026649E">
        <w:rPr>
          <w:rFonts w:ascii="Times New Roman" w:hAnsi="Times New Roman" w:cs="Times New Roman"/>
          <w:sz w:val="28"/>
          <w:szCs w:val="28"/>
        </w:rPr>
        <w:t>приве</w:t>
      </w:r>
      <w:r w:rsidR="00216AD8" w:rsidRPr="00034ACD">
        <w:rPr>
          <w:rFonts w:ascii="Times New Roman" w:hAnsi="Times New Roman" w:cs="Times New Roman"/>
          <w:sz w:val="28"/>
          <w:szCs w:val="28"/>
        </w:rPr>
        <w:t>с</w:t>
      </w:r>
      <w:r w:rsidR="00216AD8">
        <w:rPr>
          <w:rFonts w:ascii="Times New Roman" w:hAnsi="Times New Roman" w:cs="Times New Roman"/>
          <w:sz w:val="28"/>
          <w:szCs w:val="28"/>
        </w:rPr>
        <w:t>ти</w:t>
      </w:r>
      <w:r w:rsidRPr="0026649E">
        <w:rPr>
          <w:rFonts w:ascii="Times New Roman" w:hAnsi="Times New Roman" w:cs="Times New Roman"/>
          <w:sz w:val="28"/>
          <w:szCs w:val="28"/>
        </w:rPr>
        <w:t xml:space="preserve"> </w:t>
      </w:r>
      <w:r w:rsidR="008B4F44" w:rsidRPr="0026649E">
        <w:rPr>
          <w:rFonts w:ascii="Times New Roman" w:hAnsi="Times New Roman" w:cs="Times New Roman"/>
          <w:sz w:val="28"/>
          <w:szCs w:val="28"/>
        </w:rPr>
        <w:t>Поряд</w:t>
      </w:r>
      <w:r w:rsidR="008B4F44">
        <w:rPr>
          <w:rFonts w:ascii="Times New Roman" w:hAnsi="Times New Roman" w:cs="Times New Roman"/>
          <w:sz w:val="28"/>
          <w:szCs w:val="28"/>
        </w:rPr>
        <w:t xml:space="preserve">ок </w:t>
      </w:r>
      <w:r w:rsidR="006201FF">
        <w:rPr>
          <w:rFonts w:ascii="Times New Roman" w:hAnsi="Times New Roman" w:cs="Times New Roman"/>
          <w:sz w:val="28"/>
          <w:szCs w:val="28"/>
        </w:rPr>
        <w:t xml:space="preserve"> № 1177 </w:t>
      </w:r>
      <w:r w:rsidRPr="0026649E">
        <w:rPr>
          <w:rFonts w:ascii="Times New Roman" w:hAnsi="Times New Roman" w:cs="Times New Roman"/>
          <w:sz w:val="28"/>
          <w:szCs w:val="28"/>
        </w:rPr>
        <w:t xml:space="preserve">у відповідність до чинних нормативно-правових актів та </w:t>
      </w:r>
      <w:r w:rsidRPr="00034ACD">
        <w:rPr>
          <w:rFonts w:ascii="Times New Roman" w:hAnsi="Times New Roman" w:cs="Times New Roman"/>
          <w:sz w:val="28"/>
          <w:szCs w:val="28"/>
        </w:rPr>
        <w:t>законодавства, а саме при розрахунку</w:t>
      </w:r>
      <w:r w:rsidR="006201FF" w:rsidRPr="00331316">
        <w:rPr>
          <w:rFonts w:ascii="Times New Roman" w:hAnsi="Times New Roman" w:cs="Times New Roman"/>
          <w:bCs/>
          <w:sz w:val="28"/>
          <w:szCs w:val="28"/>
        </w:rPr>
        <w:t xml:space="preserve"> ціни закупівлі електричної енергії на ринку електричної енергії, застос</w:t>
      </w:r>
      <w:r w:rsidR="00C50809">
        <w:rPr>
          <w:rFonts w:ascii="Times New Roman" w:hAnsi="Times New Roman" w:cs="Times New Roman"/>
          <w:bCs/>
          <w:sz w:val="28"/>
          <w:szCs w:val="28"/>
        </w:rPr>
        <w:t>овувати</w:t>
      </w:r>
      <w:r w:rsidR="006201FF" w:rsidRPr="00331316">
        <w:rPr>
          <w:rFonts w:ascii="Times New Roman" w:hAnsi="Times New Roman" w:cs="Times New Roman"/>
          <w:bCs/>
          <w:sz w:val="28"/>
          <w:szCs w:val="28"/>
        </w:rPr>
        <w:t xml:space="preserve"> середньоарифметичн</w:t>
      </w:r>
      <w:r w:rsidR="00C50809">
        <w:rPr>
          <w:rFonts w:ascii="Times New Roman" w:hAnsi="Times New Roman" w:cs="Times New Roman"/>
          <w:bCs/>
          <w:sz w:val="28"/>
          <w:szCs w:val="28"/>
        </w:rPr>
        <w:t>е</w:t>
      </w:r>
      <w:r w:rsidR="006201FF" w:rsidRPr="00331316">
        <w:rPr>
          <w:rFonts w:ascii="Times New Roman" w:hAnsi="Times New Roman" w:cs="Times New Roman"/>
          <w:bCs/>
          <w:sz w:val="28"/>
          <w:szCs w:val="28"/>
        </w:rPr>
        <w:t xml:space="preserve"> значення декадних індексів базового навантаження на ринку двосторонніх договорів</w:t>
      </w:r>
      <w:r w:rsidR="006201FF">
        <w:rPr>
          <w:rFonts w:ascii="Times New Roman" w:hAnsi="Times New Roman" w:cs="Times New Roman"/>
          <w:bCs/>
          <w:sz w:val="28"/>
          <w:szCs w:val="28"/>
        </w:rPr>
        <w:t xml:space="preserve">. Також, </w:t>
      </w:r>
      <w:r w:rsidR="006201FF" w:rsidRPr="00FB0736">
        <w:rPr>
          <w:rFonts w:ascii="Times New Roman" w:hAnsi="Times New Roman" w:cs="Times New Roman"/>
          <w:sz w:val="28"/>
          <w:szCs w:val="28"/>
        </w:rPr>
        <w:t xml:space="preserve">дозволить </w:t>
      </w:r>
      <w:r w:rsidR="006201FF">
        <w:rPr>
          <w:rFonts w:ascii="Times New Roman" w:hAnsi="Times New Roman" w:cs="Times New Roman"/>
          <w:sz w:val="28"/>
          <w:szCs w:val="28"/>
        </w:rPr>
        <w:t>з</w:t>
      </w:r>
      <w:r w:rsidR="006201FF" w:rsidRPr="0054369C">
        <w:rPr>
          <w:rFonts w:ascii="Times New Roman" w:hAnsi="Times New Roman" w:cs="Times New Roman"/>
          <w:sz w:val="28"/>
          <w:szCs w:val="28"/>
        </w:rPr>
        <w:t>абезпеч</w:t>
      </w:r>
      <w:r w:rsidR="006201FF">
        <w:rPr>
          <w:rFonts w:ascii="Times New Roman" w:hAnsi="Times New Roman" w:cs="Times New Roman"/>
          <w:sz w:val="28"/>
          <w:szCs w:val="28"/>
        </w:rPr>
        <w:t>ити</w:t>
      </w:r>
      <w:r w:rsidR="006201FF" w:rsidRPr="0054369C">
        <w:rPr>
          <w:rFonts w:ascii="Times New Roman" w:hAnsi="Times New Roman" w:cs="Times New Roman"/>
          <w:sz w:val="28"/>
          <w:szCs w:val="28"/>
        </w:rPr>
        <w:t xml:space="preserve"> відповідність положень Порядку</w:t>
      </w:r>
      <w:r w:rsidR="006201FF">
        <w:rPr>
          <w:rFonts w:ascii="Times New Roman" w:hAnsi="Times New Roman" w:cs="Times New Roman"/>
          <w:sz w:val="28"/>
          <w:szCs w:val="28"/>
        </w:rPr>
        <w:t xml:space="preserve"> № 1179</w:t>
      </w:r>
      <w:r w:rsidR="006201FF" w:rsidRPr="0054369C">
        <w:rPr>
          <w:rFonts w:ascii="Times New Roman" w:hAnsi="Times New Roman" w:cs="Times New Roman"/>
          <w:sz w:val="28"/>
          <w:szCs w:val="28"/>
        </w:rPr>
        <w:t xml:space="preserve"> в частині розрахунку ціни, за якою здійснюється постачання електричної енергії споживачам ПОН, вимогам частини п’ятої статті 64 Закону</w:t>
      </w:r>
      <w:r w:rsidR="006201FF">
        <w:rPr>
          <w:rFonts w:ascii="Times New Roman" w:hAnsi="Times New Roman" w:cs="Times New Roman"/>
          <w:sz w:val="28"/>
          <w:szCs w:val="28"/>
        </w:rPr>
        <w:t xml:space="preserve">, та </w:t>
      </w:r>
      <w:r w:rsidR="006201FF" w:rsidRPr="007E64A2">
        <w:rPr>
          <w:rFonts w:ascii="Times New Roman" w:hAnsi="Times New Roman" w:cs="Times New Roman"/>
          <w:sz w:val="28"/>
          <w:szCs w:val="28"/>
        </w:rPr>
        <w:t xml:space="preserve">недопущення </w:t>
      </w:r>
      <w:r w:rsidR="006201FF">
        <w:rPr>
          <w:rFonts w:ascii="Times New Roman" w:hAnsi="Times New Roman" w:cs="Times New Roman"/>
          <w:sz w:val="28"/>
          <w:szCs w:val="28"/>
        </w:rPr>
        <w:t>п</w:t>
      </w:r>
      <w:r w:rsidR="006201FF" w:rsidRPr="007E64A2">
        <w:rPr>
          <w:rFonts w:ascii="Times New Roman" w:hAnsi="Times New Roman" w:cs="Times New Roman"/>
          <w:sz w:val="28"/>
          <w:szCs w:val="28"/>
        </w:rPr>
        <w:t>огіршення фінансового становища ПОН через невідповідність цін купівлі на ринку електричної енергії цінам, за якими ПОН постачає електроенергію власним споживачам</w:t>
      </w:r>
      <w:r w:rsidR="006201FF">
        <w:rPr>
          <w:rFonts w:ascii="Times New Roman" w:hAnsi="Times New Roman" w:cs="Times New Roman"/>
          <w:sz w:val="28"/>
          <w:szCs w:val="28"/>
        </w:rPr>
        <w:t>.</w:t>
      </w:r>
    </w:p>
    <w:p w14:paraId="680BFA4F" w14:textId="77777777" w:rsidR="00256BE4" w:rsidRPr="005C6D06" w:rsidRDefault="00053BCF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5C6D06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2E8EA24F" w14:textId="77777777" w:rsidR="00053BCF" w:rsidRPr="005C6D06" w:rsidRDefault="00053BCF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5C6D06">
        <w:rPr>
          <w:rFonts w:ascii="Times New Roman" w:hAnsi="Times New Roman" w:cs="Times New Roman"/>
          <w:sz w:val="28"/>
          <w:szCs w:val="28"/>
        </w:rPr>
        <w:t xml:space="preserve"> не розроблялась, оскільки введення в дію положень регуляторного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5C6D06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30F582F9" w14:textId="188A82F4" w:rsidR="00053BCF" w:rsidRPr="005C6D06" w:rsidRDefault="00053BCF" w:rsidP="00DC6752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lastRenderedPageBreak/>
        <w:t xml:space="preserve">Функції в частині здійснення державного контролю та нагляду за додержанням вимог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5C6D06">
        <w:rPr>
          <w:rFonts w:ascii="Times New Roman" w:hAnsi="Times New Roman" w:cs="Times New Roman"/>
          <w:sz w:val="28"/>
          <w:szCs w:val="28"/>
        </w:rPr>
        <w:t xml:space="preserve"> будуть </w:t>
      </w:r>
      <w:r w:rsidR="00256259" w:rsidRPr="005C6D06">
        <w:rPr>
          <w:rFonts w:ascii="Times New Roman" w:hAnsi="Times New Roman" w:cs="Times New Roman"/>
          <w:sz w:val="28"/>
          <w:szCs w:val="28"/>
        </w:rPr>
        <w:t>здійснюватися</w:t>
      </w:r>
      <w:r w:rsidRPr="005C6D06">
        <w:rPr>
          <w:rFonts w:ascii="Times New Roman" w:hAnsi="Times New Roman" w:cs="Times New Roman"/>
          <w:sz w:val="28"/>
          <w:szCs w:val="28"/>
        </w:rPr>
        <w:t xml:space="preserve"> державними органами, яким, відповідно до законодавства</w:t>
      </w:r>
      <w:r w:rsidR="008B5D3C">
        <w:rPr>
          <w:rFonts w:ascii="Times New Roman" w:hAnsi="Times New Roman" w:cs="Times New Roman"/>
          <w:sz w:val="28"/>
          <w:szCs w:val="28"/>
        </w:rPr>
        <w:t xml:space="preserve"> </w:t>
      </w:r>
      <w:r w:rsidRPr="005C6D06">
        <w:rPr>
          <w:rFonts w:ascii="Times New Roman" w:hAnsi="Times New Roman" w:cs="Times New Roman"/>
          <w:sz w:val="28"/>
          <w:szCs w:val="28"/>
        </w:rPr>
        <w:t xml:space="preserve">надані такі повноваження. </w:t>
      </w:r>
    </w:p>
    <w:p w14:paraId="46FA6DDB" w14:textId="77777777" w:rsidR="00D90858" w:rsidRPr="005C6D06" w:rsidRDefault="00D90858" w:rsidP="00DC6752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146E45" w14:textId="77777777" w:rsidR="00DC1500" w:rsidRPr="005C6D06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5C6D06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79D71BD0" w14:textId="77777777" w:rsidR="00DC1500" w:rsidRPr="005C6D06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52F718" w14:textId="77777777" w:rsidR="00DC1500" w:rsidRPr="005C6D06" w:rsidRDefault="00640C31" w:rsidP="00DC6752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5C6D06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Строк </w:t>
      </w:r>
      <w:r w:rsidR="00DC1500" w:rsidRPr="005C6D06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дії </w:t>
      </w:r>
      <w:proofErr w:type="spellStart"/>
      <w:r w:rsidR="00DC1500" w:rsidRPr="005C6D06">
        <w:rPr>
          <w:rFonts w:ascii="Times New Roman" w:hAnsi="Times New Roman" w:cs="Times New Roman"/>
          <w:sz w:val="28"/>
          <w:szCs w:val="28"/>
          <w:lang w:val="uk-UA" w:eastAsia="en-US"/>
        </w:rPr>
        <w:t>акта</w:t>
      </w:r>
      <w:proofErr w:type="spellEnd"/>
      <w:r w:rsidR="00DC1500" w:rsidRPr="005C6D06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необмежений та може бути змінений у разі внесення відповідних змін до законодавства.</w:t>
      </w:r>
    </w:p>
    <w:p w14:paraId="25DE295D" w14:textId="77777777" w:rsidR="007B5019" w:rsidRPr="005C6D06" w:rsidRDefault="007B5019" w:rsidP="00DC6752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32"/>
          <w:szCs w:val="32"/>
          <w:lang w:val="uk-UA" w:eastAsia="en-US"/>
        </w:rPr>
      </w:pPr>
    </w:p>
    <w:p w14:paraId="56E59FDD" w14:textId="5F13F338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5C6D06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4232BB46" w14:textId="77777777" w:rsidR="004C290A" w:rsidRPr="005C6D06" w:rsidRDefault="004C290A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474C0A" w14:textId="453178BF" w:rsidR="00DC1500" w:rsidRPr="005C6D06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Після набрання чинності постанов</w:t>
      </w:r>
      <w:r w:rsidR="001D69A1" w:rsidRPr="005C6D06">
        <w:rPr>
          <w:rFonts w:ascii="Times New Roman" w:hAnsi="Times New Roman" w:cs="Times New Roman"/>
          <w:sz w:val="28"/>
          <w:szCs w:val="28"/>
        </w:rPr>
        <w:t>ою</w:t>
      </w:r>
      <w:r w:rsidRPr="005C6D06">
        <w:rPr>
          <w:rFonts w:ascii="Times New Roman" w:hAnsi="Times New Roman" w:cs="Times New Roman"/>
          <w:sz w:val="28"/>
          <w:szCs w:val="28"/>
        </w:rPr>
        <w:t xml:space="preserve"> НКРЕКП </w:t>
      </w:r>
      <w:r w:rsidR="009C561D" w:rsidRPr="005C6D06">
        <w:rPr>
          <w:rFonts w:ascii="Times New Roman" w:hAnsi="Times New Roman" w:cs="Times New Roman"/>
          <w:sz w:val="28"/>
          <w:szCs w:val="28"/>
        </w:rPr>
        <w:t>«</w:t>
      </w:r>
      <w:r w:rsidR="006201FF" w:rsidRPr="006201FF">
        <w:rPr>
          <w:rFonts w:ascii="Times New Roman" w:hAnsi="Times New Roman" w:cs="Times New Roman"/>
          <w:sz w:val="28"/>
          <w:szCs w:val="28"/>
        </w:rPr>
        <w:t>Про внесення змін до деяких постанов НКРЕКП</w:t>
      </w:r>
      <w:r w:rsidR="009C561D" w:rsidRPr="005C6D06">
        <w:rPr>
          <w:rFonts w:ascii="Times New Roman" w:hAnsi="Times New Roman" w:cs="Times New Roman"/>
          <w:sz w:val="28"/>
          <w:szCs w:val="28"/>
        </w:rPr>
        <w:t xml:space="preserve">» </w:t>
      </w:r>
      <w:r w:rsidRPr="005C6D06">
        <w:rPr>
          <w:rFonts w:ascii="Times New Roman" w:hAnsi="Times New Roman" w:cs="Times New Roman"/>
          <w:sz w:val="28"/>
          <w:szCs w:val="28"/>
        </w:rPr>
        <w:t>її результативність визначатиметься такими показниками:</w:t>
      </w:r>
    </w:p>
    <w:p w14:paraId="5D3CECC7" w14:textId="3C250B1C" w:rsidR="00256BE4" w:rsidRPr="005C6D06" w:rsidRDefault="00256BE4" w:rsidP="00D9085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1) </w:t>
      </w:r>
      <w:r w:rsidR="00DC1500" w:rsidRPr="005C6D06">
        <w:rPr>
          <w:rFonts w:ascii="Times New Roman" w:hAnsi="Times New Roman" w:cs="Times New Roman"/>
          <w:sz w:val="28"/>
          <w:szCs w:val="28"/>
        </w:rPr>
        <w:t>розміром надходжень до державного та місцевих бюджетів і державних цільових фондів, пов</w:t>
      </w:r>
      <w:r w:rsidR="00EA62B6">
        <w:rPr>
          <w:rFonts w:ascii="Times New Roman" w:hAnsi="Times New Roman" w:cs="Times New Roman"/>
          <w:sz w:val="28"/>
          <w:szCs w:val="28"/>
        </w:rPr>
        <w:t>’</w:t>
      </w:r>
      <w:r w:rsidR="00DC1500" w:rsidRPr="005C6D06">
        <w:rPr>
          <w:rFonts w:ascii="Times New Roman" w:hAnsi="Times New Roman" w:cs="Times New Roman"/>
          <w:sz w:val="28"/>
          <w:szCs w:val="28"/>
        </w:rPr>
        <w:t xml:space="preserve">язаних з дією </w:t>
      </w:r>
      <w:proofErr w:type="spellStart"/>
      <w:r w:rsidR="00DC1500"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DC1500" w:rsidRPr="005C6D06">
        <w:rPr>
          <w:rFonts w:ascii="Times New Roman" w:hAnsi="Times New Roman" w:cs="Times New Roman"/>
          <w:sz w:val="28"/>
          <w:szCs w:val="28"/>
        </w:rPr>
        <w:t xml:space="preserve"> – не передбачаються;</w:t>
      </w:r>
    </w:p>
    <w:p w14:paraId="65F379E5" w14:textId="523A7B4A" w:rsidR="00D90858" w:rsidRPr="00582376" w:rsidRDefault="00256BE4" w:rsidP="00D90858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2) </w:t>
      </w:r>
      <w:r w:rsidR="006201FF" w:rsidRPr="00F04312">
        <w:rPr>
          <w:rFonts w:ascii="Times New Roman" w:hAnsi="Times New Roman"/>
          <w:sz w:val="28"/>
          <w:szCs w:val="28"/>
        </w:rPr>
        <w:t xml:space="preserve">дія </w:t>
      </w:r>
      <w:proofErr w:type="spellStart"/>
      <w:r w:rsidR="006201FF" w:rsidRPr="00F04312">
        <w:rPr>
          <w:rFonts w:ascii="Times New Roman" w:hAnsi="Times New Roman"/>
          <w:sz w:val="28"/>
          <w:szCs w:val="28"/>
        </w:rPr>
        <w:t>акта</w:t>
      </w:r>
      <w:proofErr w:type="spellEnd"/>
      <w:r w:rsidR="006201FF" w:rsidRPr="00F04312">
        <w:rPr>
          <w:rFonts w:ascii="Times New Roman" w:hAnsi="Times New Roman"/>
          <w:sz w:val="28"/>
          <w:szCs w:val="28"/>
        </w:rPr>
        <w:t xml:space="preserve"> розповсюджується на </w:t>
      </w:r>
      <w:proofErr w:type="spellStart"/>
      <w:r w:rsidR="00216AD8" w:rsidRPr="00582376">
        <w:rPr>
          <w:rFonts w:ascii="Times New Roman" w:hAnsi="Times New Roman"/>
          <w:sz w:val="28"/>
          <w:szCs w:val="28"/>
        </w:rPr>
        <w:t>електропостачальників</w:t>
      </w:r>
      <w:proofErr w:type="spellEnd"/>
      <w:r w:rsidR="00216AD8" w:rsidRPr="00582376">
        <w:rPr>
          <w:rFonts w:ascii="Times New Roman" w:hAnsi="Times New Roman"/>
          <w:sz w:val="28"/>
          <w:szCs w:val="28"/>
        </w:rPr>
        <w:t>, які виконують зобов’язання щодо надання універсальних послуг, визначених відповідно до Закону, – станом на 01 </w:t>
      </w:r>
      <w:r w:rsidR="00216AD8">
        <w:rPr>
          <w:rFonts w:ascii="Times New Roman" w:hAnsi="Times New Roman"/>
          <w:sz w:val="28"/>
          <w:szCs w:val="28"/>
        </w:rPr>
        <w:t>лютого</w:t>
      </w:r>
      <w:r w:rsidR="00216AD8" w:rsidRPr="00582376">
        <w:rPr>
          <w:rFonts w:ascii="Times New Roman" w:hAnsi="Times New Roman"/>
          <w:sz w:val="28"/>
          <w:szCs w:val="28"/>
        </w:rPr>
        <w:t> 202</w:t>
      </w:r>
      <w:r w:rsidR="00216AD8">
        <w:rPr>
          <w:rFonts w:ascii="Times New Roman" w:hAnsi="Times New Roman"/>
          <w:sz w:val="28"/>
          <w:szCs w:val="28"/>
        </w:rPr>
        <w:t>6</w:t>
      </w:r>
      <w:r w:rsidR="00216AD8" w:rsidRPr="00582376">
        <w:rPr>
          <w:rFonts w:ascii="Times New Roman" w:hAnsi="Times New Roman"/>
          <w:sz w:val="28"/>
          <w:szCs w:val="28"/>
        </w:rPr>
        <w:t xml:space="preserve"> року – 25 постачальників універсальних послуг</w:t>
      </w:r>
      <w:r w:rsidR="00216AD8">
        <w:rPr>
          <w:rFonts w:ascii="Times New Roman" w:hAnsi="Times New Roman"/>
          <w:sz w:val="28"/>
          <w:szCs w:val="28"/>
        </w:rPr>
        <w:t>,</w:t>
      </w:r>
      <w:r w:rsidR="00216AD8" w:rsidRPr="00F04312">
        <w:rPr>
          <w:rFonts w:ascii="Times New Roman" w:hAnsi="Times New Roman"/>
          <w:sz w:val="28"/>
          <w:szCs w:val="28"/>
        </w:rPr>
        <w:t xml:space="preserve"> </w:t>
      </w:r>
      <w:r w:rsidR="006201FF" w:rsidRPr="00F04312">
        <w:rPr>
          <w:rFonts w:ascii="Times New Roman" w:hAnsi="Times New Roman"/>
          <w:sz w:val="28"/>
          <w:szCs w:val="28"/>
        </w:rPr>
        <w:t>постачальника «останньої надії», побутових споживачів (крім випадків застосування фіксованих цін на електричну енергію за рішенням Кабінету Міністрів України в рамках покладення спеціальних обов’язків) та непобутових споживачів у випадках, передбачених статтею 64 Закону та Правилами роздрібного ринку електричної енергії, затвердженими постановою НКРЕКП від 14.03.2018 № 312</w:t>
      </w:r>
      <w:r w:rsidR="00D90858" w:rsidRPr="00582376">
        <w:rPr>
          <w:rFonts w:ascii="Times New Roman" w:hAnsi="Times New Roman"/>
          <w:sz w:val="28"/>
          <w:szCs w:val="28"/>
        </w:rPr>
        <w:t>;</w:t>
      </w:r>
    </w:p>
    <w:p w14:paraId="484B3771" w14:textId="5D215A3A" w:rsidR="00DC1500" w:rsidRPr="005C6D06" w:rsidRDefault="00D90858" w:rsidP="008915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56BE4" w:rsidRPr="005C6D06">
        <w:rPr>
          <w:rFonts w:ascii="Times New Roman" w:hAnsi="Times New Roman" w:cs="Times New Roman"/>
          <w:sz w:val="28"/>
          <w:szCs w:val="28"/>
        </w:rPr>
        <w:t>) </w:t>
      </w:r>
      <w:r w:rsidR="00DC1500" w:rsidRPr="005C6D06">
        <w:rPr>
          <w:rFonts w:ascii="Times New Roman" w:hAnsi="Times New Roman" w:cs="Times New Roman"/>
          <w:sz w:val="28"/>
          <w:szCs w:val="28"/>
        </w:rPr>
        <w:t xml:space="preserve">рівнем поінформованості суб’єктів господарювання та/або фізичних осіб з основних положень </w:t>
      </w:r>
      <w:proofErr w:type="spellStart"/>
      <w:r w:rsidR="00DC1500"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DC1500" w:rsidRPr="005C6D06">
        <w:rPr>
          <w:rFonts w:ascii="Times New Roman" w:hAnsi="Times New Roman" w:cs="Times New Roman"/>
          <w:sz w:val="28"/>
          <w:szCs w:val="28"/>
        </w:rPr>
        <w:t xml:space="preserve"> </w:t>
      </w:r>
      <w:r w:rsidR="00B26044" w:rsidRPr="005C6D06">
        <w:rPr>
          <w:rFonts w:ascii="Times New Roman" w:hAnsi="Times New Roman" w:cs="Times New Roman"/>
          <w:sz w:val="28"/>
          <w:szCs w:val="28"/>
        </w:rPr>
        <w:t xml:space="preserve">– </w:t>
      </w:r>
      <w:r w:rsidR="00DC1500" w:rsidRPr="005C6D06">
        <w:rPr>
          <w:rFonts w:ascii="Times New Roman" w:hAnsi="Times New Roman" w:cs="Times New Roman"/>
          <w:sz w:val="28"/>
          <w:szCs w:val="28"/>
        </w:rPr>
        <w:t xml:space="preserve">середній. </w:t>
      </w:r>
    </w:p>
    <w:p w14:paraId="089ACEAF" w14:textId="1D57700F" w:rsidR="00DC1500" w:rsidRPr="005C6D06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Відповідно до статті 15 Закону України «Про Національну комісію, що здійснює державне регулювання у сферах енергетики та комунальних послуг»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про</w:t>
      </w:r>
      <w:r w:rsidR="008C6D40" w:rsidRPr="005C6D06">
        <w:rPr>
          <w:rFonts w:ascii="Times New Roman" w:hAnsi="Times New Roman" w:cs="Times New Roman"/>
          <w:sz w:val="28"/>
          <w:szCs w:val="28"/>
        </w:rPr>
        <w:t>є</w:t>
      </w:r>
      <w:r w:rsidRPr="005C6D06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C6D06">
        <w:rPr>
          <w:rFonts w:ascii="Times New Roman" w:hAnsi="Times New Roman" w:cs="Times New Roman"/>
          <w:sz w:val="28"/>
          <w:szCs w:val="28"/>
        </w:rPr>
        <w:t xml:space="preserve"> постанови НКРЕКП </w:t>
      </w:r>
      <w:r w:rsidR="009C561D" w:rsidRPr="005C6D06">
        <w:rPr>
          <w:rFonts w:ascii="Times New Roman" w:hAnsi="Times New Roman" w:cs="Times New Roman"/>
          <w:sz w:val="28"/>
          <w:szCs w:val="28"/>
        </w:rPr>
        <w:t>«</w:t>
      </w:r>
      <w:r w:rsidR="00216AD8" w:rsidRPr="006201FF">
        <w:rPr>
          <w:rFonts w:ascii="Times New Roman" w:hAnsi="Times New Roman" w:cs="Times New Roman"/>
          <w:sz w:val="28"/>
          <w:szCs w:val="28"/>
        </w:rPr>
        <w:t>Про внесення змін до деяких постанов НКРЕКП</w:t>
      </w:r>
      <w:r w:rsidR="009C561D" w:rsidRPr="005C6D06">
        <w:rPr>
          <w:rFonts w:ascii="Times New Roman" w:hAnsi="Times New Roman" w:cs="Times New Roman"/>
          <w:sz w:val="28"/>
          <w:szCs w:val="28"/>
        </w:rPr>
        <w:t>»</w:t>
      </w:r>
      <w:r w:rsidR="003B2344" w:rsidRPr="005C6D06">
        <w:rPr>
          <w:rFonts w:ascii="Times New Roman" w:hAnsi="Times New Roman" w:cs="Times New Roman"/>
          <w:sz w:val="28"/>
          <w:szCs w:val="28"/>
        </w:rPr>
        <w:t xml:space="preserve">, </w:t>
      </w:r>
      <w:r w:rsidRPr="005C6D06">
        <w:rPr>
          <w:rFonts w:ascii="Times New Roman" w:hAnsi="Times New Roman" w:cs="Times New Roman"/>
          <w:sz w:val="28"/>
          <w:szCs w:val="28"/>
        </w:rPr>
        <w:t xml:space="preserve">аналіз впливу рішення НКРЕКП, що має ознаки регуляторного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1228F1" w:rsidRPr="005C6D06">
        <w:rPr>
          <w:rFonts w:ascii="Times New Roman" w:hAnsi="Times New Roman" w:cs="Times New Roman"/>
          <w:sz w:val="28"/>
          <w:szCs w:val="28"/>
        </w:rPr>
        <w:t>,</w:t>
      </w:r>
      <w:r w:rsidRPr="005C6D06">
        <w:rPr>
          <w:rFonts w:ascii="Times New Roman" w:hAnsi="Times New Roman" w:cs="Times New Roman"/>
          <w:sz w:val="28"/>
          <w:szCs w:val="28"/>
        </w:rPr>
        <w:t xml:space="preserve"> та повідомлення про оприлюднення розміщено на офіційному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5C6D06">
        <w:rPr>
          <w:rFonts w:ascii="Times New Roman" w:hAnsi="Times New Roman" w:cs="Times New Roman"/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послуг, </w:t>
      </w:r>
      <w:r w:rsidR="008B5D3C">
        <w:rPr>
          <w:rFonts w:ascii="Times New Roman" w:hAnsi="Times New Roman" w:cs="Times New Roman"/>
          <w:sz w:val="28"/>
          <w:szCs w:val="28"/>
        </w:rPr>
        <w:t xml:space="preserve">у </w:t>
      </w:r>
      <w:r w:rsidRPr="005C6D06">
        <w:rPr>
          <w:rFonts w:ascii="Times New Roman" w:hAnsi="Times New Roman" w:cs="Times New Roman"/>
          <w:sz w:val="28"/>
          <w:szCs w:val="28"/>
        </w:rPr>
        <w:t xml:space="preserve">мережі Інтернет </w:t>
      </w:r>
      <w:r w:rsidR="00B26044" w:rsidRPr="005C6D06">
        <w:rPr>
          <w:rFonts w:ascii="Times New Roman" w:hAnsi="Times New Roman" w:cs="Times New Roman"/>
          <w:sz w:val="28"/>
          <w:szCs w:val="28"/>
        </w:rPr>
        <w:t xml:space="preserve">за посиланням: </w:t>
      </w:r>
      <w:r w:rsidRPr="005C6D06">
        <w:rPr>
          <w:rFonts w:ascii="Times New Roman" w:hAnsi="Times New Roman" w:cs="Times New Roman"/>
          <w:sz w:val="28"/>
          <w:szCs w:val="28"/>
        </w:rPr>
        <w:t xml:space="preserve">http://nerc.gov.ua. </w:t>
      </w:r>
    </w:p>
    <w:p w14:paraId="35F7C0E1" w14:textId="77777777" w:rsidR="00B26044" w:rsidRPr="005C6D06" w:rsidRDefault="00DC1500" w:rsidP="00DC675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НКРЕКП у межах компетенції надає необ</w:t>
      </w:r>
      <w:r w:rsidR="008C6D40" w:rsidRPr="005C6D06">
        <w:rPr>
          <w:rFonts w:ascii="Times New Roman" w:hAnsi="Times New Roman" w:cs="Times New Roman"/>
          <w:sz w:val="28"/>
          <w:szCs w:val="28"/>
        </w:rPr>
        <w:t>хідні роз’яснення щодо норм проє</w:t>
      </w:r>
      <w:r w:rsidRPr="005C6D06">
        <w:rPr>
          <w:rFonts w:ascii="Times New Roman" w:hAnsi="Times New Roman" w:cs="Times New Roman"/>
          <w:sz w:val="28"/>
          <w:szCs w:val="28"/>
        </w:rPr>
        <w:t xml:space="preserve">кту регуляторного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5C6D06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5C6D06">
        <w:rPr>
          <w:rFonts w:ascii="Times New Roman" w:hAnsi="Times New Roman" w:cs="Times New Roman"/>
          <w:sz w:val="28"/>
          <w:szCs w:val="28"/>
        </w:rPr>
        <w:t xml:space="preserve">, який буде </w:t>
      </w:r>
      <w:r w:rsidR="001228F1" w:rsidRPr="005C6D06">
        <w:rPr>
          <w:rFonts w:ascii="Times New Roman" w:hAnsi="Times New Roman" w:cs="Times New Roman"/>
          <w:sz w:val="28"/>
          <w:szCs w:val="28"/>
        </w:rPr>
        <w:t xml:space="preserve">оприлюднено </w:t>
      </w:r>
      <w:r w:rsidR="00B26044" w:rsidRPr="005C6D06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B26044" w:rsidRPr="005C6D06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B26044" w:rsidRPr="005C6D06">
        <w:rPr>
          <w:rFonts w:ascii="Times New Roman" w:hAnsi="Times New Roman" w:cs="Times New Roman"/>
          <w:sz w:val="28"/>
          <w:szCs w:val="28"/>
        </w:rPr>
        <w:t xml:space="preserve"> </w:t>
      </w:r>
      <w:r w:rsidR="001228F1" w:rsidRPr="005C6D06">
        <w:rPr>
          <w:rFonts w:ascii="Times New Roman" w:hAnsi="Times New Roman" w:cs="Times New Roman"/>
          <w:sz w:val="28"/>
          <w:szCs w:val="28"/>
        </w:rPr>
        <w:t>НКРЕКП після його прийняття</w:t>
      </w:r>
      <w:r w:rsidR="00B26044" w:rsidRPr="005C6D06">
        <w:rPr>
          <w:rFonts w:ascii="Times New Roman" w:hAnsi="Times New Roman" w:cs="Times New Roman"/>
          <w:sz w:val="28"/>
          <w:szCs w:val="28"/>
        </w:rPr>
        <w:t>.</w:t>
      </w:r>
    </w:p>
    <w:p w14:paraId="18535487" w14:textId="7195DC8E" w:rsidR="00375422" w:rsidRPr="005C6D06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164C40" w14:textId="777777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VII</w:t>
      </w:r>
      <w:r w:rsidRPr="005C6D06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5C6D0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C6D0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5C6D06">
        <w:rPr>
          <w:rFonts w:ascii="Times New Roman" w:hAnsi="Times New Roman" w:cs="Times New Roman"/>
          <w:b/>
          <w:bCs/>
          <w:sz w:val="28"/>
          <w:szCs w:val="28"/>
        </w:rPr>
        <w:t xml:space="preserve">Очікуванні результати прийняття регуляторного </w:t>
      </w:r>
      <w:proofErr w:type="spellStart"/>
      <w:r w:rsidRPr="005C6D06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74781CF9" w14:textId="77777777" w:rsidR="00DC1500" w:rsidRPr="005C6D06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CCF0F19" w14:textId="70C9D999" w:rsidR="006201FF" w:rsidRDefault="006201FF" w:rsidP="006201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4312">
        <w:rPr>
          <w:rFonts w:ascii="Times New Roman" w:hAnsi="Times New Roman"/>
          <w:sz w:val="28"/>
          <w:szCs w:val="28"/>
        </w:rPr>
        <w:t>Результатом прийняття постанови НКРЕКП «</w:t>
      </w:r>
      <w:r w:rsidRPr="006201FF">
        <w:rPr>
          <w:rFonts w:ascii="Times New Roman" w:hAnsi="Times New Roman" w:cs="Times New Roman"/>
          <w:sz w:val="28"/>
          <w:szCs w:val="28"/>
        </w:rPr>
        <w:t>Про внесення змін до деяких постанов НКРЕКП</w:t>
      </w:r>
      <w:r w:rsidRPr="00F04312">
        <w:rPr>
          <w:rFonts w:ascii="Times New Roman" w:hAnsi="Times New Roman"/>
          <w:sz w:val="28"/>
          <w:szCs w:val="28"/>
        </w:rPr>
        <w:t>» має стати</w:t>
      </w:r>
      <w:r>
        <w:rPr>
          <w:rFonts w:ascii="Times New Roman" w:hAnsi="Times New Roman"/>
          <w:sz w:val="28"/>
          <w:szCs w:val="28"/>
        </w:rPr>
        <w:t>:</w:t>
      </w:r>
    </w:p>
    <w:p w14:paraId="3E2AF15F" w14:textId="1337AD8F" w:rsidR="006201FF" w:rsidRDefault="006201FF" w:rsidP="006201F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E43">
        <w:rPr>
          <w:rFonts w:ascii="Times New Roman" w:hAnsi="Times New Roman"/>
          <w:sz w:val="28"/>
          <w:szCs w:val="28"/>
        </w:rPr>
        <w:t xml:space="preserve">удосконалення </w:t>
      </w:r>
      <w:r w:rsidRPr="00B32C8C">
        <w:rPr>
          <w:rFonts w:ascii="Times New Roman" w:hAnsi="Times New Roman"/>
          <w:sz w:val="28"/>
          <w:szCs w:val="28"/>
        </w:rPr>
        <w:t xml:space="preserve">механізму розрахунку ціни на універсальні послуги в частині </w:t>
      </w:r>
      <w:r w:rsidRPr="00331316">
        <w:rPr>
          <w:rFonts w:ascii="Times New Roman" w:hAnsi="Times New Roman" w:cs="Times New Roman"/>
          <w:bCs/>
          <w:sz w:val="28"/>
          <w:szCs w:val="28"/>
        </w:rPr>
        <w:t xml:space="preserve">застосування середньоарифметичного значення декадних індексів </w:t>
      </w:r>
      <w:r w:rsidRPr="00331316">
        <w:rPr>
          <w:rFonts w:ascii="Times New Roman" w:hAnsi="Times New Roman" w:cs="Times New Roman"/>
          <w:bCs/>
          <w:sz w:val="28"/>
          <w:szCs w:val="28"/>
        </w:rPr>
        <w:lastRenderedPageBreak/>
        <w:t>базового навантаження на ринку двосторонніх договорів</w:t>
      </w:r>
      <w:r w:rsidR="007A3DCD">
        <w:rPr>
          <w:rFonts w:ascii="Times New Roman" w:hAnsi="Times New Roman" w:cs="Times New Roman"/>
          <w:bCs/>
          <w:sz w:val="28"/>
          <w:szCs w:val="28"/>
        </w:rPr>
        <w:t>,</w:t>
      </w:r>
      <w:r w:rsidRPr="006201FF">
        <w:rPr>
          <w:rFonts w:ascii="Times New Roman" w:hAnsi="Times New Roman" w:cs="Times New Roman"/>
          <w:sz w:val="28"/>
          <w:szCs w:val="28"/>
        </w:rPr>
        <w:t xml:space="preserve"> </w:t>
      </w:r>
      <w:r w:rsidRPr="00034ACD">
        <w:rPr>
          <w:rFonts w:ascii="Times New Roman" w:hAnsi="Times New Roman" w:cs="Times New Roman"/>
          <w:sz w:val="28"/>
          <w:szCs w:val="28"/>
        </w:rPr>
        <w:t>при розрахунку</w:t>
      </w:r>
      <w:r w:rsidRPr="00331316">
        <w:rPr>
          <w:rFonts w:ascii="Times New Roman" w:hAnsi="Times New Roman" w:cs="Times New Roman"/>
          <w:bCs/>
          <w:sz w:val="28"/>
          <w:szCs w:val="28"/>
        </w:rPr>
        <w:t xml:space="preserve"> ціни закупівлі електричної енергії на ринку електричної енергії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328FC452" w14:textId="6E49A8D3" w:rsidR="006201FF" w:rsidRPr="00F04312" w:rsidRDefault="006201FF" w:rsidP="00620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312">
        <w:rPr>
          <w:rFonts w:ascii="Times New Roman" w:hAnsi="Times New Roman" w:cs="Times New Roman"/>
          <w:sz w:val="28"/>
          <w:szCs w:val="28"/>
        </w:rPr>
        <w:t>забезпечення відповідності положень Порядку</w:t>
      </w:r>
      <w:r w:rsidR="00497BD4">
        <w:rPr>
          <w:rFonts w:ascii="Times New Roman" w:hAnsi="Times New Roman" w:cs="Times New Roman"/>
          <w:sz w:val="28"/>
          <w:szCs w:val="28"/>
        </w:rPr>
        <w:t xml:space="preserve"> № 1179</w:t>
      </w:r>
      <w:r w:rsidRPr="00F04312">
        <w:rPr>
          <w:rFonts w:ascii="Times New Roman" w:hAnsi="Times New Roman" w:cs="Times New Roman"/>
          <w:sz w:val="28"/>
          <w:szCs w:val="28"/>
        </w:rPr>
        <w:t xml:space="preserve"> в частині розрахунку ціни, за якою здійснюється постачання електричної енергії споживачам ПОН, вимогам</w:t>
      </w:r>
      <w:r w:rsidRPr="00F04312">
        <w:t xml:space="preserve"> </w:t>
      </w:r>
      <w:r w:rsidRPr="00F04312">
        <w:rPr>
          <w:rFonts w:ascii="Times New Roman" w:hAnsi="Times New Roman" w:cs="Times New Roman"/>
          <w:sz w:val="28"/>
          <w:szCs w:val="28"/>
        </w:rPr>
        <w:t xml:space="preserve">частини п’ятої статті 64 Закону щодо, зокрема економічної обґрунтованості такої ціни, а також </w:t>
      </w:r>
      <w:bookmarkStart w:id="1" w:name="_Hlk175581353"/>
      <w:r w:rsidRPr="00F04312">
        <w:rPr>
          <w:rFonts w:ascii="Times New Roman" w:hAnsi="Times New Roman" w:cs="Times New Roman"/>
          <w:sz w:val="28"/>
          <w:szCs w:val="28"/>
        </w:rPr>
        <w:t>недопущення погіршення фінансового становища ПОН</w:t>
      </w:r>
      <w:bookmarkEnd w:id="1"/>
      <w:r w:rsidRPr="00F04312">
        <w:rPr>
          <w:rFonts w:ascii="Times New Roman" w:hAnsi="Times New Roman" w:cs="Times New Roman"/>
          <w:sz w:val="28"/>
          <w:szCs w:val="28"/>
        </w:rPr>
        <w:t xml:space="preserve"> як одного з критично важливих учасників ринку електричної енергії, на якого покладені спеціальні обов’язки для забезпечення загальносуспільних інтересів у процесі функціонування ринку електричної енергії.</w:t>
      </w:r>
    </w:p>
    <w:p w14:paraId="33BA6DA2" w14:textId="13CA76B1" w:rsidR="00055385" w:rsidRPr="005C6D06" w:rsidRDefault="00055385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1C67A63" w14:textId="77777777" w:rsidR="008F2A82" w:rsidRPr="005C6D06" w:rsidRDefault="008F2A82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0CBFB0" w14:textId="41930EBB" w:rsidR="00DC1500" w:rsidRPr="00EC1C31" w:rsidRDefault="00DC1500" w:rsidP="00DC6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Голов</w:t>
      </w:r>
      <w:r w:rsidR="003B2344" w:rsidRPr="005C6D06">
        <w:rPr>
          <w:rFonts w:ascii="Times New Roman" w:hAnsi="Times New Roman" w:cs="Times New Roman"/>
          <w:sz w:val="28"/>
          <w:szCs w:val="28"/>
        </w:rPr>
        <w:t>а</w:t>
      </w:r>
      <w:r w:rsidRPr="005C6D06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="008F2A82" w:rsidRPr="005C6D06">
        <w:rPr>
          <w:rFonts w:ascii="Times New Roman" w:hAnsi="Times New Roman" w:cs="Times New Roman"/>
          <w:sz w:val="28"/>
          <w:szCs w:val="28"/>
        </w:rPr>
        <w:tab/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="003B6E93" w:rsidRPr="005C6D06">
        <w:rPr>
          <w:rFonts w:ascii="Times New Roman" w:hAnsi="Times New Roman" w:cs="Times New Roman"/>
          <w:sz w:val="28"/>
          <w:szCs w:val="28"/>
        </w:rPr>
        <w:t>Юрій ВЛАСЕНКО</w:t>
      </w:r>
    </w:p>
    <w:sectPr w:rsidR="00DC1500" w:rsidRPr="00EC1C31" w:rsidSect="00F5115C">
      <w:headerReference w:type="default" r:id="rId8"/>
      <w:pgSz w:w="11906" w:h="16838"/>
      <w:pgMar w:top="993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EF8CB" w14:textId="77777777" w:rsidR="00B862B0" w:rsidRDefault="00B862B0" w:rsidP="00B4485B">
      <w:pPr>
        <w:spacing w:after="0" w:line="240" w:lineRule="auto"/>
      </w:pPr>
      <w:r>
        <w:separator/>
      </w:r>
    </w:p>
  </w:endnote>
  <w:endnote w:type="continuationSeparator" w:id="0">
    <w:p w14:paraId="2E60D5F1" w14:textId="77777777" w:rsidR="00B862B0" w:rsidRDefault="00B862B0" w:rsidP="00B4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02CF0" w14:textId="77777777" w:rsidR="00B862B0" w:rsidRDefault="00B862B0" w:rsidP="00B4485B">
      <w:pPr>
        <w:spacing w:after="0" w:line="240" w:lineRule="auto"/>
      </w:pPr>
      <w:r>
        <w:separator/>
      </w:r>
    </w:p>
  </w:footnote>
  <w:footnote w:type="continuationSeparator" w:id="0">
    <w:p w14:paraId="79DB7D7E" w14:textId="77777777" w:rsidR="00B862B0" w:rsidRDefault="00B862B0" w:rsidP="00B4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52C88" w14:textId="77777777" w:rsidR="00A33081" w:rsidRPr="00D165E3" w:rsidRDefault="00A33081" w:rsidP="00D165E3">
    <w:pPr>
      <w:pStyle w:val="a4"/>
      <w:jc w:val="center"/>
      <w:rPr>
        <w:rFonts w:ascii="Times New Roman" w:hAnsi="Times New Roman" w:cs="Times New Roman"/>
      </w:rPr>
    </w:pPr>
    <w:r w:rsidRPr="00726447">
      <w:rPr>
        <w:rFonts w:ascii="Times New Roman" w:hAnsi="Times New Roman" w:cs="Times New Roman"/>
      </w:rPr>
      <w:fldChar w:fldCharType="begin"/>
    </w:r>
    <w:r w:rsidRPr="00726447">
      <w:rPr>
        <w:rFonts w:ascii="Times New Roman" w:hAnsi="Times New Roman" w:cs="Times New Roman"/>
      </w:rPr>
      <w:instrText>PAGE   \* MERGEFORMAT</w:instrText>
    </w:r>
    <w:r w:rsidRPr="00726447">
      <w:rPr>
        <w:rFonts w:ascii="Times New Roman" w:hAnsi="Times New Roman" w:cs="Times New Roman"/>
      </w:rPr>
      <w:fldChar w:fldCharType="separate"/>
    </w:r>
    <w:r w:rsidR="001F2F0B">
      <w:rPr>
        <w:rFonts w:ascii="Times New Roman" w:hAnsi="Times New Roman" w:cs="Times New Roman"/>
        <w:noProof/>
      </w:rPr>
      <w:t>7</w:t>
    </w:r>
    <w:r w:rsidRPr="00726447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516A"/>
    <w:multiLevelType w:val="hybridMultilevel"/>
    <w:tmpl w:val="5106CF48"/>
    <w:lvl w:ilvl="0" w:tplc="58FAEF5A">
      <w:start w:val="1"/>
      <w:numFmt w:val="decimal"/>
      <w:lvlText w:val="%1)"/>
      <w:lvlJc w:val="left"/>
      <w:pPr>
        <w:ind w:left="4330" w:hanging="360"/>
      </w:pPr>
      <w:rPr>
        <w:rFonts w:eastAsia="SimSun" w:cs="Latha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1F61642"/>
    <w:multiLevelType w:val="hybridMultilevel"/>
    <w:tmpl w:val="84E839AA"/>
    <w:lvl w:ilvl="0" w:tplc="0422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6" w15:restartNumberingAfterBreak="0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AD4"/>
    <w:rsid w:val="00000906"/>
    <w:rsid w:val="000011EF"/>
    <w:rsid w:val="00002C99"/>
    <w:rsid w:val="0001257D"/>
    <w:rsid w:val="00014069"/>
    <w:rsid w:val="00017848"/>
    <w:rsid w:val="00020178"/>
    <w:rsid w:val="000202EA"/>
    <w:rsid w:val="000217A1"/>
    <w:rsid w:val="000302DC"/>
    <w:rsid w:val="000317F3"/>
    <w:rsid w:val="00034654"/>
    <w:rsid w:val="00034ACD"/>
    <w:rsid w:val="000354E5"/>
    <w:rsid w:val="00036637"/>
    <w:rsid w:val="00042445"/>
    <w:rsid w:val="00046BA0"/>
    <w:rsid w:val="000534F1"/>
    <w:rsid w:val="00053BCF"/>
    <w:rsid w:val="00054881"/>
    <w:rsid w:val="00055385"/>
    <w:rsid w:val="00063F4C"/>
    <w:rsid w:val="000645D5"/>
    <w:rsid w:val="00065023"/>
    <w:rsid w:val="000678F4"/>
    <w:rsid w:val="00067F06"/>
    <w:rsid w:val="0007401F"/>
    <w:rsid w:val="00074111"/>
    <w:rsid w:val="00077764"/>
    <w:rsid w:val="000820F1"/>
    <w:rsid w:val="000834CE"/>
    <w:rsid w:val="00083AAB"/>
    <w:rsid w:val="000858E6"/>
    <w:rsid w:val="00085927"/>
    <w:rsid w:val="00087085"/>
    <w:rsid w:val="00092636"/>
    <w:rsid w:val="000938AE"/>
    <w:rsid w:val="000A4FA6"/>
    <w:rsid w:val="000A5556"/>
    <w:rsid w:val="000B0549"/>
    <w:rsid w:val="000B0574"/>
    <w:rsid w:val="000B0808"/>
    <w:rsid w:val="000B100A"/>
    <w:rsid w:val="000B3179"/>
    <w:rsid w:val="000B3619"/>
    <w:rsid w:val="000B3CCB"/>
    <w:rsid w:val="000B4E9E"/>
    <w:rsid w:val="000B6295"/>
    <w:rsid w:val="000C1767"/>
    <w:rsid w:val="000C37E4"/>
    <w:rsid w:val="000C69B3"/>
    <w:rsid w:val="000C77FE"/>
    <w:rsid w:val="000D3113"/>
    <w:rsid w:val="000D526A"/>
    <w:rsid w:val="000E0120"/>
    <w:rsid w:val="000E1F7F"/>
    <w:rsid w:val="000E374A"/>
    <w:rsid w:val="000E3DAA"/>
    <w:rsid w:val="000E5B56"/>
    <w:rsid w:val="000E6897"/>
    <w:rsid w:val="000F37C8"/>
    <w:rsid w:val="000F5926"/>
    <w:rsid w:val="000F72F6"/>
    <w:rsid w:val="000F7AA9"/>
    <w:rsid w:val="00101536"/>
    <w:rsid w:val="00101840"/>
    <w:rsid w:val="00101C39"/>
    <w:rsid w:val="00102EE6"/>
    <w:rsid w:val="00103458"/>
    <w:rsid w:val="0010349D"/>
    <w:rsid w:val="00106F29"/>
    <w:rsid w:val="001114F4"/>
    <w:rsid w:val="00112D23"/>
    <w:rsid w:val="00115EAB"/>
    <w:rsid w:val="00120A93"/>
    <w:rsid w:val="0012257B"/>
    <w:rsid w:val="001228F1"/>
    <w:rsid w:val="001325DB"/>
    <w:rsid w:val="00132723"/>
    <w:rsid w:val="00151E1F"/>
    <w:rsid w:val="0015200C"/>
    <w:rsid w:val="00157F95"/>
    <w:rsid w:val="00160780"/>
    <w:rsid w:val="00163C0C"/>
    <w:rsid w:val="00163E02"/>
    <w:rsid w:val="00166C04"/>
    <w:rsid w:val="00172AC3"/>
    <w:rsid w:val="00174909"/>
    <w:rsid w:val="00175E93"/>
    <w:rsid w:val="00177D27"/>
    <w:rsid w:val="001824CF"/>
    <w:rsid w:val="0018723A"/>
    <w:rsid w:val="001935AA"/>
    <w:rsid w:val="001A26D8"/>
    <w:rsid w:val="001A3EF0"/>
    <w:rsid w:val="001B21CF"/>
    <w:rsid w:val="001B30DA"/>
    <w:rsid w:val="001B321D"/>
    <w:rsid w:val="001B4AF1"/>
    <w:rsid w:val="001C00D5"/>
    <w:rsid w:val="001C3229"/>
    <w:rsid w:val="001C5354"/>
    <w:rsid w:val="001C5FB3"/>
    <w:rsid w:val="001C614E"/>
    <w:rsid w:val="001C6EAC"/>
    <w:rsid w:val="001D26DF"/>
    <w:rsid w:val="001D2835"/>
    <w:rsid w:val="001D3F4B"/>
    <w:rsid w:val="001D4709"/>
    <w:rsid w:val="001D69A1"/>
    <w:rsid w:val="001E11F5"/>
    <w:rsid w:val="001E19C3"/>
    <w:rsid w:val="001F1338"/>
    <w:rsid w:val="001F191E"/>
    <w:rsid w:val="001F1CE8"/>
    <w:rsid w:val="001F2F0B"/>
    <w:rsid w:val="001F5B1B"/>
    <w:rsid w:val="001F64D6"/>
    <w:rsid w:val="00205B59"/>
    <w:rsid w:val="002072B7"/>
    <w:rsid w:val="00211F05"/>
    <w:rsid w:val="00211F26"/>
    <w:rsid w:val="00216AD8"/>
    <w:rsid w:val="00217C9C"/>
    <w:rsid w:val="00227B11"/>
    <w:rsid w:val="002319A9"/>
    <w:rsid w:val="00234FAE"/>
    <w:rsid w:val="0023564D"/>
    <w:rsid w:val="00250B09"/>
    <w:rsid w:val="0025338E"/>
    <w:rsid w:val="00254B51"/>
    <w:rsid w:val="0025569A"/>
    <w:rsid w:val="00256259"/>
    <w:rsid w:val="00256BE4"/>
    <w:rsid w:val="00262D37"/>
    <w:rsid w:val="00264427"/>
    <w:rsid w:val="0026649E"/>
    <w:rsid w:val="00266989"/>
    <w:rsid w:val="00267A9C"/>
    <w:rsid w:val="00267E2F"/>
    <w:rsid w:val="00267F26"/>
    <w:rsid w:val="00272EDD"/>
    <w:rsid w:val="00285079"/>
    <w:rsid w:val="002912A1"/>
    <w:rsid w:val="00291960"/>
    <w:rsid w:val="00291B29"/>
    <w:rsid w:val="00291F0A"/>
    <w:rsid w:val="00292CE5"/>
    <w:rsid w:val="002947D7"/>
    <w:rsid w:val="002A62E0"/>
    <w:rsid w:val="002A7E1C"/>
    <w:rsid w:val="002B2D0F"/>
    <w:rsid w:val="002B53F1"/>
    <w:rsid w:val="002C457D"/>
    <w:rsid w:val="002C4681"/>
    <w:rsid w:val="002C7012"/>
    <w:rsid w:val="002D36B9"/>
    <w:rsid w:val="002D499C"/>
    <w:rsid w:val="002E2AB9"/>
    <w:rsid w:val="002E416D"/>
    <w:rsid w:val="002E5440"/>
    <w:rsid w:val="002F06AB"/>
    <w:rsid w:val="003028DB"/>
    <w:rsid w:val="00302CE2"/>
    <w:rsid w:val="00304C31"/>
    <w:rsid w:val="003061E1"/>
    <w:rsid w:val="00307298"/>
    <w:rsid w:val="0031498D"/>
    <w:rsid w:val="00314F6A"/>
    <w:rsid w:val="00316256"/>
    <w:rsid w:val="00321181"/>
    <w:rsid w:val="00322A23"/>
    <w:rsid w:val="00323313"/>
    <w:rsid w:val="003239F3"/>
    <w:rsid w:val="00324646"/>
    <w:rsid w:val="0032547B"/>
    <w:rsid w:val="00326E0B"/>
    <w:rsid w:val="00331316"/>
    <w:rsid w:val="00331518"/>
    <w:rsid w:val="003337AF"/>
    <w:rsid w:val="003342C9"/>
    <w:rsid w:val="00334726"/>
    <w:rsid w:val="003359CD"/>
    <w:rsid w:val="003365B9"/>
    <w:rsid w:val="0034529E"/>
    <w:rsid w:val="00345833"/>
    <w:rsid w:val="00346BBB"/>
    <w:rsid w:val="003474B3"/>
    <w:rsid w:val="003500CC"/>
    <w:rsid w:val="003522C9"/>
    <w:rsid w:val="00353168"/>
    <w:rsid w:val="0035567D"/>
    <w:rsid w:val="00360D00"/>
    <w:rsid w:val="00363DC0"/>
    <w:rsid w:val="00373912"/>
    <w:rsid w:val="00375422"/>
    <w:rsid w:val="00376D71"/>
    <w:rsid w:val="00377979"/>
    <w:rsid w:val="003800B0"/>
    <w:rsid w:val="0038060B"/>
    <w:rsid w:val="00381B8C"/>
    <w:rsid w:val="00393932"/>
    <w:rsid w:val="003949CC"/>
    <w:rsid w:val="00394B81"/>
    <w:rsid w:val="003A142D"/>
    <w:rsid w:val="003A31DF"/>
    <w:rsid w:val="003A4CA7"/>
    <w:rsid w:val="003A5A9C"/>
    <w:rsid w:val="003B1240"/>
    <w:rsid w:val="003B2344"/>
    <w:rsid w:val="003B35F2"/>
    <w:rsid w:val="003B6E93"/>
    <w:rsid w:val="003C0664"/>
    <w:rsid w:val="003D09C5"/>
    <w:rsid w:val="003D5282"/>
    <w:rsid w:val="003D5AF7"/>
    <w:rsid w:val="003D7395"/>
    <w:rsid w:val="003E095C"/>
    <w:rsid w:val="003E1A1E"/>
    <w:rsid w:val="003E7DCD"/>
    <w:rsid w:val="004008AD"/>
    <w:rsid w:val="00405F7B"/>
    <w:rsid w:val="00410F64"/>
    <w:rsid w:val="00411CCB"/>
    <w:rsid w:val="004136D7"/>
    <w:rsid w:val="00417143"/>
    <w:rsid w:val="004326DB"/>
    <w:rsid w:val="00441CBF"/>
    <w:rsid w:val="00444E09"/>
    <w:rsid w:val="004473EE"/>
    <w:rsid w:val="0044796E"/>
    <w:rsid w:val="0045238D"/>
    <w:rsid w:val="00452DE6"/>
    <w:rsid w:val="00457587"/>
    <w:rsid w:val="00467E94"/>
    <w:rsid w:val="0047038C"/>
    <w:rsid w:val="004714F0"/>
    <w:rsid w:val="00476B9E"/>
    <w:rsid w:val="0048072B"/>
    <w:rsid w:val="004816F9"/>
    <w:rsid w:val="00483555"/>
    <w:rsid w:val="00486E66"/>
    <w:rsid w:val="00487B55"/>
    <w:rsid w:val="00491849"/>
    <w:rsid w:val="00493E17"/>
    <w:rsid w:val="00495612"/>
    <w:rsid w:val="00495F36"/>
    <w:rsid w:val="00497BD4"/>
    <w:rsid w:val="004A1C5D"/>
    <w:rsid w:val="004A4623"/>
    <w:rsid w:val="004A7F3E"/>
    <w:rsid w:val="004B000D"/>
    <w:rsid w:val="004B429B"/>
    <w:rsid w:val="004B7026"/>
    <w:rsid w:val="004B7DDC"/>
    <w:rsid w:val="004C290A"/>
    <w:rsid w:val="004D15A4"/>
    <w:rsid w:val="004E06D1"/>
    <w:rsid w:val="004E1269"/>
    <w:rsid w:val="004E23E9"/>
    <w:rsid w:val="004E2EFB"/>
    <w:rsid w:val="004E7252"/>
    <w:rsid w:val="004E7298"/>
    <w:rsid w:val="00501CDA"/>
    <w:rsid w:val="005050CE"/>
    <w:rsid w:val="005070C1"/>
    <w:rsid w:val="00523926"/>
    <w:rsid w:val="00524579"/>
    <w:rsid w:val="00524F83"/>
    <w:rsid w:val="00526105"/>
    <w:rsid w:val="00531C01"/>
    <w:rsid w:val="0053670C"/>
    <w:rsid w:val="0055215E"/>
    <w:rsid w:val="005539A8"/>
    <w:rsid w:val="00554C67"/>
    <w:rsid w:val="005554FD"/>
    <w:rsid w:val="0055596E"/>
    <w:rsid w:val="0056222A"/>
    <w:rsid w:val="00562A6B"/>
    <w:rsid w:val="005647CE"/>
    <w:rsid w:val="00565D81"/>
    <w:rsid w:val="00570109"/>
    <w:rsid w:val="0057175A"/>
    <w:rsid w:val="00577C13"/>
    <w:rsid w:val="005819C0"/>
    <w:rsid w:val="00581BA8"/>
    <w:rsid w:val="00583613"/>
    <w:rsid w:val="00592E5F"/>
    <w:rsid w:val="005977A2"/>
    <w:rsid w:val="005A31FB"/>
    <w:rsid w:val="005A3439"/>
    <w:rsid w:val="005A6A4B"/>
    <w:rsid w:val="005A73AF"/>
    <w:rsid w:val="005A77E4"/>
    <w:rsid w:val="005B080F"/>
    <w:rsid w:val="005B322E"/>
    <w:rsid w:val="005B4C3F"/>
    <w:rsid w:val="005B78AF"/>
    <w:rsid w:val="005C1692"/>
    <w:rsid w:val="005C3ADD"/>
    <w:rsid w:val="005C59BB"/>
    <w:rsid w:val="005C6D06"/>
    <w:rsid w:val="005D4D24"/>
    <w:rsid w:val="005D7AFC"/>
    <w:rsid w:val="005E17E0"/>
    <w:rsid w:val="005E40E9"/>
    <w:rsid w:val="005E5A4E"/>
    <w:rsid w:val="005E67C9"/>
    <w:rsid w:val="005F132C"/>
    <w:rsid w:val="005F5595"/>
    <w:rsid w:val="005F5AD4"/>
    <w:rsid w:val="00607D72"/>
    <w:rsid w:val="006110F1"/>
    <w:rsid w:val="00611E39"/>
    <w:rsid w:val="00616112"/>
    <w:rsid w:val="006201FF"/>
    <w:rsid w:val="00621A84"/>
    <w:rsid w:val="006238DE"/>
    <w:rsid w:val="00627571"/>
    <w:rsid w:val="00633CA7"/>
    <w:rsid w:val="00640C31"/>
    <w:rsid w:val="006428F3"/>
    <w:rsid w:val="00646E30"/>
    <w:rsid w:val="006476F3"/>
    <w:rsid w:val="00647B23"/>
    <w:rsid w:val="00650A25"/>
    <w:rsid w:val="00651D66"/>
    <w:rsid w:val="00652CDA"/>
    <w:rsid w:val="00654145"/>
    <w:rsid w:val="00654DC5"/>
    <w:rsid w:val="00656225"/>
    <w:rsid w:val="00665CB5"/>
    <w:rsid w:val="00667E06"/>
    <w:rsid w:val="00671172"/>
    <w:rsid w:val="006777CE"/>
    <w:rsid w:val="006841C4"/>
    <w:rsid w:val="00691E9B"/>
    <w:rsid w:val="00692E34"/>
    <w:rsid w:val="00693DA7"/>
    <w:rsid w:val="0069411C"/>
    <w:rsid w:val="0069722E"/>
    <w:rsid w:val="006A0B68"/>
    <w:rsid w:val="006A2271"/>
    <w:rsid w:val="006A2CB3"/>
    <w:rsid w:val="006A5211"/>
    <w:rsid w:val="006A59E0"/>
    <w:rsid w:val="006A6E45"/>
    <w:rsid w:val="006B2454"/>
    <w:rsid w:val="006B3D12"/>
    <w:rsid w:val="006B5D4A"/>
    <w:rsid w:val="006C13C0"/>
    <w:rsid w:val="006C3047"/>
    <w:rsid w:val="006C6877"/>
    <w:rsid w:val="006C6F99"/>
    <w:rsid w:val="006D34FB"/>
    <w:rsid w:val="006D7149"/>
    <w:rsid w:val="006E0672"/>
    <w:rsid w:val="006E1745"/>
    <w:rsid w:val="0070151A"/>
    <w:rsid w:val="007048F0"/>
    <w:rsid w:val="00704AF5"/>
    <w:rsid w:val="0071152E"/>
    <w:rsid w:val="0071464F"/>
    <w:rsid w:val="007218AB"/>
    <w:rsid w:val="00723FE8"/>
    <w:rsid w:val="00725546"/>
    <w:rsid w:val="00725D1D"/>
    <w:rsid w:val="00726447"/>
    <w:rsid w:val="00730A38"/>
    <w:rsid w:val="00735994"/>
    <w:rsid w:val="007367A4"/>
    <w:rsid w:val="00737985"/>
    <w:rsid w:val="00743C04"/>
    <w:rsid w:val="007466BB"/>
    <w:rsid w:val="00746BF0"/>
    <w:rsid w:val="00752E85"/>
    <w:rsid w:val="00755F9A"/>
    <w:rsid w:val="0076065C"/>
    <w:rsid w:val="00760BBD"/>
    <w:rsid w:val="007637D5"/>
    <w:rsid w:val="0077202A"/>
    <w:rsid w:val="00772241"/>
    <w:rsid w:val="00774C7B"/>
    <w:rsid w:val="00781CFE"/>
    <w:rsid w:val="00782AC3"/>
    <w:rsid w:val="00791BB7"/>
    <w:rsid w:val="007927C0"/>
    <w:rsid w:val="007A274A"/>
    <w:rsid w:val="007A3418"/>
    <w:rsid w:val="007A3DCD"/>
    <w:rsid w:val="007A5AAE"/>
    <w:rsid w:val="007A7EE2"/>
    <w:rsid w:val="007B07B3"/>
    <w:rsid w:val="007B0D8A"/>
    <w:rsid w:val="007B1CB2"/>
    <w:rsid w:val="007B5019"/>
    <w:rsid w:val="007B71D9"/>
    <w:rsid w:val="007B73B9"/>
    <w:rsid w:val="007C02AE"/>
    <w:rsid w:val="007C110F"/>
    <w:rsid w:val="007C355D"/>
    <w:rsid w:val="007C3B0E"/>
    <w:rsid w:val="007C78DC"/>
    <w:rsid w:val="007D0C1D"/>
    <w:rsid w:val="007D2061"/>
    <w:rsid w:val="007D2972"/>
    <w:rsid w:val="007E249F"/>
    <w:rsid w:val="007E49B1"/>
    <w:rsid w:val="007E639D"/>
    <w:rsid w:val="007E7663"/>
    <w:rsid w:val="007F128D"/>
    <w:rsid w:val="007F2C6A"/>
    <w:rsid w:val="00802EF7"/>
    <w:rsid w:val="008163CB"/>
    <w:rsid w:val="00817BEB"/>
    <w:rsid w:val="008223F7"/>
    <w:rsid w:val="0082428B"/>
    <w:rsid w:val="00826696"/>
    <w:rsid w:val="00827084"/>
    <w:rsid w:val="00827280"/>
    <w:rsid w:val="00833DA0"/>
    <w:rsid w:val="008366E2"/>
    <w:rsid w:val="00836AB9"/>
    <w:rsid w:val="008409A6"/>
    <w:rsid w:val="008419B3"/>
    <w:rsid w:val="008465E0"/>
    <w:rsid w:val="008509EE"/>
    <w:rsid w:val="00852845"/>
    <w:rsid w:val="00852A4C"/>
    <w:rsid w:val="008651AB"/>
    <w:rsid w:val="00865D3F"/>
    <w:rsid w:val="00867969"/>
    <w:rsid w:val="008726FF"/>
    <w:rsid w:val="00872DB8"/>
    <w:rsid w:val="0087366F"/>
    <w:rsid w:val="0087391A"/>
    <w:rsid w:val="00876C6C"/>
    <w:rsid w:val="00877806"/>
    <w:rsid w:val="00881E32"/>
    <w:rsid w:val="00882408"/>
    <w:rsid w:val="00884B7C"/>
    <w:rsid w:val="00886B09"/>
    <w:rsid w:val="00891511"/>
    <w:rsid w:val="0089450D"/>
    <w:rsid w:val="008A3DA4"/>
    <w:rsid w:val="008A56C3"/>
    <w:rsid w:val="008B074C"/>
    <w:rsid w:val="008B222D"/>
    <w:rsid w:val="008B2A04"/>
    <w:rsid w:val="008B343D"/>
    <w:rsid w:val="008B4F44"/>
    <w:rsid w:val="008B5CD7"/>
    <w:rsid w:val="008B5D3C"/>
    <w:rsid w:val="008C566E"/>
    <w:rsid w:val="008C6D40"/>
    <w:rsid w:val="008D2BBB"/>
    <w:rsid w:val="008D65DE"/>
    <w:rsid w:val="008E0C3A"/>
    <w:rsid w:val="008E0FD9"/>
    <w:rsid w:val="008E1C45"/>
    <w:rsid w:val="008E4216"/>
    <w:rsid w:val="008E497D"/>
    <w:rsid w:val="008E4C33"/>
    <w:rsid w:val="008E7528"/>
    <w:rsid w:val="008F0321"/>
    <w:rsid w:val="008F1C2A"/>
    <w:rsid w:val="008F2126"/>
    <w:rsid w:val="008F2A82"/>
    <w:rsid w:val="008F37C0"/>
    <w:rsid w:val="008F4F11"/>
    <w:rsid w:val="008F5F46"/>
    <w:rsid w:val="008F5FE4"/>
    <w:rsid w:val="0090320B"/>
    <w:rsid w:val="0090639B"/>
    <w:rsid w:val="009077EA"/>
    <w:rsid w:val="00911D9D"/>
    <w:rsid w:val="00916D13"/>
    <w:rsid w:val="00922020"/>
    <w:rsid w:val="009224A2"/>
    <w:rsid w:val="00941420"/>
    <w:rsid w:val="00943DFD"/>
    <w:rsid w:val="00944C00"/>
    <w:rsid w:val="00950C76"/>
    <w:rsid w:val="009513DC"/>
    <w:rsid w:val="00952CC7"/>
    <w:rsid w:val="00954D36"/>
    <w:rsid w:val="00955F99"/>
    <w:rsid w:val="009564EF"/>
    <w:rsid w:val="00956C42"/>
    <w:rsid w:val="009626AB"/>
    <w:rsid w:val="00964FAC"/>
    <w:rsid w:val="00967B55"/>
    <w:rsid w:val="00970C37"/>
    <w:rsid w:val="00971777"/>
    <w:rsid w:val="0097534C"/>
    <w:rsid w:val="009809E9"/>
    <w:rsid w:val="00984516"/>
    <w:rsid w:val="00984F6C"/>
    <w:rsid w:val="00992CE4"/>
    <w:rsid w:val="009946E7"/>
    <w:rsid w:val="009969E1"/>
    <w:rsid w:val="009978D5"/>
    <w:rsid w:val="009979CF"/>
    <w:rsid w:val="009A4763"/>
    <w:rsid w:val="009A54AC"/>
    <w:rsid w:val="009A5C54"/>
    <w:rsid w:val="009B1236"/>
    <w:rsid w:val="009B2ADE"/>
    <w:rsid w:val="009B3293"/>
    <w:rsid w:val="009B45AF"/>
    <w:rsid w:val="009B4F29"/>
    <w:rsid w:val="009B62EB"/>
    <w:rsid w:val="009B7C4D"/>
    <w:rsid w:val="009C1292"/>
    <w:rsid w:val="009C49B4"/>
    <w:rsid w:val="009C4C04"/>
    <w:rsid w:val="009C557E"/>
    <w:rsid w:val="009C561D"/>
    <w:rsid w:val="009C5DC5"/>
    <w:rsid w:val="009E252F"/>
    <w:rsid w:val="009E49B9"/>
    <w:rsid w:val="009F38A7"/>
    <w:rsid w:val="009F7497"/>
    <w:rsid w:val="00A038D9"/>
    <w:rsid w:val="00A045B4"/>
    <w:rsid w:val="00A06801"/>
    <w:rsid w:val="00A1073C"/>
    <w:rsid w:val="00A10F02"/>
    <w:rsid w:val="00A11390"/>
    <w:rsid w:val="00A1354A"/>
    <w:rsid w:val="00A14381"/>
    <w:rsid w:val="00A23607"/>
    <w:rsid w:val="00A276E5"/>
    <w:rsid w:val="00A33081"/>
    <w:rsid w:val="00A340E9"/>
    <w:rsid w:val="00A34767"/>
    <w:rsid w:val="00A46844"/>
    <w:rsid w:val="00A52A86"/>
    <w:rsid w:val="00A56E0D"/>
    <w:rsid w:val="00A602B6"/>
    <w:rsid w:val="00A63FC7"/>
    <w:rsid w:val="00A656C8"/>
    <w:rsid w:val="00A6594A"/>
    <w:rsid w:val="00A71788"/>
    <w:rsid w:val="00A81CB0"/>
    <w:rsid w:val="00A82585"/>
    <w:rsid w:val="00A82A6B"/>
    <w:rsid w:val="00A84A92"/>
    <w:rsid w:val="00A8511E"/>
    <w:rsid w:val="00A85A36"/>
    <w:rsid w:val="00A85BCD"/>
    <w:rsid w:val="00A8778B"/>
    <w:rsid w:val="00A9071B"/>
    <w:rsid w:val="00A907FC"/>
    <w:rsid w:val="00A91957"/>
    <w:rsid w:val="00A92178"/>
    <w:rsid w:val="00A934C5"/>
    <w:rsid w:val="00AA2A7C"/>
    <w:rsid w:val="00AA6285"/>
    <w:rsid w:val="00AB36A7"/>
    <w:rsid w:val="00AB60F6"/>
    <w:rsid w:val="00AC020C"/>
    <w:rsid w:val="00AC2491"/>
    <w:rsid w:val="00AC5352"/>
    <w:rsid w:val="00AD1D3C"/>
    <w:rsid w:val="00AD28EB"/>
    <w:rsid w:val="00AD593D"/>
    <w:rsid w:val="00AE0F01"/>
    <w:rsid w:val="00AE2BD3"/>
    <w:rsid w:val="00AE4670"/>
    <w:rsid w:val="00AF033F"/>
    <w:rsid w:val="00AF04BB"/>
    <w:rsid w:val="00AF426A"/>
    <w:rsid w:val="00AF74DA"/>
    <w:rsid w:val="00AF7567"/>
    <w:rsid w:val="00B005DA"/>
    <w:rsid w:val="00B014EF"/>
    <w:rsid w:val="00B01C39"/>
    <w:rsid w:val="00B025D4"/>
    <w:rsid w:val="00B10792"/>
    <w:rsid w:val="00B12B38"/>
    <w:rsid w:val="00B14BA9"/>
    <w:rsid w:val="00B20CED"/>
    <w:rsid w:val="00B2548A"/>
    <w:rsid w:val="00B26044"/>
    <w:rsid w:val="00B307F5"/>
    <w:rsid w:val="00B35157"/>
    <w:rsid w:val="00B35800"/>
    <w:rsid w:val="00B37F08"/>
    <w:rsid w:val="00B37F84"/>
    <w:rsid w:val="00B40887"/>
    <w:rsid w:val="00B4485B"/>
    <w:rsid w:val="00B46D1E"/>
    <w:rsid w:val="00B47CEF"/>
    <w:rsid w:val="00B50AC8"/>
    <w:rsid w:val="00B52186"/>
    <w:rsid w:val="00B53773"/>
    <w:rsid w:val="00B54DEF"/>
    <w:rsid w:val="00B633BC"/>
    <w:rsid w:val="00B64328"/>
    <w:rsid w:val="00B67068"/>
    <w:rsid w:val="00B71219"/>
    <w:rsid w:val="00B719CF"/>
    <w:rsid w:val="00B722E6"/>
    <w:rsid w:val="00B7304B"/>
    <w:rsid w:val="00B74265"/>
    <w:rsid w:val="00B7590C"/>
    <w:rsid w:val="00B760E6"/>
    <w:rsid w:val="00B76890"/>
    <w:rsid w:val="00B82D0F"/>
    <w:rsid w:val="00B85DD1"/>
    <w:rsid w:val="00B862B0"/>
    <w:rsid w:val="00B923FE"/>
    <w:rsid w:val="00B93213"/>
    <w:rsid w:val="00B95B27"/>
    <w:rsid w:val="00BA12C5"/>
    <w:rsid w:val="00BA51B4"/>
    <w:rsid w:val="00BB14E3"/>
    <w:rsid w:val="00BB1826"/>
    <w:rsid w:val="00BB4051"/>
    <w:rsid w:val="00BB7EB9"/>
    <w:rsid w:val="00BC477D"/>
    <w:rsid w:val="00BC5074"/>
    <w:rsid w:val="00BC671E"/>
    <w:rsid w:val="00BD211E"/>
    <w:rsid w:val="00BD3C08"/>
    <w:rsid w:val="00BD52D9"/>
    <w:rsid w:val="00BE2462"/>
    <w:rsid w:val="00BE2FAA"/>
    <w:rsid w:val="00BE6833"/>
    <w:rsid w:val="00BE7D22"/>
    <w:rsid w:val="00BF55FB"/>
    <w:rsid w:val="00C01350"/>
    <w:rsid w:val="00C027F8"/>
    <w:rsid w:val="00C02CD9"/>
    <w:rsid w:val="00C07D5A"/>
    <w:rsid w:val="00C12511"/>
    <w:rsid w:val="00C13324"/>
    <w:rsid w:val="00C15B38"/>
    <w:rsid w:val="00C232E5"/>
    <w:rsid w:val="00C31E59"/>
    <w:rsid w:val="00C45D3C"/>
    <w:rsid w:val="00C50809"/>
    <w:rsid w:val="00C52F3B"/>
    <w:rsid w:val="00C53FDA"/>
    <w:rsid w:val="00C72519"/>
    <w:rsid w:val="00C733AC"/>
    <w:rsid w:val="00C84F90"/>
    <w:rsid w:val="00C858DD"/>
    <w:rsid w:val="00C86BE4"/>
    <w:rsid w:val="00C873D3"/>
    <w:rsid w:val="00C91EC3"/>
    <w:rsid w:val="00C93A2A"/>
    <w:rsid w:val="00C9564F"/>
    <w:rsid w:val="00C96DFF"/>
    <w:rsid w:val="00CA00E6"/>
    <w:rsid w:val="00CB0C9B"/>
    <w:rsid w:val="00CB39EA"/>
    <w:rsid w:val="00CC1151"/>
    <w:rsid w:val="00CC1E93"/>
    <w:rsid w:val="00CC2162"/>
    <w:rsid w:val="00CD2195"/>
    <w:rsid w:val="00CD21E6"/>
    <w:rsid w:val="00CD2EF7"/>
    <w:rsid w:val="00CE0846"/>
    <w:rsid w:val="00CE0CD9"/>
    <w:rsid w:val="00CE3D5C"/>
    <w:rsid w:val="00CE7CF7"/>
    <w:rsid w:val="00CF3C5E"/>
    <w:rsid w:val="00D0135B"/>
    <w:rsid w:val="00D02317"/>
    <w:rsid w:val="00D03542"/>
    <w:rsid w:val="00D0693F"/>
    <w:rsid w:val="00D06B22"/>
    <w:rsid w:val="00D107EB"/>
    <w:rsid w:val="00D10F87"/>
    <w:rsid w:val="00D12C2A"/>
    <w:rsid w:val="00D165E3"/>
    <w:rsid w:val="00D16E98"/>
    <w:rsid w:val="00D25653"/>
    <w:rsid w:val="00D2616C"/>
    <w:rsid w:val="00D279B2"/>
    <w:rsid w:val="00D30704"/>
    <w:rsid w:val="00D46D40"/>
    <w:rsid w:val="00D50238"/>
    <w:rsid w:val="00D55250"/>
    <w:rsid w:val="00D62366"/>
    <w:rsid w:val="00D6481B"/>
    <w:rsid w:val="00D66C83"/>
    <w:rsid w:val="00D722AA"/>
    <w:rsid w:val="00D76242"/>
    <w:rsid w:val="00D81F11"/>
    <w:rsid w:val="00D8373C"/>
    <w:rsid w:val="00D85FCD"/>
    <w:rsid w:val="00D90858"/>
    <w:rsid w:val="00D91C74"/>
    <w:rsid w:val="00D923D2"/>
    <w:rsid w:val="00DA1979"/>
    <w:rsid w:val="00DA5B04"/>
    <w:rsid w:val="00DA6B59"/>
    <w:rsid w:val="00DA7626"/>
    <w:rsid w:val="00DA7FAB"/>
    <w:rsid w:val="00DB07B2"/>
    <w:rsid w:val="00DB1967"/>
    <w:rsid w:val="00DB6DB7"/>
    <w:rsid w:val="00DC1500"/>
    <w:rsid w:val="00DC31BF"/>
    <w:rsid w:val="00DC5497"/>
    <w:rsid w:val="00DC6752"/>
    <w:rsid w:val="00DC74A6"/>
    <w:rsid w:val="00DD0497"/>
    <w:rsid w:val="00DD425A"/>
    <w:rsid w:val="00DD799D"/>
    <w:rsid w:val="00DE1BA3"/>
    <w:rsid w:val="00DE516B"/>
    <w:rsid w:val="00DE74D7"/>
    <w:rsid w:val="00DF323B"/>
    <w:rsid w:val="00DF52BB"/>
    <w:rsid w:val="00DF568D"/>
    <w:rsid w:val="00DF7811"/>
    <w:rsid w:val="00E04B25"/>
    <w:rsid w:val="00E063F3"/>
    <w:rsid w:val="00E106ED"/>
    <w:rsid w:val="00E11098"/>
    <w:rsid w:val="00E137B1"/>
    <w:rsid w:val="00E21790"/>
    <w:rsid w:val="00E2347B"/>
    <w:rsid w:val="00E24421"/>
    <w:rsid w:val="00E25C3B"/>
    <w:rsid w:val="00E25DEF"/>
    <w:rsid w:val="00E32D1B"/>
    <w:rsid w:val="00E334B6"/>
    <w:rsid w:val="00E35C28"/>
    <w:rsid w:val="00E369D2"/>
    <w:rsid w:val="00E36C55"/>
    <w:rsid w:val="00E37C20"/>
    <w:rsid w:val="00E40CC7"/>
    <w:rsid w:val="00E41075"/>
    <w:rsid w:val="00E4253E"/>
    <w:rsid w:val="00E50E05"/>
    <w:rsid w:val="00E51783"/>
    <w:rsid w:val="00E5241C"/>
    <w:rsid w:val="00E5328E"/>
    <w:rsid w:val="00E55959"/>
    <w:rsid w:val="00E64493"/>
    <w:rsid w:val="00E64ABE"/>
    <w:rsid w:val="00E768F4"/>
    <w:rsid w:val="00E80C36"/>
    <w:rsid w:val="00E9145D"/>
    <w:rsid w:val="00E93033"/>
    <w:rsid w:val="00E969FB"/>
    <w:rsid w:val="00EA39B3"/>
    <w:rsid w:val="00EA62B6"/>
    <w:rsid w:val="00EA6412"/>
    <w:rsid w:val="00EA7449"/>
    <w:rsid w:val="00EB7CB3"/>
    <w:rsid w:val="00EC1C31"/>
    <w:rsid w:val="00ED095D"/>
    <w:rsid w:val="00ED4641"/>
    <w:rsid w:val="00EE1033"/>
    <w:rsid w:val="00EE518D"/>
    <w:rsid w:val="00EE5A59"/>
    <w:rsid w:val="00EF2922"/>
    <w:rsid w:val="00EF2E5C"/>
    <w:rsid w:val="00F05624"/>
    <w:rsid w:val="00F05A07"/>
    <w:rsid w:val="00F10A6C"/>
    <w:rsid w:val="00F12EE7"/>
    <w:rsid w:val="00F14F3C"/>
    <w:rsid w:val="00F27409"/>
    <w:rsid w:val="00F33CD2"/>
    <w:rsid w:val="00F34BFB"/>
    <w:rsid w:val="00F3614D"/>
    <w:rsid w:val="00F413C5"/>
    <w:rsid w:val="00F41AA9"/>
    <w:rsid w:val="00F45F91"/>
    <w:rsid w:val="00F46AA1"/>
    <w:rsid w:val="00F47A65"/>
    <w:rsid w:val="00F5115C"/>
    <w:rsid w:val="00F52C8C"/>
    <w:rsid w:val="00F52FC8"/>
    <w:rsid w:val="00F53891"/>
    <w:rsid w:val="00F621A1"/>
    <w:rsid w:val="00F7191E"/>
    <w:rsid w:val="00F809DF"/>
    <w:rsid w:val="00F82B91"/>
    <w:rsid w:val="00F9406B"/>
    <w:rsid w:val="00F9537D"/>
    <w:rsid w:val="00F97878"/>
    <w:rsid w:val="00FA0091"/>
    <w:rsid w:val="00FA3687"/>
    <w:rsid w:val="00FA382A"/>
    <w:rsid w:val="00FA3AFE"/>
    <w:rsid w:val="00FA4320"/>
    <w:rsid w:val="00FA44F6"/>
    <w:rsid w:val="00FA4A66"/>
    <w:rsid w:val="00FA6FC6"/>
    <w:rsid w:val="00FB1506"/>
    <w:rsid w:val="00FB1F07"/>
    <w:rsid w:val="00FB300D"/>
    <w:rsid w:val="00FB4FDC"/>
    <w:rsid w:val="00FC266A"/>
    <w:rsid w:val="00FC622E"/>
    <w:rsid w:val="00FC7B8A"/>
    <w:rsid w:val="00FD4BCD"/>
    <w:rsid w:val="00FE2E3D"/>
    <w:rsid w:val="00FE5E93"/>
    <w:rsid w:val="00FE7C58"/>
    <w:rsid w:val="00FF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697545"/>
  <w15:docId w15:val="{75F61390-DE9A-414B-80B6-BB4891F5A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AD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 w:line="240" w:lineRule="auto"/>
      <w:outlineLvl w:val="1"/>
    </w:pPr>
    <w:rPr>
      <w:rFonts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ind w:left="720"/>
    </w:pPr>
  </w:style>
  <w:style w:type="paragraph" w:styleId="ab">
    <w:name w:val="Body Text"/>
    <w:basedOn w:val="a"/>
    <w:link w:val="ac"/>
    <w:uiPriority w:val="99"/>
    <w:rsid w:val="00B760E6"/>
    <w:pPr>
      <w:spacing w:after="0" w:line="240" w:lineRule="auto"/>
    </w:pPr>
    <w:rPr>
      <w:rFonts w:cs="Times New Roman"/>
      <w:b/>
      <w:color w:val="000000"/>
      <w:sz w:val="24"/>
      <w:szCs w:val="20"/>
      <w:lang w:val="ru-RU" w:eastAsia="ru-RU"/>
    </w:rPr>
  </w:style>
  <w:style w:type="character" w:customStyle="1" w:styleId="BodyTextChar">
    <w:name w:val="Body Text Char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rsid w:val="00B760E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e">
    <w:name w:val="Title"/>
    <w:basedOn w:val="a"/>
    <w:link w:val="af"/>
    <w:uiPriority w:val="99"/>
    <w:qFormat/>
    <w:locked/>
    <w:rsid w:val="00B760E6"/>
    <w:pPr>
      <w:spacing w:after="0" w:line="240" w:lineRule="auto"/>
      <w:jc w:val="center"/>
    </w:pPr>
    <w:rPr>
      <w:rFonts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customStyle="1" w:styleId="spelle">
    <w:name w:val="spelle"/>
    <w:basedOn w:val="a0"/>
    <w:rsid w:val="00053BCF"/>
  </w:style>
  <w:style w:type="character" w:customStyle="1" w:styleId="grame">
    <w:name w:val="grame"/>
    <w:rsid w:val="00053BCF"/>
    <w:rPr>
      <w:rFonts w:cs="Times New Roman"/>
    </w:rPr>
  </w:style>
  <w:style w:type="character" w:styleId="af2">
    <w:name w:val="Hyperlink"/>
    <w:rsid w:val="00737985"/>
    <w:rPr>
      <w:color w:val="0000FF"/>
      <w:u w:val="single"/>
    </w:rPr>
  </w:style>
  <w:style w:type="character" w:styleId="af3">
    <w:name w:val="annotation reference"/>
    <w:basedOn w:val="a0"/>
    <w:uiPriority w:val="99"/>
    <w:semiHidden/>
    <w:unhideWhenUsed/>
    <w:rsid w:val="0007401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7401F"/>
    <w:pPr>
      <w:spacing w:line="240" w:lineRule="auto"/>
    </w:pPr>
    <w:rPr>
      <w:sz w:val="20"/>
      <w:szCs w:val="20"/>
    </w:rPr>
  </w:style>
  <w:style w:type="character" w:customStyle="1" w:styleId="af5">
    <w:name w:val="Текст примітки Знак"/>
    <w:basedOn w:val="a0"/>
    <w:link w:val="af4"/>
    <w:uiPriority w:val="99"/>
    <w:semiHidden/>
    <w:rsid w:val="0007401F"/>
    <w:rPr>
      <w:rFonts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7401F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07401F"/>
    <w:rPr>
      <w:rFonts w:cs="Calibri"/>
      <w:b/>
      <w:bCs/>
      <w:lang w:eastAsia="en-US"/>
    </w:rPr>
  </w:style>
  <w:style w:type="paragraph" w:styleId="af8">
    <w:name w:val="Revision"/>
    <w:hidden/>
    <w:uiPriority w:val="99"/>
    <w:semiHidden/>
    <w:rsid w:val="0007401F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A0F17-6664-4769-931C-854DF9C8E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9345</Words>
  <Characters>5328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</vt:lpstr>
      <vt:lpstr>                                                                                                                    </vt:lpstr>
    </vt:vector>
  </TitlesOfParts>
  <Company>NERC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</dc:title>
  <dc:subject/>
  <dc:creator>Вікторія Морозова</dc:creator>
  <cp:keywords/>
  <dc:description/>
  <cp:lastModifiedBy>Анна Біленко</cp:lastModifiedBy>
  <cp:revision>45</cp:revision>
  <cp:lastPrinted>2021-05-25T06:45:00Z</cp:lastPrinted>
  <dcterms:created xsi:type="dcterms:W3CDTF">2024-08-06T08:20:00Z</dcterms:created>
  <dcterms:modified xsi:type="dcterms:W3CDTF">2026-02-10T10:52:00Z</dcterms:modified>
</cp:coreProperties>
</file>