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77777777" w:rsidR="00E17B43" w:rsidRPr="00EC3012" w:rsidRDefault="0040578D" w:rsidP="00DF31AD">
      <w:pPr>
        <w:jc w:val="center"/>
        <w:rPr>
          <w:rFonts w:ascii="Times New Roman" w:hAnsi="Times New Roman" w:cs="Times New Roman"/>
          <w:b/>
          <w:sz w:val="27"/>
          <w:szCs w:val="27"/>
        </w:rPr>
      </w:pPr>
      <w:r w:rsidRPr="00EC3012">
        <w:rPr>
          <w:rFonts w:ascii="Times New Roman" w:hAnsi="Times New Roman" w:cs="Times New Roman"/>
          <w:b/>
          <w:sz w:val="27"/>
          <w:szCs w:val="27"/>
        </w:rPr>
        <w:t xml:space="preserve">Порівняльна таблиця до </w:t>
      </w:r>
      <w:proofErr w:type="spellStart"/>
      <w:r w:rsidRPr="00EC3012">
        <w:rPr>
          <w:rFonts w:ascii="Times New Roman" w:hAnsi="Times New Roman" w:cs="Times New Roman"/>
          <w:b/>
          <w:sz w:val="27"/>
          <w:szCs w:val="27"/>
        </w:rPr>
        <w:t>проєкту</w:t>
      </w:r>
      <w:proofErr w:type="spellEnd"/>
      <w:r w:rsidRPr="00EC3012">
        <w:rPr>
          <w:rFonts w:ascii="Times New Roman" w:hAnsi="Times New Roman" w:cs="Times New Roman"/>
          <w:b/>
          <w:sz w:val="27"/>
          <w:szCs w:val="27"/>
        </w:rPr>
        <w:t xml:space="preserve"> постанови НКРЕКП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bl>
      <w:tblPr>
        <w:tblStyle w:val="a3"/>
        <w:tblW w:w="15449" w:type="dxa"/>
        <w:tblLayout w:type="fixed"/>
        <w:tblLook w:val="04A0" w:firstRow="1" w:lastRow="0" w:firstColumn="1" w:lastColumn="0" w:noHBand="0" w:noVBand="1"/>
      </w:tblPr>
      <w:tblGrid>
        <w:gridCol w:w="7724"/>
        <w:gridCol w:w="7725"/>
      </w:tblGrid>
      <w:tr w:rsidR="000A3B97" w:rsidRPr="00EC3012" w14:paraId="05901BF4" w14:textId="77777777" w:rsidTr="001D63BA">
        <w:trPr>
          <w:trHeight w:val="610"/>
        </w:trPr>
        <w:tc>
          <w:tcPr>
            <w:tcW w:w="7724" w:type="dxa"/>
            <w:vAlign w:val="center"/>
          </w:tcPr>
          <w:p w14:paraId="214EF2BB" w14:textId="77777777" w:rsidR="003D5AAE" w:rsidRPr="00EC3012" w:rsidRDefault="0040578D" w:rsidP="00B251CD">
            <w:pPr>
              <w:jc w:val="center"/>
              <w:rPr>
                <w:rFonts w:ascii="Times New Roman" w:hAnsi="Times New Roman" w:cs="Times New Roman"/>
                <w:b/>
              </w:rPr>
            </w:pPr>
            <w:r w:rsidRPr="00EC3012">
              <w:rPr>
                <w:rFonts w:ascii="Times New Roman" w:hAnsi="Times New Roman" w:cs="Times New Roman"/>
                <w:b/>
              </w:rPr>
              <w:t>ПОЛОЖЕННЯ ДІЮЧОЇ РЕДАКЦІЇ</w:t>
            </w:r>
          </w:p>
        </w:tc>
        <w:tc>
          <w:tcPr>
            <w:tcW w:w="7725" w:type="dxa"/>
            <w:vAlign w:val="center"/>
          </w:tcPr>
          <w:p w14:paraId="6CC2BB16" w14:textId="77777777" w:rsidR="00DF31AD" w:rsidRPr="00EC3012" w:rsidRDefault="0040578D" w:rsidP="00B251CD">
            <w:pPr>
              <w:jc w:val="center"/>
              <w:rPr>
                <w:rFonts w:ascii="Times New Roman" w:hAnsi="Times New Roman" w:cs="Times New Roman"/>
                <w:b/>
              </w:rPr>
            </w:pPr>
            <w:r w:rsidRPr="00EC3012">
              <w:rPr>
                <w:rFonts w:ascii="Times New Roman" w:hAnsi="Times New Roman" w:cs="Times New Roman"/>
                <w:b/>
              </w:rPr>
              <w:t>ЗМІСТ ПОЛОЖЕННЬ ПРОЄКТУ ПОСТАНОВИ</w:t>
            </w:r>
          </w:p>
        </w:tc>
      </w:tr>
      <w:tr w:rsidR="00283945" w:rsidRPr="00EC3012" w14:paraId="552654AD" w14:textId="77777777" w:rsidTr="00055024">
        <w:trPr>
          <w:trHeight w:val="610"/>
        </w:trPr>
        <w:tc>
          <w:tcPr>
            <w:tcW w:w="15449" w:type="dxa"/>
            <w:gridSpan w:val="2"/>
            <w:shd w:val="clear" w:color="auto" w:fill="A8D08D" w:themeFill="accent6" w:themeFillTint="99"/>
            <w:vAlign w:val="center"/>
          </w:tcPr>
          <w:p w14:paraId="2DCE0F1B" w14:textId="508D652D" w:rsidR="00283945" w:rsidRPr="00EC3012" w:rsidRDefault="00283945" w:rsidP="00B251CD">
            <w:pPr>
              <w:jc w:val="center"/>
              <w:rPr>
                <w:rFonts w:ascii="Times New Roman" w:hAnsi="Times New Roman" w:cs="Times New Roman"/>
                <w:b/>
              </w:rPr>
            </w:pPr>
            <w:r w:rsidRPr="00EC3012">
              <w:rPr>
                <w:rFonts w:ascii="Times New Roman" w:hAnsi="Times New Roman" w:cs="Times New Roman"/>
                <w:b/>
              </w:rPr>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055024" w:rsidRPr="00EC3012" w14:paraId="35A996D7" w14:textId="77777777" w:rsidTr="00826D1E">
        <w:trPr>
          <w:trHeight w:val="610"/>
        </w:trPr>
        <w:tc>
          <w:tcPr>
            <w:tcW w:w="7724" w:type="dxa"/>
          </w:tcPr>
          <w:p w14:paraId="5F2C6D60" w14:textId="77777777"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1.4. У цьому Порядку терміни вживаються в такому значенні:</w:t>
            </w:r>
          </w:p>
          <w:p w14:paraId="466CF27D" w14:textId="2EAD5648"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відмова у проведенні перевірки - </w:t>
            </w:r>
            <w:proofErr w:type="spellStart"/>
            <w:r w:rsidRPr="00EC3012">
              <w:rPr>
                <w:rFonts w:ascii="Times New Roman" w:hAnsi="Times New Roman" w:cs="Times New Roman"/>
                <w:shd w:val="clear" w:color="auto" w:fill="FFFFFF"/>
              </w:rPr>
              <w:t>недопуск</w:t>
            </w:r>
            <w:proofErr w:type="spellEnd"/>
            <w:r w:rsidRPr="00EC3012">
              <w:rPr>
                <w:rFonts w:ascii="Times New Roman" w:hAnsi="Times New Roman" w:cs="Times New Roman"/>
                <w:shd w:val="clear" w:color="auto" w:fill="FFFFFF"/>
              </w:rPr>
              <w:t xml:space="preserve"> членів комісії з перевірки до здійснення перевірки за відсутності передбачених для цього законодавством та цим Порядком підстав (зокрема ненадання документів, інформації щодо предмета перевірки на вимогу членів комісії з перевірки, відмова в доступі до місць провадження діяльності, об'єктів, що використовуються ліцензіатом, суб'єктом, що належать до особливої групи споживачів, при провадженні діяльності у сферах енергетики та комунальних послуг, відсутність ліцензіата за його місцезнаходженням згідно з даними, що містяться у ліцензійній справі, відсутність уповноваженої особи ліцензіата, суб'єкта, що належать до особливої групи споживачів, за його місцезнаходженням протягом першого дня перевірки);</w:t>
            </w:r>
          </w:p>
          <w:p w14:paraId="4AD3DBB3" w14:textId="77777777" w:rsidR="00055024" w:rsidRPr="00EC3012" w:rsidRDefault="00055024" w:rsidP="00826D1E">
            <w:pPr>
              <w:ind w:firstLine="308"/>
              <w:jc w:val="both"/>
              <w:rPr>
                <w:rFonts w:ascii="Times New Roman" w:hAnsi="Times New Roman" w:cs="Times New Roman"/>
                <w:shd w:val="clear" w:color="auto" w:fill="FFFFFF"/>
              </w:rPr>
            </w:pPr>
          </w:p>
          <w:p w14:paraId="4FD68F7F" w14:textId="77777777"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заходи державного контролю - планові, позапланові, виїзні та невиїзні перевірки;</w:t>
            </w:r>
          </w:p>
          <w:p w14:paraId="754BD26D" w14:textId="77777777"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повторне порушення - вчинення ліцензіатом протягом року з дня прийняття НКРЕКП рішення про застосування санкцій за порушення ліцензійних умов та законодавства у сферах енергетики та комунальних послуг нового порушення вимог ліцензійних умов та/або законодавства, щодо яких приймалося таке рішення.</w:t>
            </w:r>
          </w:p>
          <w:p w14:paraId="2DBEF22A" w14:textId="237E40A8" w:rsidR="00055024" w:rsidRPr="00EC3012" w:rsidRDefault="00055024" w:rsidP="001F249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державне регулювання у сфері комунальних послуг", "Про теплопостачання", "Про питну воду та питне водопостачання", "Про водовідведення та очищення стічних вод", "Про адміністративну процедуру",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N 548</w:t>
            </w:r>
            <w:bookmarkStart w:id="0" w:name="20475"/>
            <w:r w:rsidRPr="00EC3012">
              <w:rPr>
                <w:rFonts w:ascii="Times New Roman" w:hAnsi="Times New Roman" w:cs="Times New Roman"/>
                <w:shd w:val="clear" w:color="auto" w:fill="FFFFFF"/>
              </w:rPr>
              <w:t>.</w:t>
            </w:r>
            <w:bookmarkEnd w:id="0"/>
          </w:p>
        </w:tc>
        <w:tc>
          <w:tcPr>
            <w:tcW w:w="7725" w:type="dxa"/>
          </w:tcPr>
          <w:p w14:paraId="70425588" w14:textId="77777777"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1.4. У цьому Порядку терміни вживаються в такому значенні:</w:t>
            </w:r>
          </w:p>
          <w:p w14:paraId="3BD832F3" w14:textId="7F1A4A9D"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відмова у проведенні перевірки - </w:t>
            </w:r>
            <w:proofErr w:type="spellStart"/>
            <w:r w:rsidRPr="00EC3012">
              <w:rPr>
                <w:rFonts w:ascii="Times New Roman" w:hAnsi="Times New Roman" w:cs="Times New Roman"/>
                <w:shd w:val="clear" w:color="auto" w:fill="FFFFFF"/>
              </w:rPr>
              <w:t>недопуск</w:t>
            </w:r>
            <w:proofErr w:type="spellEnd"/>
            <w:r w:rsidRPr="00EC3012">
              <w:rPr>
                <w:rFonts w:ascii="Times New Roman" w:hAnsi="Times New Roman" w:cs="Times New Roman"/>
                <w:shd w:val="clear" w:color="auto" w:fill="FFFFFF"/>
              </w:rPr>
              <w:t xml:space="preserve"> членів комісії з перевірки до здійснення перевірки за відсутності передбачених для цього законодавством та цим Порядком підстав (зокрема ненадання документів, інформації щодо предмета перевірки на вимогу членів комісії з перевірки, відмова в доступі до місць провадження діяльності, об'єктів, що використовуються ліцензіатом, суб'єктом, що належать до особливої групи споживачів, при провадженні діяльності у сферах енергетики та комунальних послуг, відсутність ліцензіата за його місцезнаходженням згідно з даними, що містяться у </w:t>
            </w:r>
            <w:r w:rsidRPr="00EC3012">
              <w:rPr>
                <w:rFonts w:ascii="Times New Roman" w:hAnsi="Times New Roman" w:cs="Times New Roman"/>
                <w:b/>
                <w:shd w:val="clear" w:color="auto" w:fill="FFFFFF"/>
              </w:rPr>
              <w:t>ліцензійному реєстрі, або місцем провадження ліцензіатом господарської діяльності, що підлягає ліцензуванню</w:t>
            </w:r>
            <w:r w:rsidRPr="00EC3012">
              <w:rPr>
                <w:rFonts w:ascii="Times New Roman" w:hAnsi="Times New Roman" w:cs="Times New Roman"/>
                <w:shd w:val="clear" w:color="auto" w:fill="FFFFFF"/>
              </w:rPr>
              <w:t>, відсутність уповноваженої особи ліцензіата, суб'єкта, що належать до особливої групи споживачів, за його місцезнаходженням протягом першого дня перевірки);</w:t>
            </w:r>
          </w:p>
          <w:p w14:paraId="70276785" w14:textId="77777777"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заходи державного контролю - планові, позапланові, виїзні та невиїзні перевірки;</w:t>
            </w:r>
          </w:p>
          <w:p w14:paraId="32BB51F4" w14:textId="77777777" w:rsidR="00055024" w:rsidRPr="00EC3012" w:rsidRDefault="00055024"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повторне порушення - вчинення ліцензіатом протягом року з дня прийняття НКРЕКП рішення про застосування санкцій за порушення ліцензійних умов та законодавства у сферах енергетики та комунальних послуг нового порушення вимог ліцензійних умов та/або законодавства, щодо яких приймалося таке рішення.</w:t>
            </w:r>
          </w:p>
          <w:p w14:paraId="115CF181" w14:textId="58DCC331" w:rsidR="00055024" w:rsidRPr="00EC3012" w:rsidRDefault="00055024" w:rsidP="001F249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державне регулювання у сфері комунальних послуг", "Про теплопостачання", "Про питну воду та питне водопостачання", "Про водовідведення та очищення стічних вод", "Про адміністративну процедуру",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N 548.</w:t>
            </w:r>
          </w:p>
        </w:tc>
      </w:tr>
      <w:tr w:rsidR="00283945" w:rsidRPr="00EC3012" w14:paraId="5E154CC8" w14:textId="77777777" w:rsidTr="00826D1E">
        <w:trPr>
          <w:trHeight w:val="610"/>
        </w:trPr>
        <w:tc>
          <w:tcPr>
            <w:tcW w:w="7724" w:type="dxa"/>
          </w:tcPr>
          <w:p w14:paraId="5CE595BA" w14:textId="1D748E99" w:rsidR="00283945" w:rsidRPr="00EC3012" w:rsidRDefault="00B8101A"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 xml:space="preserve">&lt; </w:t>
            </w:r>
            <w:r w:rsidR="005C3341" w:rsidRPr="00EC3012">
              <w:rPr>
                <w:rFonts w:ascii="Times New Roman" w:hAnsi="Times New Roman" w:cs="Times New Roman"/>
                <w:shd w:val="clear" w:color="auto" w:fill="FFFFFF"/>
              </w:rPr>
              <w:t>Відсутній</w:t>
            </w:r>
            <w:r w:rsidRPr="00EC3012">
              <w:rPr>
                <w:rFonts w:ascii="Times New Roman" w:hAnsi="Times New Roman" w:cs="Times New Roman"/>
                <w:shd w:val="clear" w:color="auto" w:fill="FFFFFF"/>
              </w:rPr>
              <w:t xml:space="preserve"> &gt;</w:t>
            </w:r>
          </w:p>
          <w:p w14:paraId="1E9DDFF3" w14:textId="182ACFC6" w:rsidR="00283945" w:rsidRPr="00EC3012" w:rsidRDefault="00283945" w:rsidP="00826D1E">
            <w:pPr>
              <w:ind w:firstLine="308"/>
              <w:jc w:val="both"/>
              <w:rPr>
                <w:rFonts w:ascii="Times New Roman" w:hAnsi="Times New Roman" w:cs="Times New Roman"/>
                <w:shd w:val="clear" w:color="auto" w:fill="FFFFFF"/>
              </w:rPr>
            </w:pPr>
          </w:p>
          <w:p w14:paraId="3D71A43D" w14:textId="4BB692AC" w:rsidR="00B8101A" w:rsidRPr="00EC3012" w:rsidRDefault="00B8101A" w:rsidP="00826D1E">
            <w:pPr>
              <w:ind w:firstLine="308"/>
              <w:jc w:val="both"/>
              <w:rPr>
                <w:rFonts w:ascii="Times New Roman" w:hAnsi="Times New Roman" w:cs="Times New Roman"/>
                <w:shd w:val="clear" w:color="auto" w:fill="FFFFFF"/>
              </w:rPr>
            </w:pPr>
          </w:p>
          <w:p w14:paraId="3625BA82" w14:textId="6070E7E3" w:rsidR="00B8101A" w:rsidRPr="00EC3012" w:rsidRDefault="00B8101A" w:rsidP="00826D1E">
            <w:pPr>
              <w:ind w:firstLine="308"/>
              <w:jc w:val="both"/>
              <w:rPr>
                <w:rFonts w:ascii="Times New Roman" w:hAnsi="Times New Roman" w:cs="Times New Roman"/>
                <w:shd w:val="clear" w:color="auto" w:fill="FFFFFF"/>
              </w:rPr>
            </w:pPr>
          </w:p>
          <w:p w14:paraId="667CE76C" w14:textId="60C71304" w:rsidR="00B8101A" w:rsidRPr="00EC3012" w:rsidRDefault="00B8101A" w:rsidP="00826D1E">
            <w:pPr>
              <w:ind w:firstLine="308"/>
              <w:jc w:val="both"/>
              <w:rPr>
                <w:rFonts w:ascii="Times New Roman" w:hAnsi="Times New Roman" w:cs="Times New Roman"/>
                <w:shd w:val="clear" w:color="auto" w:fill="FFFFFF"/>
              </w:rPr>
            </w:pPr>
          </w:p>
          <w:p w14:paraId="50317929" w14:textId="15020BA3" w:rsidR="00B8101A" w:rsidRPr="00EC3012" w:rsidRDefault="00B8101A" w:rsidP="00826D1E">
            <w:pPr>
              <w:ind w:firstLine="308"/>
              <w:jc w:val="both"/>
              <w:rPr>
                <w:rFonts w:ascii="Times New Roman" w:hAnsi="Times New Roman" w:cs="Times New Roman"/>
                <w:shd w:val="clear" w:color="auto" w:fill="FFFFFF"/>
              </w:rPr>
            </w:pPr>
          </w:p>
          <w:p w14:paraId="0A853BB8" w14:textId="3450AA9B" w:rsidR="00B8101A" w:rsidRPr="00EC3012" w:rsidRDefault="00B8101A" w:rsidP="00826D1E">
            <w:pPr>
              <w:ind w:firstLine="308"/>
              <w:jc w:val="both"/>
              <w:rPr>
                <w:rFonts w:ascii="Times New Roman" w:hAnsi="Times New Roman" w:cs="Times New Roman"/>
                <w:shd w:val="clear" w:color="auto" w:fill="FFFFFF"/>
              </w:rPr>
            </w:pPr>
          </w:p>
          <w:p w14:paraId="15ADCEF5" w14:textId="47E94DE4" w:rsidR="00B8101A" w:rsidRPr="00EC3012" w:rsidRDefault="00B8101A" w:rsidP="00826D1E">
            <w:pPr>
              <w:ind w:firstLine="308"/>
              <w:jc w:val="both"/>
              <w:rPr>
                <w:rFonts w:ascii="Times New Roman" w:hAnsi="Times New Roman" w:cs="Times New Roman"/>
                <w:shd w:val="clear" w:color="auto" w:fill="FFFFFF"/>
              </w:rPr>
            </w:pPr>
          </w:p>
          <w:p w14:paraId="5C5E0934" w14:textId="1E9406E1" w:rsidR="00B8101A" w:rsidRPr="00EC3012" w:rsidRDefault="00B8101A" w:rsidP="00826D1E">
            <w:pPr>
              <w:ind w:firstLine="308"/>
              <w:jc w:val="both"/>
              <w:rPr>
                <w:rFonts w:ascii="Times New Roman" w:hAnsi="Times New Roman" w:cs="Times New Roman"/>
                <w:shd w:val="clear" w:color="auto" w:fill="FFFFFF"/>
              </w:rPr>
            </w:pPr>
          </w:p>
          <w:p w14:paraId="5EBDC4A9" w14:textId="4AA0FB00" w:rsidR="00283945" w:rsidRPr="00EC3012" w:rsidRDefault="00283945" w:rsidP="00826D1E">
            <w:pPr>
              <w:ind w:firstLine="308"/>
              <w:jc w:val="both"/>
              <w:rPr>
                <w:rFonts w:ascii="Times New Roman" w:hAnsi="Times New Roman" w:cs="Times New Roman"/>
                <w:b/>
              </w:rPr>
            </w:pPr>
          </w:p>
        </w:tc>
        <w:tc>
          <w:tcPr>
            <w:tcW w:w="7725" w:type="dxa"/>
          </w:tcPr>
          <w:p w14:paraId="1A99C3DF" w14:textId="77777777" w:rsidR="00826D1E" w:rsidRPr="00EC3012" w:rsidRDefault="00826D1E" w:rsidP="00826D1E">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3.2. Ліцензіат, якого включено до річного плану здійснення заходів державного контролю на відповідний період, зобов’язаний повідомити НКРЕКП про зміну місцезнаходження, місця провадження господарської діяльності, що підлягає ліцензуванню, протягом п’яти робочих днів з дня настання таких змін.</w:t>
            </w:r>
          </w:p>
          <w:p w14:paraId="312E7398" w14:textId="1CC9FD87" w:rsidR="00283945" w:rsidRPr="00EC3012" w:rsidRDefault="00826D1E" w:rsidP="001F249E">
            <w:pPr>
              <w:ind w:firstLine="308"/>
              <w:jc w:val="both"/>
              <w:rPr>
                <w:rFonts w:ascii="Times New Roman" w:hAnsi="Times New Roman" w:cs="Times New Roman"/>
                <w:shd w:val="clear" w:color="auto" w:fill="FFFFFF"/>
              </w:rPr>
            </w:pPr>
            <w:r w:rsidRPr="00EC3012">
              <w:rPr>
                <w:rFonts w:ascii="Times New Roman" w:hAnsi="Times New Roman" w:cs="Times New Roman"/>
                <w:b/>
                <w:shd w:val="clear" w:color="auto" w:fill="FFFFFF"/>
              </w:rPr>
              <w:t>У разі зміни місцезнаходження та/або місця провадження господарської діяльності, що підлягає ліцензуванню, менш ніж за місяць до початку здійснення планового заходу державного контролю, НКРЕКП може прийняти рішення про внесення відповідних змін до річного плану здійснення заходів державного контролю.</w:t>
            </w:r>
          </w:p>
        </w:tc>
      </w:tr>
      <w:tr w:rsidR="00826D1E" w:rsidRPr="00EC3012" w14:paraId="3541DBF2" w14:textId="77777777" w:rsidTr="00826D1E">
        <w:trPr>
          <w:trHeight w:val="610"/>
        </w:trPr>
        <w:tc>
          <w:tcPr>
            <w:tcW w:w="7724" w:type="dxa"/>
          </w:tcPr>
          <w:p w14:paraId="1498A932"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3.2. Річний план здійснення заходів державного контролю складається з урахуванням періодичності проведення планових перевірок:</w:t>
            </w:r>
          </w:p>
          <w:p w14:paraId="3F9FAF11"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для суб'єктів великого підприємництва, суб'єктів природних монополій та суб'єктів господарювання, на яких покладені спеціальні обов'язки для забезпечення загальносуспільних інтересів у процесі функціонування ринків у сфері енергетики, - не частіше одного разу на рік;</w:t>
            </w:r>
          </w:p>
          <w:p w14:paraId="6C0BF916"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для суб'єктів середнього підприємництва - не частіше одного разу на два роки;</w:t>
            </w:r>
          </w:p>
          <w:p w14:paraId="225FBFFF"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для суб'єктів малого підприємництва, у тому числі суб'єктів </w:t>
            </w:r>
            <w:proofErr w:type="spellStart"/>
            <w:r w:rsidRPr="00EC3012">
              <w:rPr>
                <w:rFonts w:ascii="Times New Roman" w:hAnsi="Times New Roman" w:cs="Times New Roman"/>
                <w:shd w:val="clear" w:color="auto" w:fill="FFFFFF"/>
              </w:rPr>
              <w:t>мікропідприємництва</w:t>
            </w:r>
            <w:proofErr w:type="spellEnd"/>
            <w:r w:rsidRPr="00EC3012">
              <w:rPr>
                <w:rFonts w:ascii="Times New Roman" w:hAnsi="Times New Roman" w:cs="Times New Roman"/>
                <w:shd w:val="clear" w:color="auto" w:fill="FFFFFF"/>
              </w:rPr>
              <w:t>, - не частіше одного разу на три роки.</w:t>
            </w:r>
          </w:p>
          <w:p w14:paraId="48C5D30B" w14:textId="10BCAAA3" w:rsidR="00826D1E" w:rsidRPr="00EC3012" w:rsidRDefault="00826D1E" w:rsidP="001F249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Для цілей цього пункту застосовуються критерії віднесення ліцензіатів до певних категорій суб'єктів господарювання, що визначені Господарським кодексом України.</w:t>
            </w:r>
          </w:p>
        </w:tc>
        <w:tc>
          <w:tcPr>
            <w:tcW w:w="7725" w:type="dxa"/>
          </w:tcPr>
          <w:p w14:paraId="305A24EC" w14:textId="008F818E"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b/>
                <w:shd w:val="clear" w:color="auto" w:fill="FFFFFF"/>
              </w:rPr>
              <w:t>3.3.</w:t>
            </w:r>
            <w:r w:rsidRPr="00EC3012">
              <w:rPr>
                <w:rFonts w:ascii="Times New Roman" w:hAnsi="Times New Roman" w:cs="Times New Roman"/>
                <w:shd w:val="clear" w:color="auto" w:fill="FFFFFF"/>
              </w:rPr>
              <w:t xml:space="preserve"> Річний план здійснення заходів державного контролю складається з урахуванням періодичності проведення планових перевірок:</w:t>
            </w:r>
          </w:p>
          <w:p w14:paraId="0D47310D"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для суб'єктів великого підприємництва, суб'єктів природних монополій та суб'єктів господарювання, на яких покладені спеціальні обов'язки для забезпечення загальносуспільних інтересів у процесі функціонування ринків у сфері енергетики, - не частіше одного разу на рік;</w:t>
            </w:r>
          </w:p>
          <w:p w14:paraId="7F3185DA"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для суб'єктів середнього підприємництва - не частіше одного разу на два роки;</w:t>
            </w:r>
          </w:p>
          <w:p w14:paraId="29E8FD00" w14:textId="77777777" w:rsidR="00826D1E" w:rsidRPr="00EC3012" w:rsidRDefault="00826D1E" w:rsidP="00826D1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для суб'єктів малого підприємництва, у тому числі суб'єктів </w:t>
            </w:r>
            <w:proofErr w:type="spellStart"/>
            <w:r w:rsidRPr="00EC3012">
              <w:rPr>
                <w:rFonts w:ascii="Times New Roman" w:hAnsi="Times New Roman" w:cs="Times New Roman"/>
                <w:shd w:val="clear" w:color="auto" w:fill="FFFFFF"/>
              </w:rPr>
              <w:t>мікропідприємництва</w:t>
            </w:r>
            <w:proofErr w:type="spellEnd"/>
            <w:r w:rsidRPr="00EC3012">
              <w:rPr>
                <w:rFonts w:ascii="Times New Roman" w:hAnsi="Times New Roman" w:cs="Times New Roman"/>
                <w:shd w:val="clear" w:color="auto" w:fill="FFFFFF"/>
              </w:rPr>
              <w:t>, - не частіше одного разу на три роки.</w:t>
            </w:r>
          </w:p>
          <w:p w14:paraId="683E3345" w14:textId="0BA9B232" w:rsidR="00826D1E" w:rsidRPr="00EC3012" w:rsidRDefault="00826D1E" w:rsidP="001F249E">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Для цілей цього пункту застосовуються критерії віднесення ліцензіатів до певних категорій суб'єктів господарювання, що визначені </w:t>
            </w:r>
            <w:r w:rsidRPr="00EC3012">
              <w:rPr>
                <w:rFonts w:ascii="Times New Roman" w:hAnsi="Times New Roman" w:cs="Times New Roman"/>
                <w:b/>
                <w:shd w:val="clear" w:color="auto" w:fill="FFFFFF"/>
              </w:rPr>
              <w:t>Законом України «Про особливості регулювання діяльності юридичних осіб окремих організаційно-правових форм у перехідний період та об’єднань юридичних осіб»</w:t>
            </w:r>
            <w:r w:rsidRPr="00EC3012">
              <w:rPr>
                <w:rFonts w:ascii="Times New Roman" w:hAnsi="Times New Roman" w:cs="Times New Roman"/>
                <w:shd w:val="clear" w:color="auto" w:fill="FFFFFF"/>
              </w:rPr>
              <w:t>.</w:t>
            </w:r>
          </w:p>
        </w:tc>
      </w:tr>
      <w:tr w:rsidR="00283945" w:rsidRPr="00EC3012" w14:paraId="4D3021AC" w14:textId="77777777" w:rsidTr="00AB6756">
        <w:trPr>
          <w:trHeight w:val="610"/>
        </w:trPr>
        <w:tc>
          <w:tcPr>
            <w:tcW w:w="7724" w:type="dxa"/>
          </w:tcPr>
          <w:p w14:paraId="558DDF35" w14:textId="77777777" w:rsidR="00FA69BA" w:rsidRPr="00EC3012" w:rsidRDefault="00FA69BA" w:rsidP="00AB6756">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3.4. Планова перевірка проводиться за умови надання ліцензіату письмового повідомлення про проведення планової перевірки за формою, наведеною в додатку 3 до цього Порядку, не пізніше як за 10 днів до її початку.</w:t>
            </w:r>
          </w:p>
          <w:p w14:paraId="65576891" w14:textId="2CC4895F" w:rsidR="00283945" w:rsidRPr="00EC3012" w:rsidRDefault="00FA69BA" w:rsidP="00E137F6">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Повідомлення надсилається рекомендованим листом (за місцезнаходженням ліцензіата згідно з даними, що містяться в ліцензійній справі, або місцем провадження ліцензіатом господарської діяльності, що підлягає ліцензуванню) та на електронну пошту ліцензіата, зазначену в ліцензійному реєстрі, або вручається особисто уповноваженій особі ліцензіата під розписку з реєстрацією в журналі вхідної кореспонденції.</w:t>
            </w:r>
          </w:p>
        </w:tc>
        <w:tc>
          <w:tcPr>
            <w:tcW w:w="7725" w:type="dxa"/>
          </w:tcPr>
          <w:p w14:paraId="2952A4A5" w14:textId="66AB95A8" w:rsidR="00AB6756" w:rsidRPr="00EC3012" w:rsidRDefault="00AB6756" w:rsidP="00AB6756">
            <w:pPr>
              <w:ind w:firstLine="308"/>
              <w:jc w:val="both"/>
              <w:rPr>
                <w:rFonts w:ascii="Times New Roman" w:hAnsi="Times New Roman" w:cs="Times New Roman"/>
                <w:shd w:val="clear" w:color="auto" w:fill="FFFFFF"/>
              </w:rPr>
            </w:pPr>
            <w:r w:rsidRPr="00EC3012">
              <w:rPr>
                <w:rFonts w:ascii="Times New Roman" w:hAnsi="Times New Roman" w:cs="Times New Roman"/>
                <w:b/>
                <w:shd w:val="clear" w:color="auto" w:fill="FFFFFF"/>
              </w:rPr>
              <w:t>3.5.</w:t>
            </w:r>
            <w:r w:rsidRPr="00EC3012">
              <w:rPr>
                <w:rFonts w:ascii="Times New Roman" w:hAnsi="Times New Roman" w:cs="Times New Roman"/>
                <w:shd w:val="clear" w:color="auto" w:fill="FFFFFF"/>
              </w:rPr>
              <w:t xml:space="preserve"> Планова перевірка проводиться за умови надання ліцензіату письмового повідомлення про проведення планової перевірки за формою, наведеною в додатку 3 до цього Порядку, не пізніше як за 10 днів до її початку.</w:t>
            </w:r>
          </w:p>
          <w:p w14:paraId="65537158" w14:textId="2725E362" w:rsidR="00283945" w:rsidRPr="00EC3012" w:rsidRDefault="00AB6756" w:rsidP="00E137F6">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Повідомлення надсилається рекомендованим листом (за місцезнаходженням ліцензіата згідно з даними, що містяться в </w:t>
            </w:r>
            <w:r w:rsidRPr="00EC3012">
              <w:rPr>
                <w:rFonts w:ascii="Times New Roman" w:hAnsi="Times New Roman" w:cs="Times New Roman"/>
                <w:b/>
                <w:shd w:val="clear" w:color="auto" w:fill="FFFFFF"/>
              </w:rPr>
              <w:t>ліцензійному реєстрі</w:t>
            </w:r>
            <w:r w:rsidRPr="00EC3012">
              <w:rPr>
                <w:rFonts w:ascii="Times New Roman" w:hAnsi="Times New Roman" w:cs="Times New Roman"/>
                <w:shd w:val="clear" w:color="auto" w:fill="FFFFFF"/>
              </w:rPr>
              <w:t>, або місцем провадження ліцензіатом господарської діяльності, що підлягає ліцензуванню) та на електронну пошту ліцензіата, зазначену в ліцензійному реєстрі, або вручається особисто уповноваженій особі ліцензіата під розписку з реєстрацією в журналі вхідної кореспонденції.</w:t>
            </w:r>
          </w:p>
        </w:tc>
      </w:tr>
      <w:tr w:rsidR="00AB6756" w:rsidRPr="00EC3012" w14:paraId="5932E462" w14:textId="77777777" w:rsidTr="0097697B">
        <w:trPr>
          <w:trHeight w:val="610"/>
        </w:trPr>
        <w:tc>
          <w:tcPr>
            <w:tcW w:w="7724" w:type="dxa"/>
          </w:tcPr>
          <w:p w14:paraId="75C82AA2" w14:textId="3EAAFFBC"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7.5. У разі встановлення у перший день перевірки факту відсутності суб'єкта, що належить до особливої групи споживачів та/або його уповноваженої особи, за його місцезнаходженням згідно з даними, що містяться в Єдиному державному реєстрі юридичних осіб, фізичних осіб - підприємців та </w:t>
            </w:r>
            <w:r w:rsidRPr="00EC3012">
              <w:rPr>
                <w:rFonts w:ascii="Times New Roman" w:hAnsi="Times New Roman" w:cs="Times New Roman"/>
                <w:shd w:val="clear" w:color="auto" w:fill="FFFFFF"/>
              </w:rPr>
              <w:lastRenderedPageBreak/>
              <w:t>громадських формувань, ліцензіата та/або його уповноваженої особи за його місцезнаходженням згідно з даними, що містяться у ліцензійній справі, у цей день складається акт про відмову у проведенні перевірки за формою, наведеною в додатку 23 до цього Порядку.</w:t>
            </w:r>
          </w:p>
          <w:p w14:paraId="4121A58A" w14:textId="77777777" w:rsidR="0097697B" w:rsidRPr="00EC3012" w:rsidRDefault="0097697B" w:rsidP="0097697B">
            <w:pPr>
              <w:ind w:firstLine="308"/>
              <w:jc w:val="both"/>
              <w:rPr>
                <w:rFonts w:ascii="Times New Roman" w:hAnsi="Times New Roman" w:cs="Times New Roman"/>
                <w:shd w:val="clear" w:color="auto" w:fill="FFFFFF"/>
              </w:rPr>
            </w:pPr>
          </w:p>
          <w:p w14:paraId="7CEAAE5E" w14:textId="77777777"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Один примірник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про відмову у проведенні перевірки надсилається суб'єкту, що належать до особливої групи споживачів, ліцензіату за місцезнаходженням ліцензіата згідно з відомостями, що містяться в Єдиному державному реєстрі юридичних осіб, фізичних осіб - підприємців та громадських формувань, рекомендованим листом протягом п'яти робочих днів з дня підписання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членами комісії з перевірки. Другий примірник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про відмову у проведенні перевірки долучається до ліцензійної справи (у разі її наявності) та зберігається в НКРЕКП. Перевірка при цьому вважається завершеною та акт перевірки за формою, наведеною в додатку 21 до цього Порядку, не складається.</w:t>
            </w:r>
          </w:p>
          <w:p w14:paraId="569A359B" w14:textId="77777777"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Датою отримання такого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буде вважатися дата його особистого вручення, що підтверджується підписом одержувача та/або реєстрацією вхідної кореспонденції, або п'ятий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6EF07E30" w14:textId="77777777"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У разі доведення ліцензіатом (шляхом надання письмових пояснень та обґрунтувань з відповідними підтвердними документами) протягом п'яти робочих днів з дня отримання такого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 перевірка вважається такою, що не відбулась, акт про відмову у проведенні перевірки не вноситься на засідання НКРЕКП та долучається до ліцензійної справи за погодженням з членом НКРЕКП відповідно до розподілу функціональних обов'язків.</w:t>
            </w:r>
          </w:p>
          <w:p w14:paraId="1D597297" w14:textId="09E928DF" w:rsidR="00AB6756" w:rsidRPr="00EC3012" w:rsidRDefault="00AB6756" w:rsidP="00E137F6">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НКРЕКП проводить перевірку такого ліцензіата за новим місцезнаходженням протягом трьох місяців з дня отримання письмових пояснень та обґрунтувань ліцензіата з наданими підтвердними документами.</w:t>
            </w:r>
          </w:p>
        </w:tc>
        <w:tc>
          <w:tcPr>
            <w:tcW w:w="7725" w:type="dxa"/>
          </w:tcPr>
          <w:p w14:paraId="618E1607" w14:textId="0B545E1C"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 xml:space="preserve">7.5. У разі встановлення у перший день перевірки факту відсутності суб'єкта, що належить до особливої групи споживачів та/або його уповноваженої особи, за його місцезнаходженням згідно з даними, що містяться в Єдиному державному реєстрі юридичних осіб, фізичних осіб - підприємців та </w:t>
            </w:r>
            <w:r w:rsidRPr="00EC3012">
              <w:rPr>
                <w:rFonts w:ascii="Times New Roman" w:hAnsi="Times New Roman" w:cs="Times New Roman"/>
                <w:shd w:val="clear" w:color="auto" w:fill="FFFFFF"/>
              </w:rPr>
              <w:lastRenderedPageBreak/>
              <w:t xml:space="preserve">громадських формувань, ліцензіата та/або його уповноваженої особи за його місцезнаходженням згідно з даними, що містяться у </w:t>
            </w:r>
            <w:r w:rsidR="0097697B" w:rsidRPr="00EC3012">
              <w:rPr>
                <w:rFonts w:ascii="Times New Roman" w:hAnsi="Times New Roman" w:cs="Times New Roman"/>
                <w:b/>
                <w:shd w:val="clear" w:color="auto" w:fill="FFFFFF"/>
              </w:rPr>
              <w:t>ліцензійному реєстрі, або місцем провадження ліцензіатом господарської діяльності, що підлягає ліцензуванню</w:t>
            </w:r>
            <w:r w:rsidRPr="00EC3012">
              <w:rPr>
                <w:rFonts w:ascii="Times New Roman" w:hAnsi="Times New Roman" w:cs="Times New Roman"/>
                <w:shd w:val="clear" w:color="auto" w:fill="FFFFFF"/>
              </w:rPr>
              <w:t>, у цей день складається акт про відмову у проведенні перевірки за формою, наведеною в додатку 23 до цього Порядку.</w:t>
            </w:r>
          </w:p>
          <w:p w14:paraId="22EFF219" w14:textId="77777777"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Один примірник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про відмову у проведенні перевірки надсилається суб'єкту, що належать до особливої групи споживачів, ліцензіату за місцезнаходженням ліцензіата згідно з відомостями, що містяться в Єдиному державному реєстрі юридичних осіб, фізичних осіб - підприємців та громадських формувань, рекомендованим листом протягом п'яти робочих днів з дня підписання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членами комісії з перевірки. Другий примірник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про відмову у проведенні перевірки долучається до ліцензійної справи (у разі її наявності) та зберігається в НКРЕКП. Перевірка при цьому вважається завершеною та акт перевірки за формою, наведеною в додатку 21 до цього Порядку, не складається.</w:t>
            </w:r>
          </w:p>
          <w:p w14:paraId="6A275D9B" w14:textId="77777777" w:rsidR="00AB6756" w:rsidRPr="00EC3012" w:rsidRDefault="00AB6756" w:rsidP="0097697B">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Датою отримання такого </w:t>
            </w:r>
            <w:proofErr w:type="spellStart"/>
            <w:r w:rsidRPr="00EC3012">
              <w:rPr>
                <w:rFonts w:ascii="Times New Roman" w:hAnsi="Times New Roman" w:cs="Times New Roman"/>
                <w:shd w:val="clear" w:color="auto" w:fill="FFFFFF"/>
              </w:rPr>
              <w:t>акта</w:t>
            </w:r>
            <w:proofErr w:type="spellEnd"/>
            <w:r w:rsidRPr="00EC3012">
              <w:rPr>
                <w:rFonts w:ascii="Times New Roman" w:hAnsi="Times New Roman" w:cs="Times New Roman"/>
                <w:shd w:val="clear" w:color="auto" w:fill="FFFFFF"/>
              </w:rPr>
              <w:t xml:space="preserve"> буде вважатися дата його особистого вручення, що підтверджується підписом одержувача та/або реєстрацією вхідної кореспонденції, або п'ятий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033EE9D1" w14:textId="77777777" w:rsidR="00AB6756" w:rsidRPr="00EC3012" w:rsidRDefault="00AB6756" w:rsidP="0097697B">
            <w:pPr>
              <w:ind w:firstLine="308"/>
              <w:jc w:val="both"/>
              <w:rPr>
                <w:rFonts w:ascii="Times New Roman" w:hAnsi="Times New Roman" w:cs="Times New Roman"/>
                <w:b/>
                <w:strike/>
                <w:shd w:val="clear" w:color="auto" w:fill="FFFFFF"/>
              </w:rPr>
            </w:pPr>
            <w:r w:rsidRPr="00EC3012">
              <w:rPr>
                <w:rFonts w:ascii="Times New Roman" w:hAnsi="Times New Roman" w:cs="Times New Roman"/>
                <w:b/>
                <w:strike/>
                <w:shd w:val="clear" w:color="auto" w:fill="FFFFFF"/>
              </w:rPr>
              <w:t xml:space="preserve">У разі доведення ліцензіатом (шляхом надання письмових пояснень та обґрунтувань з відповідними підтвердними документами) протягом п'яти робочих днів з дня отримання такого </w:t>
            </w:r>
            <w:proofErr w:type="spellStart"/>
            <w:r w:rsidRPr="00EC3012">
              <w:rPr>
                <w:rFonts w:ascii="Times New Roman" w:hAnsi="Times New Roman" w:cs="Times New Roman"/>
                <w:b/>
                <w:strike/>
                <w:shd w:val="clear" w:color="auto" w:fill="FFFFFF"/>
              </w:rPr>
              <w:t>акта</w:t>
            </w:r>
            <w:proofErr w:type="spellEnd"/>
            <w:r w:rsidRPr="00EC3012">
              <w:rPr>
                <w:rFonts w:ascii="Times New Roman" w:hAnsi="Times New Roman" w:cs="Times New Roman"/>
                <w:b/>
                <w:strike/>
                <w:shd w:val="clear" w:color="auto" w:fill="FFFFFF"/>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 перевірка вважається такою, що не відбулась, акт про відмову у проведенні перевірки не вноситься на засідання НКРЕКП та долучається до ліцензійної справи за погодженням з членом НКРЕКП відповідно до розподілу функціональних обов'язків.</w:t>
            </w:r>
          </w:p>
          <w:p w14:paraId="0B8DC7B3" w14:textId="18E0D912" w:rsidR="00AB6756" w:rsidRPr="00EC3012" w:rsidRDefault="00AB6756" w:rsidP="00E137F6">
            <w:pPr>
              <w:ind w:firstLine="308"/>
              <w:jc w:val="both"/>
              <w:rPr>
                <w:rFonts w:ascii="Times New Roman" w:hAnsi="Times New Roman" w:cs="Times New Roman"/>
                <w:shd w:val="clear" w:color="auto" w:fill="FFFFFF"/>
              </w:rPr>
            </w:pPr>
            <w:r w:rsidRPr="00EC3012">
              <w:rPr>
                <w:rFonts w:ascii="Times New Roman" w:hAnsi="Times New Roman" w:cs="Times New Roman"/>
                <w:b/>
                <w:strike/>
                <w:shd w:val="clear" w:color="auto" w:fill="FFFFFF"/>
              </w:rPr>
              <w:t>НКРЕКП проводить перевірку такого ліцензіата за новим місцезнаходженням протягом трьох місяців з дня отримання письмових пояснень та обґрунтувань ліцензіата з наданими підтвердними документами.</w:t>
            </w:r>
          </w:p>
        </w:tc>
      </w:tr>
      <w:tr w:rsidR="004756A2" w:rsidRPr="00EC3012" w14:paraId="7E0DF302" w14:textId="77777777" w:rsidTr="00695E4F">
        <w:trPr>
          <w:trHeight w:val="610"/>
        </w:trPr>
        <w:tc>
          <w:tcPr>
            <w:tcW w:w="15449" w:type="dxa"/>
            <w:gridSpan w:val="2"/>
            <w:shd w:val="clear" w:color="auto" w:fill="A8D08D" w:themeFill="accent6" w:themeFillTint="99"/>
            <w:vAlign w:val="center"/>
          </w:tcPr>
          <w:p w14:paraId="2EB268FC" w14:textId="13793FDE" w:rsidR="004756A2" w:rsidRPr="00EC3012" w:rsidRDefault="004756A2" w:rsidP="004756A2">
            <w:pPr>
              <w:jc w:val="center"/>
              <w:rPr>
                <w:rFonts w:ascii="Times New Roman" w:hAnsi="Times New Roman" w:cs="Times New Roman"/>
                <w:b/>
              </w:rPr>
            </w:pPr>
            <w:r w:rsidRPr="00EC3012">
              <w:rPr>
                <w:rFonts w:ascii="Times New Roman" w:hAnsi="Times New Roman" w:cs="Times New Roman"/>
                <w:b/>
              </w:rPr>
              <w:lastRenderedPageBreak/>
              <w:t>Додатк</w:t>
            </w:r>
            <w:r w:rsidR="00695E4F" w:rsidRPr="00EC3012">
              <w:rPr>
                <w:rFonts w:ascii="Times New Roman" w:hAnsi="Times New Roman" w:cs="Times New Roman"/>
                <w:b/>
              </w:rPr>
              <w:t>и</w:t>
            </w:r>
            <w:r w:rsidRPr="00EC3012">
              <w:rPr>
                <w:rFonts w:ascii="Times New Roman" w:hAnsi="Times New Roman" w:cs="Times New Roman"/>
                <w:b/>
              </w:rPr>
              <w:t xml:space="preserve"> </w:t>
            </w:r>
            <w:r w:rsidR="00695E4F" w:rsidRPr="00EC3012">
              <w:rPr>
                <w:rFonts w:ascii="Times New Roman" w:hAnsi="Times New Roman" w:cs="Times New Roman"/>
                <w:b/>
              </w:rPr>
              <w:t>4 – 10</w:t>
            </w:r>
          </w:p>
          <w:p w14:paraId="3DC65DEC" w14:textId="4D0759FD" w:rsidR="004756A2" w:rsidRPr="00EC3012" w:rsidRDefault="00774A49" w:rsidP="004756A2">
            <w:pPr>
              <w:jc w:val="center"/>
              <w:rPr>
                <w:rFonts w:ascii="Times New Roman" w:hAnsi="Times New Roman" w:cs="Times New Roman"/>
                <w:b/>
              </w:rPr>
            </w:pPr>
            <w:r w:rsidRPr="00EC3012">
              <w:rPr>
                <w:rFonts w:ascii="Times New Roman" w:hAnsi="Times New Roman" w:cs="Times New Roman"/>
                <w:b/>
              </w:rPr>
              <w:t xml:space="preserve">Перелік </w:t>
            </w:r>
            <w:r w:rsidR="00F924C6" w:rsidRPr="00EC3012">
              <w:rPr>
                <w:rFonts w:ascii="Times New Roman" w:hAnsi="Times New Roman" w:cs="Times New Roman"/>
                <w:b/>
              </w:rPr>
              <w:t>п</w:t>
            </w:r>
            <w:r w:rsidRPr="00EC3012">
              <w:rPr>
                <w:rFonts w:ascii="Times New Roman" w:hAnsi="Times New Roman" w:cs="Times New Roman"/>
                <w:b/>
              </w:rPr>
              <w:t>итань</w:t>
            </w:r>
            <w:r w:rsidR="00F924C6" w:rsidRPr="00EC3012">
              <w:rPr>
                <w:rFonts w:ascii="Times New Roman" w:hAnsi="Times New Roman" w:cs="Times New Roman"/>
                <w:b/>
              </w:rPr>
              <w:t xml:space="preserve"> для перевірки дотримання вимог законодавства та ліцензійних умов провадження господарської діяльності зі здійснення функції гарантованого покупця, функції оператора ринку, передачі електричної енергії, виробництва електричної енергії, постачання електричної енергії споживачу, перепродажу електричної енергії (</w:t>
            </w:r>
            <w:proofErr w:type="spellStart"/>
            <w:r w:rsidR="00F924C6" w:rsidRPr="00EC3012">
              <w:rPr>
                <w:rFonts w:ascii="Times New Roman" w:hAnsi="Times New Roman" w:cs="Times New Roman"/>
                <w:b/>
              </w:rPr>
              <w:t>трейдерської</w:t>
            </w:r>
            <w:proofErr w:type="spellEnd"/>
            <w:r w:rsidR="00F924C6" w:rsidRPr="00EC3012">
              <w:rPr>
                <w:rFonts w:ascii="Times New Roman" w:hAnsi="Times New Roman" w:cs="Times New Roman"/>
                <w:b/>
              </w:rPr>
              <w:t xml:space="preserve"> діяльності)</w:t>
            </w:r>
            <w:r w:rsidR="008537A0" w:rsidRPr="00EC3012">
              <w:rPr>
                <w:rFonts w:ascii="Times New Roman" w:hAnsi="Times New Roman" w:cs="Times New Roman"/>
                <w:b/>
              </w:rPr>
              <w:t xml:space="preserve">, розподілу електричної енергії, </w:t>
            </w:r>
          </w:p>
        </w:tc>
      </w:tr>
      <w:tr w:rsidR="004756A2" w:rsidRPr="00EC3012" w14:paraId="5961F9E9" w14:textId="77777777" w:rsidTr="001D63BA">
        <w:trPr>
          <w:trHeight w:val="610"/>
        </w:trPr>
        <w:tc>
          <w:tcPr>
            <w:tcW w:w="7724" w:type="dxa"/>
            <w:vAlign w:val="center"/>
          </w:tcPr>
          <w:p w14:paraId="660CEC22" w14:textId="0DF88283" w:rsidR="004756A2" w:rsidRPr="00EC3012" w:rsidRDefault="004756A2" w:rsidP="004756A2">
            <w:pPr>
              <w:ind w:firstLine="308"/>
              <w:jc w:val="both"/>
              <w:rPr>
                <w:rFonts w:ascii="Times New Roman" w:hAnsi="Times New Roman" w:cs="Times New Roman"/>
                <w:shd w:val="clear" w:color="auto" w:fill="FFFFFF"/>
              </w:rPr>
            </w:pPr>
          </w:p>
        </w:tc>
        <w:tc>
          <w:tcPr>
            <w:tcW w:w="7725" w:type="dxa"/>
            <w:vAlign w:val="center"/>
          </w:tcPr>
          <w:p w14:paraId="18CBB16A" w14:textId="5372D2C3" w:rsidR="004756A2" w:rsidRPr="00EC5706" w:rsidRDefault="008537A0" w:rsidP="00EC5706">
            <w:pPr>
              <w:ind w:firstLine="308"/>
              <w:jc w:val="both"/>
              <w:rPr>
                <w:rFonts w:ascii="Times New Roman" w:hAnsi="Times New Roman" w:cs="Times New Roman"/>
                <w:b/>
                <w:shd w:val="clear" w:color="auto" w:fill="FFFFFF"/>
              </w:rPr>
            </w:pPr>
            <w:r w:rsidRPr="00EC5706">
              <w:rPr>
                <w:rFonts w:ascii="Times New Roman" w:hAnsi="Times New Roman" w:cs="Times New Roman"/>
                <w:b/>
                <w:shd w:val="clear" w:color="auto" w:fill="FFFFFF"/>
              </w:rPr>
              <w:t>Переліки питань викладаються в новій редакції, що додається</w:t>
            </w:r>
          </w:p>
        </w:tc>
      </w:tr>
      <w:tr w:rsidR="004756A2" w:rsidRPr="00EC3012" w14:paraId="4F0EFB53" w14:textId="77777777" w:rsidTr="00AD1AC3">
        <w:trPr>
          <w:trHeight w:val="610"/>
        </w:trPr>
        <w:tc>
          <w:tcPr>
            <w:tcW w:w="15449" w:type="dxa"/>
            <w:gridSpan w:val="2"/>
            <w:shd w:val="clear" w:color="auto" w:fill="A8D08D" w:themeFill="accent6" w:themeFillTint="99"/>
            <w:vAlign w:val="center"/>
          </w:tcPr>
          <w:p w14:paraId="489E50F1" w14:textId="17E5144F" w:rsidR="004756A2" w:rsidRPr="00EC3012" w:rsidRDefault="004756A2" w:rsidP="004756A2">
            <w:pPr>
              <w:jc w:val="center"/>
              <w:rPr>
                <w:rFonts w:ascii="Times New Roman" w:hAnsi="Times New Roman" w:cs="Times New Roman"/>
                <w:b/>
              </w:rPr>
            </w:pPr>
            <w:r w:rsidRPr="00EC3012">
              <w:rPr>
                <w:rFonts w:ascii="Times New Roman" w:hAnsi="Times New Roman" w:cs="Times New Roman"/>
                <w:b/>
              </w:rPr>
              <w:t>Додаток 24</w:t>
            </w:r>
          </w:p>
          <w:p w14:paraId="4F60C915" w14:textId="25054F2B" w:rsidR="004756A2" w:rsidRPr="00EC3012" w:rsidRDefault="004756A2" w:rsidP="004756A2">
            <w:pPr>
              <w:jc w:val="center"/>
              <w:rPr>
                <w:rFonts w:ascii="Times New Roman" w:hAnsi="Times New Roman" w:cs="Times New Roman"/>
                <w:b/>
              </w:rPr>
            </w:pPr>
            <w:r w:rsidRPr="00EC3012">
              <w:rPr>
                <w:rFonts w:ascii="Times New Roman" w:hAnsi="Times New Roman" w:cs="Times New Roman"/>
                <w:b/>
              </w:rPr>
              <w:t>Методика визначення сум надлишково отриманого або недоотриманого доходу від здійснення ліцензованої діяльності з розподілу електричної енергії</w:t>
            </w:r>
          </w:p>
        </w:tc>
      </w:tr>
      <w:tr w:rsidR="004756A2" w:rsidRPr="00EC3012" w14:paraId="0E73B4B5" w14:textId="77777777" w:rsidTr="00B8101A">
        <w:trPr>
          <w:trHeight w:val="610"/>
        </w:trPr>
        <w:tc>
          <w:tcPr>
            <w:tcW w:w="7724" w:type="dxa"/>
          </w:tcPr>
          <w:p w14:paraId="27586695" w14:textId="77777777" w:rsidR="004756A2" w:rsidRPr="005B2F6F" w:rsidRDefault="004756A2" w:rsidP="00B810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695DD7F" w14:textId="77777777" w:rsidR="004756A2" w:rsidRPr="005B2F6F" w:rsidRDefault="004756A2" w:rsidP="00B8101A">
            <w:pPr>
              <w:ind w:firstLine="308"/>
              <w:jc w:val="both"/>
              <w:rPr>
                <w:rFonts w:ascii="Times New Roman" w:hAnsi="Times New Roman" w:cs="Times New Roman"/>
                <w:shd w:val="clear" w:color="auto" w:fill="FFFFFF"/>
              </w:rPr>
            </w:pPr>
          </w:p>
          <w:p w14:paraId="7409807F" w14:textId="77777777" w:rsidR="004756A2" w:rsidRPr="005B2F6F" w:rsidRDefault="004756A2" w:rsidP="00B810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&lt;…&gt;</w:t>
            </w:r>
          </w:p>
          <w:p w14:paraId="547AF398" w14:textId="77777777" w:rsidR="004756A2" w:rsidRPr="005B2F6F" w:rsidRDefault="004756A2" w:rsidP="00B8101A">
            <w:pPr>
              <w:ind w:firstLine="308"/>
              <w:jc w:val="both"/>
              <w:rPr>
                <w:rFonts w:ascii="Times New Roman" w:hAnsi="Times New Roman" w:cs="Times New Roman"/>
                <w:shd w:val="clear" w:color="auto" w:fill="FFFFFF"/>
              </w:rPr>
            </w:pPr>
          </w:p>
          <w:p w14:paraId="5BDD42BF" w14:textId="5F67A68B" w:rsidR="004756A2" w:rsidRPr="005B2F6F" w:rsidRDefault="00B8101A" w:rsidP="00B810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 xml:space="preserve">&lt; </w:t>
            </w:r>
            <w:r w:rsidR="00C81821" w:rsidRPr="005B2F6F">
              <w:rPr>
                <w:rFonts w:ascii="Times New Roman" w:hAnsi="Times New Roman" w:cs="Times New Roman"/>
                <w:shd w:val="clear" w:color="auto" w:fill="FFFFFF"/>
              </w:rPr>
              <w:t>Відсутній</w:t>
            </w:r>
            <w:r w:rsidRPr="005B2F6F">
              <w:rPr>
                <w:rFonts w:ascii="Times New Roman" w:hAnsi="Times New Roman" w:cs="Times New Roman"/>
                <w:shd w:val="clear" w:color="auto" w:fill="FFFFFF"/>
              </w:rPr>
              <w:t xml:space="preserve"> &gt;</w:t>
            </w:r>
          </w:p>
          <w:p w14:paraId="5BA8D18F" w14:textId="77777777" w:rsidR="004756A2" w:rsidRPr="005B2F6F" w:rsidRDefault="004756A2" w:rsidP="00B8101A">
            <w:pPr>
              <w:ind w:firstLine="308"/>
              <w:jc w:val="both"/>
              <w:rPr>
                <w:rFonts w:ascii="Times New Roman" w:hAnsi="Times New Roman" w:cs="Times New Roman"/>
                <w:shd w:val="clear" w:color="auto" w:fill="FFFFFF"/>
              </w:rPr>
            </w:pPr>
          </w:p>
          <w:p w14:paraId="10A9BB8B" w14:textId="77777777" w:rsidR="004756A2" w:rsidRPr="005B2F6F" w:rsidRDefault="004756A2" w:rsidP="00B8101A">
            <w:pPr>
              <w:ind w:firstLine="308"/>
              <w:jc w:val="both"/>
              <w:rPr>
                <w:rFonts w:ascii="Times New Roman" w:hAnsi="Times New Roman" w:cs="Times New Roman"/>
                <w:shd w:val="clear" w:color="auto" w:fill="FFFFFF"/>
              </w:rPr>
            </w:pPr>
          </w:p>
          <w:p w14:paraId="59330656" w14:textId="77777777" w:rsidR="004756A2" w:rsidRPr="005B2F6F" w:rsidRDefault="004756A2" w:rsidP="00B8101A">
            <w:pPr>
              <w:ind w:firstLine="308"/>
              <w:jc w:val="both"/>
              <w:rPr>
                <w:rFonts w:ascii="Times New Roman" w:hAnsi="Times New Roman" w:cs="Times New Roman"/>
                <w:shd w:val="clear" w:color="auto" w:fill="FFFFFF"/>
              </w:rPr>
            </w:pPr>
          </w:p>
          <w:p w14:paraId="74CA0CBA" w14:textId="7047797A" w:rsidR="004756A2" w:rsidRPr="005B2F6F" w:rsidRDefault="004756A2" w:rsidP="00B8101A">
            <w:pPr>
              <w:ind w:firstLine="308"/>
              <w:jc w:val="both"/>
              <w:rPr>
                <w:rFonts w:ascii="Times New Roman" w:hAnsi="Times New Roman" w:cs="Times New Roman"/>
                <w:shd w:val="clear" w:color="auto" w:fill="FFFFFF"/>
              </w:rPr>
            </w:pPr>
          </w:p>
          <w:p w14:paraId="010C404A" w14:textId="4E0B0EB4" w:rsidR="00C81821" w:rsidRPr="005B2F6F" w:rsidRDefault="00C81821" w:rsidP="00B8101A">
            <w:pPr>
              <w:ind w:firstLine="308"/>
              <w:jc w:val="both"/>
              <w:rPr>
                <w:rFonts w:ascii="Times New Roman" w:hAnsi="Times New Roman" w:cs="Times New Roman"/>
                <w:shd w:val="clear" w:color="auto" w:fill="FFFFFF"/>
              </w:rPr>
            </w:pPr>
          </w:p>
          <w:p w14:paraId="193FF599" w14:textId="45BDA43B" w:rsidR="00C81821" w:rsidRPr="005B2F6F" w:rsidRDefault="00C81821" w:rsidP="00B8101A">
            <w:pPr>
              <w:ind w:firstLine="308"/>
              <w:jc w:val="both"/>
              <w:rPr>
                <w:rFonts w:ascii="Times New Roman" w:hAnsi="Times New Roman" w:cs="Times New Roman"/>
                <w:shd w:val="clear" w:color="auto" w:fill="FFFFFF"/>
              </w:rPr>
            </w:pPr>
          </w:p>
          <w:p w14:paraId="17524760" w14:textId="4A88DC7B" w:rsidR="00C81821" w:rsidRPr="005B2F6F" w:rsidRDefault="00C81821" w:rsidP="00B8101A">
            <w:pPr>
              <w:ind w:firstLine="308"/>
              <w:jc w:val="both"/>
              <w:rPr>
                <w:rFonts w:ascii="Times New Roman" w:hAnsi="Times New Roman" w:cs="Times New Roman"/>
                <w:shd w:val="clear" w:color="auto" w:fill="FFFFFF"/>
              </w:rPr>
            </w:pPr>
          </w:p>
          <w:p w14:paraId="7F7F33C5" w14:textId="4DF20BA5" w:rsidR="00C81821" w:rsidRPr="005B2F6F" w:rsidRDefault="00C81821" w:rsidP="00B8101A">
            <w:pPr>
              <w:ind w:firstLine="308"/>
              <w:jc w:val="both"/>
              <w:rPr>
                <w:rFonts w:ascii="Times New Roman" w:hAnsi="Times New Roman" w:cs="Times New Roman"/>
                <w:shd w:val="clear" w:color="auto" w:fill="FFFFFF"/>
              </w:rPr>
            </w:pPr>
          </w:p>
          <w:p w14:paraId="59B5952D" w14:textId="2628D031" w:rsidR="00C81821" w:rsidRPr="005B2F6F" w:rsidRDefault="00C81821" w:rsidP="00B8101A">
            <w:pPr>
              <w:ind w:firstLine="308"/>
              <w:jc w:val="both"/>
              <w:rPr>
                <w:rFonts w:ascii="Times New Roman" w:hAnsi="Times New Roman" w:cs="Times New Roman"/>
                <w:shd w:val="clear" w:color="auto" w:fill="FFFFFF"/>
              </w:rPr>
            </w:pPr>
          </w:p>
          <w:p w14:paraId="06C7B069" w14:textId="35C75FFF" w:rsidR="00C81821" w:rsidRPr="005B2F6F" w:rsidRDefault="00C81821" w:rsidP="00B8101A">
            <w:pPr>
              <w:ind w:firstLine="308"/>
              <w:jc w:val="both"/>
              <w:rPr>
                <w:rFonts w:ascii="Times New Roman" w:hAnsi="Times New Roman" w:cs="Times New Roman"/>
                <w:shd w:val="clear" w:color="auto" w:fill="FFFFFF"/>
              </w:rPr>
            </w:pPr>
          </w:p>
          <w:p w14:paraId="3CBA87CA" w14:textId="5AF8152A" w:rsidR="00C81821" w:rsidRPr="005B2F6F" w:rsidRDefault="00C81821" w:rsidP="00B8101A">
            <w:pPr>
              <w:ind w:firstLine="308"/>
              <w:jc w:val="both"/>
              <w:rPr>
                <w:rFonts w:ascii="Times New Roman" w:hAnsi="Times New Roman" w:cs="Times New Roman"/>
                <w:shd w:val="clear" w:color="auto" w:fill="FFFFFF"/>
              </w:rPr>
            </w:pPr>
          </w:p>
          <w:p w14:paraId="7A50E2B7" w14:textId="0C168D5B" w:rsidR="00C81821" w:rsidRPr="005B2F6F" w:rsidRDefault="00C81821" w:rsidP="00B8101A">
            <w:pPr>
              <w:ind w:firstLine="308"/>
              <w:jc w:val="both"/>
              <w:rPr>
                <w:rFonts w:ascii="Times New Roman" w:hAnsi="Times New Roman" w:cs="Times New Roman"/>
                <w:shd w:val="clear" w:color="auto" w:fill="FFFFFF"/>
              </w:rPr>
            </w:pPr>
          </w:p>
          <w:p w14:paraId="58398DBC" w14:textId="32FF4F8C" w:rsidR="00C81821" w:rsidRPr="005B2F6F" w:rsidRDefault="00C81821" w:rsidP="00B8101A">
            <w:pPr>
              <w:ind w:firstLine="308"/>
              <w:jc w:val="both"/>
              <w:rPr>
                <w:rFonts w:ascii="Times New Roman" w:hAnsi="Times New Roman" w:cs="Times New Roman"/>
                <w:shd w:val="clear" w:color="auto" w:fill="FFFFFF"/>
              </w:rPr>
            </w:pPr>
          </w:p>
          <w:p w14:paraId="079B7711" w14:textId="72338C68" w:rsidR="00C81821" w:rsidRPr="005B2F6F" w:rsidRDefault="00C81821" w:rsidP="00B8101A">
            <w:pPr>
              <w:ind w:firstLine="308"/>
              <w:jc w:val="both"/>
              <w:rPr>
                <w:rFonts w:ascii="Times New Roman" w:hAnsi="Times New Roman" w:cs="Times New Roman"/>
                <w:shd w:val="clear" w:color="auto" w:fill="FFFFFF"/>
              </w:rPr>
            </w:pPr>
          </w:p>
          <w:p w14:paraId="424F38CA" w14:textId="74426E61" w:rsidR="00C81821" w:rsidRPr="005B2F6F" w:rsidRDefault="00C81821" w:rsidP="00B8101A">
            <w:pPr>
              <w:ind w:firstLine="308"/>
              <w:jc w:val="both"/>
              <w:rPr>
                <w:rFonts w:ascii="Times New Roman" w:hAnsi="Times New Roman" w:cs="Times New Roman"/>
                <w:shd w:val="clear" w:color="auto" w:fill="FFFFFF"/>
              </w:rPr>
            </w:pPr>
          </w:p>
          <w:p w14:paraId="339166A4" w14:textId="77777777" w:rsidR="00C81821" w:rsidRPr="005B2F6F" w:rsidRDefault="00C81821" w:rsidP="00B8101A">
            <w:pPr>
              <w:ind w:firstLine="308"/>
              <w:jc w:val="both"/>
              <w:rPr>
                <w:rFonts w:ascii="Times New Roman" w:hAnsi="Times New Roman" w:cs="Times New Roman"/>
                <w:shd w:val="clear" w:color="auto" w:fill="FFFFFF"/>
              </w:rPr>
            </w:pPr>
          </w:p>
          <w:p w14:paraId="5BD66A17" w14:textId="6C619E06" w:rsidR="004756A2" w:rsidRPr="005B2F6F" w:rsidRDefault="004756A2" w:rsidP="00B8101A">
            <w:pPr>
              <w:ind w:firstLine="308"/>
              <w:jc w:val="both"/>
              <w:rPr>
                <w:rFonts w:ascii="Times New Roman" w:hAnsi="Times New Roman" w:cs="Times New Roman"/>
                <w:shd w:val="clear" w:color="auto" w:fill="FFFFFF"/>
              </w:rPr>
            </w:pPr>
          </w:p>
          <w:p w14:paraId="77F849D5" w14:textId="77777777" w:rsidR="004756A2" w:rsidRPr="005B2F6F" w:rsidRDefault="004756A2" w:rsidP="00B8101A">
            <w:pPr>
              <w:ind w:firstLine="308"/>
              <w:jc w:val="both"/>
              <w:rPr>
                <w:rFonts w:ascii="Times New Roman" w:hAnsi="Times New Roman" w:cs="Times New Roman"/>
                <w:shd w:val="clear" w:color="auto" w:fill="FFFFFF"/>
              </w:rPr>
            </w:pPr>
          </w:p>
          <w:p w14:paraId="4EF6C7F3" w14:textId="77777777" w:rsidR="004756A2" w:rsidRPr="005B2F6F" w:rsidRDefault="004756A2" w:rsidP="00B810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&lt;…&gt;</w:t>
            </w:r>
          </w:p>
          <w:p w14:paraId="3C466C3F" w14:textId="77777777" w:rsidR="004756A2" w:rsidRPr="005B2F6F" w:rsidRDefault="004756A2" w:rsidP="00B8101A">
            <w:pPr>
              <w:ind w:firstLine="308"/>
              <w:jc w:val="both"/>
              <w:rPr>
                <w:rFonts w:ascii="Times New Roman" w:hAnsi="Times New Roman" w:cs="Times New Roman"/>
                <w:shd w:val="clear" w:color="auto" w:fill="FFFFFF"/>
              </w:rPr>
            </w:pPr>
          </w:p>
          <w:p w14:paraId="7F46E87B" w14:textId="266CFEA9" w:rsidR="004756A2" w:rsidRPr="005B2F6F" w:rsidRDefault="00B8101A" w:rsidP="00B8101A">
            <w:pPr>
              <w:ind w:firstLine="308"/>
              <w:jc w:val="both"/>
              <w:rPr>
                <w:rFonts w:ascii="Times New Roman" w:hAnsi="Times New Roman"/>
              </w:rPr>
            </w:pPr>
            <w:r w:rsidRPr="005B2F6F">
              <w:rPr>
                <w:rFonts w:ascii="Times New Roman" w:hAnsi="Times New Roman"/>
              </w:rPr>
              <w:t>10)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і підтверджується звітністю та первинними документами;</w:t>
            </w:r>
          </w:p>
          <w:p w14:paraId="3E725CE8" w14:textId="4EDBC797" w:rsidR="00B8101A" w:rsidRPr="005B2F6F" w:rsidRDefault="00B8101A" w:rsidP="00B8101A">
            <w:pPr>
              <w:ind w:firstLine="308"/>
              <w:jc w:val="both"/>
              <w:rPr>
                <w:rFonts w:ascii="Times New Roman" w:hAnsi="Times New Roman" w:cs="Times New Roman"/>
                <w:shd w:val="clear" w:color="auto" w:fill="FFFFFF"/>
              </w:rPr>
            </w:pPr>
          </w:p>
          <w:p w14:paraId="6084D1D5" w14:textId="6272BA62" w:rsidR="00B8101A" w:rsidRPr="005B2F6F" w:rsidRDefault="00B8101A" w:rsidP="00B8101A">
            <w:pPr>
              <w:ind w:firstLine="308"/>
              <w:jc w:val="both"/>
              <w:rPr>
                <w:rFonts w:ascii="Times New Roman" w:hAnsi="Times New Roman" w:cs="Times New Roman"/>
                <w:shd w:val="clear" w:color="auto" w:fill="FFFFFF"/>
              </w:rPr>
            </w:pPr>
          </w:p>
          <w:p w14:paraId="666531EB" w14:textId="5338E8ED" w:rsidR="00B8101A" w:rsidRPr="005B2F6F" w:rsidRDefault="00B8101A" w:rsidP="00B8101A">
            <w:pPr>
              <w:ind w:firstLine="308"/>
              <w:jc w:val="both"/>
              <w:rPr>
                <w:rFonts w:ascii="Times New Roman" w:hAnsi="Times New Roman" w:cs="Times New Roman"/>
                <w:shd w:val="clear" w:color="auto" w:fill="FFFFFF"/>
              </w:rPr>
            </w:pPr>
          </w:p>
          <w:p w14:paraId="494C9CCC" w14:textId="1B2809A4" w:rsidR="00B8101A" w:rsidRPr="005B2F6F" w:rsidRDefault="00B8101A" w:rsidP="00B8101A">
            <w:pPr>
              <w:ind w:firstLine="308"/>
              <w:jc w:val="both"/>
              <w:rPr>
                <w:rFonts w:ascii="Times New Roman" w:hAnsi="Times New Roman" w:cs="Times New Roman"/>
                <w:shd w:val="clear" w:color="auto" w:fill="FFFFFF"/>
              </w:rPr>
            </w:pPr>
          </w:p>
          <w:p w14:paraId="6A068FA6" w14:textId="18C1C08E" w:rsidR="00B8101A" w:rsidRPr="005B2F6F" w:rsidRDefault="00B8101A" w:rsidP="00B8101A">
            <w:pPr>
              <w:ind w:firstLine="308"/>
              <w:jc w:val="both"/>
              <w:rPr>
                <w:rFonts w:ascii="Times New Roman" w:hAnsi="Times New Roman" w:cs="Times New Roman"/>
                <w:shd w:val="clear" w:color="auto" w:fill="FFFFFF"/>
              </w:rPr>
            </w:pPr>
          </w:p>
          <w:p w14:paraId="1DA7F341" w14:textId="77777777" w:rsidR="00214451" w:rsidRPr="005B2F6F" w:rsidRDefault="00214451" w:rsidP="00B8101A">
            <w:pPr>
              <w:ind w:firstLine="308"/>
              <w:jc w:val="both"/>
              <w:rPr>
                <w:rFonts w:ascii="Times New Roman" w:hAnsi="Times New Roman" w:cs="Times New Roman"/>
                <w:shd w:val="clear" w:color="auto" w:fill="FFFFFF"/>
              </w:rPr>
            </w:pPr>
          </w:p>
          <w:p w14:paraId="296CF8A0" w14:textId="275C5EA7" w:rsidR="004756A2" w:rsidRPr="005B2F6F" w:rsidRDefault="004756A2" w:rsidP="00B810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&lt;…&gt;</w:t>
            </w:r>
          </w:p>
          <w:p w14:paraId="6CF91D87" w14:textId="3830946D" w:rsidR="004756A2" w:rsidRDefault="004756A2" w:rsidP="00B8101A">
            <w:pPr>
              <w:ind w:firstLine="308"/>
              <w:jc w:val="both"/>
              <w:rPr>
                <w:rFonts w:ascii="Times New Roman" w:hAnsi="Times New Roman" w:cs="Times New Roman"/>
                <w:shd w:val="clear" w:color="auto" w:fill="FFFFFF"/>
              </w:rPr>
            </w:pPr>
          </w:p>
          <w:p w14:paraId="3ABAEA4C" w14:textId="77777777" w:rsidR="00386ECF" w:rsidRPr="005B2F6F" w:rsidRDefault="00386ECF" w:rsidP="00B8101A">
            <w:pPr>
              <w:ind w:firstLine="308"/>
              <w:jc w:val="both"/>
              <w:rPr>
                <w:rFonts w:ascii="Times New Roman" w:hAnsi="Times New Roman" w:cs="Times New Roman"/>
                <w:shd w:val="clear" w:color="auto" w:fill="FFFFFF"/>
              </w:rPr>
            </w:pPr>
          </w:p>
          <w:p w14:paraId="2EF99B99" w14:textId="77777777" w:rsidR="004756A2" w:rsidRPr="005B2F6F" w:rsidRDefault="006A208A" w:rsidP="00B810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14) сума недофінансування статей витрат структури тарифів у звітному році з урахуванням витрат, які були капіталізовані за бухгалтерським обліком;</w:t>
            </w:r>
          </w:p>
          <w:p w14:paraId="10729410" w14:textId="2C6530E1" w:rsidR="006A208A" w:rsidRPr="005B2F6F" w:rsidRDefault="006A208A" w:rsidP="00B8101A">
            <w:pPr>
              <w:ind w:firstLine="308"/>
              <w:jc w:val="both"/>
              <w:rPr>
                <w:rFonts w:ascii="Times New Roman" w:hAnsi="Times New Roman" w:cs="Times New Roman"/>
                <w:shd w:val="clear" w:color="auto" w:fill="FFFFFF"/>
              </w:rPr>
            </w:pPr>
          </w:p>
          <w:p w14:paraId="4110EAA6" w14:textId="4106C403" w:rsidR="006A208A" w:rsidRPr="005B2F6F" w:rsidRDefault="006A208A" w:rsidP="00B8101A">
            <w:pPr>
              <w:ind w:firstLine="308"/>
              <w:jc w:val="both"/>
              <w:rPr>
                <w:rFonts w:ascii="Times New Roman" w:hAnsi="Times New Roman" w:cs="Times New Roman"/>
                <w:shd w:val="clear" w:color="auto" w:fill="FFFFFF"/>
              </w:rPr>
            </w:pPr>
          </w:p>
          <w:p w14:paraId="3B9A7B89" w14:textId="30820572" w:rsidR="006A208A" w:rsidRPr="005B2F6F" w:rsidRDefault="006A208A" w:rsidP="00B8101A">
            <w:pPr>
              <w:ind w:firstLine="308"/>
              <w:jc w:val="both"/>
              <w:rPr>
                <w:rFonts w:ascii="Times New Roman" w:hAnsi="Times New Roman" w:cs="Times New Roman"/>
                <w:shd w:val="clear" w:color="auto" w:fill="FFFFFF"/>
              </w:rPr>
            </w:pPr>
          </w:p>
          <w:p w14:paraId="0717B59E" w14:textId="339F21A7" w:rsidR="006A208A" w:rsidRPr="005B2F6F" w:rsidRDefault="006A208A" w:rsidP="00B8101A">
            <w:pPr>
              <w:ind w:firstLine="308"/>
              <w:jc w:val="both"/>
              <w:rPr>
                <w:rFonts w:ascii="Times New Roman" w:hAnsi="Times New Roman" w:cs="Times New Roman"/>
                <w:shd w:val="clear" w:color="auto" w:fill="FFFFFF"/>
              </w:rPr>
            </w:pPr>
          </w:p>
          <w:p w14:paraId="7ADAC06E" w14:textId="35154814" w:rsidR="006A208A" w:rsidRPr="005B2F6F" w:rsidRDefault="006A208A" w:rsidP="00B8101A">
            <w:pPr>
              <w:ind w:firstLine="308"/>
              <w:jc w:val="both"/>
              <w:rPr>
                <w:rFonts w:ascii="Times New Roman" w:hAnsi="Times New Roman" w:cs="Times New Roman"/>
                <w:shd w:val="clear" w:color="auto" w:fill="FFFFFF"/>
              </w:rPr>
            </w:pPr>
          </w:p>
          <w:p w14:paraId="0C7AF485" w14:textId="64035035" w:rsidR="006A208A" w:rsidRPr="005B2F6F" w:rsidRDefault="006A208A" w:rsidP="00B8101A">
            <w:pPr>
              <w:ind w:firstLine="308"/>
              <w:jc w:val="both"/>
              <w:rPr>
                <w:rFonts w:ascii="Times New Roman" w:hAnsi="Times New Roman" w:cs="Times New Roman"/>
                <w:shd w:val="clear" w:color="auto" w:fill="FFFFFF"/>
              </w:rPr>
            </w:pPr>
          </w:p>
          <w:p w14:paraId="6E28DC70" w14:textId="309DB710" w:rsidR="006A208A" w:rsidRPr="005B2F6F" w:rsidRDefault="006A208A" w:rsidP="00B8101A">
            <w:pPr>
              <w:ind w:firstLine="308"/>
              <w:jc w:val="both"/>
              <w:rPr>
                <w:rFonts w:ascii="Times New Roman" w:hAnsi="Times New Roman" w:cs="Times New Roman"/>
                <w:shd w:val="clear" w:color="auto" w:fill="FFFFFF"/>
              </w:rPr>
            </w:pPr>
          </w:p>
          <w:p w14:paraId="2D84BCC0" w14:textId="5849E6B8" w:rsidR="006A208A" w:rsidRPr="005B2F6F" w:rsidRDefault="006A208A" w:rsidP="00B8101A">
            <w:pPr>
              <w:ind w:firstLine="308"/>
              <w:jc w:val="both"/>
              <w:rPr>
                <w:rFonts w:ascii="Times New Roman" w:hAnsi="Times New Roman" w:cs="Times New Roman"/>
                <w:shd w:val="clear" w:color="auto" w:fill="FFFFFF"/>
              </w:rPr>
            </w:pPr>
          </w:p>
          <w:p w14:paraId="2624F9EF" w14:textId="73951E89" w:rsidR="006A208A" w:rsidRPr="005B2F6F" w:rsidRDefault="006A208A" w:rsidP="00B8101A">
            <w:pPr>
              <w:ind w:firstLine="308"/>
              <w:jc w:val="both"/>
              <w:rPr>
                <w:rFonts w:ascii="Times New Roman" w:hAnsi="Times New Roman" w:cs="Times New Roman"/>
                <w:shd w:val="clear" w:color="auto" w:fill="FFFFFF"/>
              </w:rPr>
            </w:pPr>
          </w:p>
          <w:p w14:paraId="3AC1705F" w14:textId="2A00B711" w:rsidR="006A208A" w:rsidRPr="005B2F6F" w:rsidRDefault="006A208A" w:rsidP="00B8101A">
            <w:pPr>
              <w:ind w:firstLine="308"/>
              <w:jc w:val="both"/>
              <w:rPr>
                <w:rFonts w:ascii="Times New Roman" w:hAnsi="Times New Roman" w:cs="Times New Roman"/>
                <w:shd w:val="clear" w:color="auto" w:fill="FFFFFF"/>
              </w:rPr>
            </w:pPr>
          </w:p>
          <w:p w14:paraId="787BD6BF" w14:textId="41EA59D8" w:rsidR="006A208A" w:rsidRPr="005B2F6F" w:rsidRDefault="006A208A" w:rsidP="00B8101A">
            <w:pPr>
              <w:ind w:firstLine="308"/>
              <w:jc w:val="both"/>
              <w:rPr>
                <w:rFonts w:ascii="Times New Roman" w:hAnsi="Times New Roman" w:cs="Times New Roman"/>
                <w:shd w:val="clear" w:color="auto" w:fill="FFFFFF"/>
              </w:rPr>
            </w:pPr>
          </w:p>
          <w:p w14:paraId="56858211" w14:textId="5ADBB4C5" w:rsidR="006A208A" w:rsidRPr="005B2F6F" w:rsidRDefault="006A208A" w:rsidP="00B8101A">
            <w:pPr>
              <w:ind w:firstLine="308"/>
              <w:jc w:val="both"/>
              <w:rPr>
                <w:rFonts w:ascii="Times New Roman" w:hAnsi="Times New Roman" w:cs="Times New Roman"/>
                <w:shd w:val="clear" w:color="auto" w:fill="FFFFFF"/>
              </w:rPr>
            </w:pPr>
          </w:p>
          <w:p w14:paraId="39B2C74D" w14:textId="1A94B7BB" w:rsidR="006A208A" w:rsidRPr="005B2F6F" w:rsidRDefault="006A208A" w:rsidP="00B8101A">
            <w:pPr>
              <w:ind w:firstLine="308"/>
              <w:jc w:val="both"/>
              <w:rPr>
                <w:rFonts w:ascii="Times New Roman" w:hAnsi="Times New Roman" w:cs="Times New Roman"/>
                <w:shd w:val="clear" w:color="auto" w:fill="FFFFFF"/>
              </w:rPr>
            </w:pPr>
          </w:p>
          <w:p w14:paraId="565943D8" w14:textId="398C972D" w:rsidR="006A208A" w:rsidRPr="005B2F6F" w:rsidRDefault="006A208A" w:rsidP="00B8101A">
            <w:pPr>
              <w:ind w:firstLine="308"/>
              <w:jc w:val="both"/>
              <w:rPr>
                <w:rFonts w:ascii="Times New Roman" w:hAnsi="Times New Roman" w:cs="Times New Roman"/>
                <w:shd w:val="clear" w:color="auto" w:fill="FFFFFF"/>
              </w:rPr>
            </w:pPr>
          </w:p>
          <w:p w14:paraId="61906DCA" w14:textId="7CD0D36B" w:rsidR="006A208A" w:rsidRPr="005B2F6F" w:rsidRDefault="006A208A" w:rsidP="00B8101A">
            <w:pPr>
              <w:ind w:firstLine="308"/>
              <w:jc w:val="both"/>
              <w:rPr>
                <w:rFonts w:ascii="Times New Roman" w:hAnsi="Times New Roman" w:cs="Times New Roman"/>
                <w:shd w:val="clear" w:color="auto" w:fill="FFFFFF"/>
              </w:rPr>
            </w:pPr>
          </w:p>
          <w:p w14:paraId="724BA56E" w14:textId="5B166D03" w:rsidR="006A208A" w:rsidRPr="005B2F6F" w:rsidRDefault="006A208A" w:rsidP="00B8101A">
            <w:pPr>
              <w:ind w:firstLine="308"/>
              <w:jc w:val="both"/>
              <w:rPr>
                <w:rFonts w:ascii="Times New Roman" w:hAnsi="Times New Roman" w:cs="Times New Roman"/>
                <w:shd w:val="clear" w:color="auto" w:fill="FFFFFF"/>
              </w:rPr>
            </w:pPr>
          </w:p>
          <w:p w14:paraId="39CFE5B8" w14:textId="7C31F6E7" w:rsidR="006A208A" w:rsidRPr="005B2F6F" w:rsidRDefault="006A208A" w:rsidP="006A208A">
            <w:pPr>
              <w:ind w:firstLine="308"/>
              <w:jc w:val="both"/>
              <w:rPr>
                <w:rFonts w:ascii="Times New Roman" w:hAnsi="Times New Roman" w:cs="Times New Roman"/>
                <w:shd w:val="clear" w:color="auto" w:fill="FFFFFF"/>
              </w:rPr>
            </w:pPr>
          </w:p>
          <w:p w14:paraId="23D9F574" w14:textId="7BAA2E97" w:rsidR="006A208A" w:rsidRPr="005B2F6F" w:rsidRDefault="006A208A" w:rsidP="006A208A">
            <w:pPr>
              <w:ind w:firstLine="308"/>
              <w:jc w:val="both"/>
              <w:rPr>
                <w:rFonts w:ascii="Times New Roman" w:hAnsi="Times New Roman" w:cs="Times New Roman"/>
                <w:shd w:val="clear" w:color="auto" w:fill="FFFFFF"/>
              </w:rPr>
            </w:pPr>
          </w:p>
          <w:p w14:paraId="77AC9836" w14:textId="77777777" w:rsidR="006A208A" w:rsidRPr="005B2F6F" w:rsidRDefault="006A208A" w:rsidP="006A208A">
            <w:pPr>
              <w:ind w:firstLine="308"/>
              <w:jc w:val="both"/>
              <w:rPr>
                <w:rFonts w:ascii="Times New Roman" w:hAnsi="Times New Roman" w:cs="Times New Roman"/>
                <w:shd w:val="clear" w:color="auto" w:fill="FFFFFF"/>
              </w:rPr>
            </w:pPr>
          </w:p>
          <w:p w14:paraId="33583DB0" w14:textId="77777777" w:rsidR="006A208A" w:rsidRPr="005B2F6F" w:rsidRDefault="006A208A" w:rsidP="006A208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 Відсутній &gt;</w:t>
            </w:r>
          </w:p>
          <w:p w14:paraId="5B435C55" w14:textId="77777777" w:rsidR="006A208A" w:rsidRPr="005B2F6F" w:rsidRDefault="006A208A" w:rsidP="006A208A">
            <w:pPr>
              <w:ind w:firstLine="308"/>
              <w:jc w:val="both"/>
              <w:rPr>
                <w:rFonts w:ascii="Times New Roman" w:hAnsi="Times New Roman" w:cs="Times New Roman"/>
                <w:shd w:val="clear" w:color="auto" w:fill="FFFFFF"/>
              </w:rPr>
            </w:pPr>
          </w:p>
          <w:p w14:paraId="423A0916" w14:textId="77777777" w:rsidR="006A208A" w:rsidRPr="005B2F6F" w:rsidRDefault="006A208A" w:rsidP="006A208A">
            <w:pPr>
              <w:ind w:firstLine="308"/>
              <w:jc w:val="both"/>
              <w:rPr>
                <w:rFonts w:ascii="Times New Roman" w:hAnsi="Times New Roman" w:cs="Times New Roman"/>
                <w:shd w:val="clear" w:color="auto" w:fill="FFFFFF"/>
              </w:rPr>
            </w:pPr>
          </w:p>
          <w:p w14:paraId="477B7386" w14:textId="77777777" w:rsidR="006A208A" w:rsidRPr="005B2F6F" w:rsidRDefault="006A208A" w:rsidP="006A208A">
            <w:pPr>
              <w:ind w:firstLine="308"/>
              <w:jc w:val="both"/>
              <w:rPr>
                <w:rFonts w:ascii="Times New Roman" w:hAnsi="Times New Roman" w:cs="Times New Roman"/>
                <w:shd w:val="clear" w:color="auto" w:fill="FFFFFF"/>
              </w:rPr>
            </w:pPr>
          </w:p>
          <w:p w14:paraId="660BB00C" w14:textId="77777777" w:rsidR="006A208A" w:rsidRPr="005B2F6F" w:rsidRDefault="006A208A" w:rsidP="006A208A">
            <w:pPr>
              <w:ind w:firstLine="308"/>
              <w:jc w:val="both"/>
              <w:rPr>
                <w:rFonts w:ascii="Times New Roman" w:hAnsi="Times New Roman" w:cs="Times New Roman"/>
                <w:shd w:val="clear" w:color="auto" w:fill="FFFFFF"/>
              </w:rPr>
            </w:pPr>
          </w:p>
          <w:p w14:paraId="696DAA6D" w14:textId="77777777" w:rsidR="006A208A" w:rsidRPr="005B2F6F" w:rsidRDefault="006A208A" w:rsidP="006A208A">
            <w:pPr>
              <w:ind w:firstLine="308"/>
              <w:jc w:val="both"/>
              <w:rPr>
                <w:rFonts w:ascii="Times New Roman" w:hAnsi="Times New Roman" w:cs="Times New Roman"/>
                <w:shd w:val="clear" w:color="auto" w:fill="FFFFFF"/>
              </w:rPr>
            </w:pPr>
          </w:p>
          <w:p w14:paraId="2F301148" w14:textId="77777777" w:rsidR="006A208A" w:rsidRPr="005B2F6F" w:rsidRDefault="006A208A" w:rsidP="006A208A">
            <w:pPr>
              <w:ind w:firstLine="308"/>
              <w:jc w:val="both"/>
              <w:rPr>
                <w:rFonts w:ascii="Times New Roman" w:hAnsi="Times New Roman" w:cs="Times New Roman"/>
                <w:shd w:val="clear" w:color="auto" w:fill="FFFFFF"/>
              </w:rPr>
            </w:pPr>
          </w:p>
          <w:p w14:paraId="6213D065" w14:textId="77777777" w:rsidR="006A208A" w:rsidRPr="005B2F6F" w:rsidRDefault="006A208A" w:rsidP="006A208A">
            <w:pPr>
              <w:ind w:firstLine="308"/>
              <w:jc w:val="both"/>
              <w:rPr>
                <w:rFonts w:ascii="Times New Roman" w:hAnsi="Times New Roman" w:cs="Times New Roman"/>
                <w:shd w:val="clear" w:color="auto" w:fill="FFFFFF"/>
              </w:rPr>
            </w:pPr>
          </w:p>
          <w:p w14:paraId="2D2E9958" w14:textId="77777777" w:rsidR="006A208A" w:rsidRPr="005B2F6F" w:rsidRDefault="006A208A" w:rsidP="006A208A">
            <w:pPr>
              <w:ind w:firstLine="308"/>
              <w:jc w:val="both"/>
              <w:rPr>
                <w:rFonts w:ascii="Times New Roman" w:hAnsi="Times New Roman" w:cs="Times New Roman"/>
                <w:shd w:val="clear" w:color="auto" w:fill="FFFFFF"/>
              </w:rPr>
            </w:pPr>
          </w:p>
          <w:p w14:paraId="6FBD98F6" w14:textId="466ABC0E" w:rsidR="006A208A" w:rsidRPr="005B2F6F" w:rsidRDefault="00EC3012" w:rsidP="006A208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lastRenderedPageBreak/>
              <w:t>15) сума обґрунтованих перевитрат статей витрат структури тарифів у звітному році з урахуванням витрат, які були капіталізовані за бухгалтерським обліком;</w:t>
            </w:r>
          </w:p>
          <w:p w14:paraId="57A206F5" w14:textId="77777777" w:rsidR="006A208A" w:rsidRPr="005B2F6F" w:rsidRDefault="006A208A" w:rsidP="006A208A">
            <w:pPr>
              <w:ind w:firstLine="308"/>
              <w:jc w:val="both"/>
              <w:rPr>
                <w:rFonts w:ascii="Times New Roman" w:hAnsi="Times New Roman" w:cs="Times New Roman"/>
                <w:shd w:val="clear" w:color="auto" w:fill="FFFFFF"/>
              </w:rPr>
            </w:pPr>
          </w:p>
          <w:p w14:paraId="7DF1CCED" w14:textId="77777777" w:rsidR="006A208A" w:rsidRPr="005B2F6F" w:rsidRDefault="006A208A" w:rsidP="006A208A">
            <w:pPr>
              <w:ind w:firstLine="308"/>
              <w:jc w:val="both"/>
              <w:rPr>
                <w:rFonts w:ascii="Times New Roman" w:hAnsi="Times New Roman" w:cs="Times New Roman"/>
                <w:shd w:val="clear" w:color="auto" w:fill="FFFFFF"/>
              </w:rPr>
            </w:pPr>
          </w:p>
          <w:p w14:paraId="793A2A6C" w14:textId="77777777" w:rsidR="000B295D" w:rsidRPr="005B2F6F" w:rsidRDefault="000B295D" w:rsidP="000B295D">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 Відсутній &gt;</w:t>
            </w:r>
          </w:p>
          <w:p w14:paraId="404F9DD4" w14:textId="77777777" w:rsidR="006A208A" w:rsidRPr="005B2F6F" w:rsidRDefault="006A208A" w:rsidP="006A208A">
            <w:pPr>
              <w:ind w:firstLine="308"/>
              <w:jc w:val="both"/>
              <w:rPr>
                <w:rFonts w:ascii="Times New Roman" w:hAnsi="Times New Roman" w:cs="Times New Roman"/>
                <w:shd w:val="clear" w:color="auto" w:fill="FFFFFF"/>
              </w:rPr>
            </w:pPr>
          </w:p>
          <w:p w14:paraId="4966A010" w14:textId="77777777" w:rsidR="006A208A" w:rsidRPr="005B2F6F" w:rsidRDefault="006A208A" w:rsidP="006A208A">
            <w:pPr>
              <w:ind w:firstLine="308"/>
              <w:jc w:val="both"/>
              <w:rPr>
                <w:rFonts w:ascii="Times New Roman" w:hAnsi="Times New Roman" w:cs="Times New Roman"/>
                <w:shd w:val="clear" w:color="auto" w:fill="FFFFFF"/>
              </w:rPr>
            </w:pPr>
          </w:p>
          <w:p w14:paraId="6848F155" w14:textId="77777777" w:rsidR="00D23DE5" w:rsidRPr="005B2F6F" w:rsidRDefault="00D23DE5" w:rsidP="00D23DE5">
            <w:pPr>
              <w:ind w:firstLine="308"/>
              <w:jc w:val="both"/>
              <w:rPr>
                <w:rFonts w:ascii="Times New Roman" w:hAnsi="Times New Roman" w:cs="Times New Roman"/>
                <w:shd w:val="clear" w:color="auto" w:fill="FFFFFF"/>
              </w:rPr>
            </w:pPr>
          </w:p>
          <w:p w14:paraId="515F2E6F" w14:textId="77777777" w:rsidR="00D23DE5" w:rsidRPr="005B2F6F" w:rsidRDefault="00D23DE5" w:rsidP="00D23DE5">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&lt;…&gt;</w:t>
            </w:r>
          </w:p>
          <w:p w14:paraId="4B852906" w14:textId="77777777" w:rsidR="00D23DE5" w:rsidRPr="005B2F6F" w:rsidRDefault="00D23DE5" w:rsidP="00D23DE5">
            <w:pPr>
              <w:ind w:firstLine="308"/>
              <w:jc w:val="both"/>
              <w:rPr>
                <w:rFonts w:ascii="Times New Roman" w:hAnsi="Times New Roman" w:cs="Times New Roman"/>
                <w:shd w:val="clear" w:color="auto" w:fill="FFFFFF"/>
              </w:rPr>
            </w:pPr>
          </w:p>
          <w:p w14:paraId="05A1E89A" w14:textId="77777777" w:rsidR="00D55D1A" w:rsidRPr="005B2F6F" w:rsidRDefault="00D55D1A" w:rsidP="00D55D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18)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N 2-НКРЕКП-розподіл електричної енергії.</w:t>
            </w:r>
          </w:p>
          <w:p w14:paraId="78250231" w14:textId="2F651411" w:rsidR="006A208A" w:rsidRPr="005B2F6F" w:rsidRDefault="00D55D1A" w:rsidP="00D55D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здійсненого розрахунковим шляхом у період дії в Україні воєнного стану на підставі звітності, згідно з рішеннями НКРЕКП, прийнятими відповідно до підпункту 1 пункту 7.22 глави 7 Порядку N 1175;</w:t>
            </w:r>
          </w:p>
          <w:p w14:paraId="3ED205CB" w14:textId="77777777" w:rsidR="006A208A" w:rsidRPr="005B2F6F" w:rsidRDefault="006A208A" w:rsidP="006A208A">
            <w:pPr>
              <w:ind w:firstLine="308"/>
              <w:jc w:val="both"/>
              <w:rPr>
                <w:rFonts w:ascii="Times New Roman" w:hAnsi="Times New Roman" w:cs="Times New Roman"/>
                <w:shd w:val="clear" w:color="auto" w:fill="FFFFFF"/>
              </w:rPr>
            </w:pPr>
          </w:p>
          <w:p w14:paraId="1A3502A8" w14:textId="77777777" w:rsidR="006A208A" w:rsidRPr="005B2F6F" w:rsidRDefault="006A208A" w:rsidP="006A208A">
            <w:pPr>
              <w:ind w:firstLine="308"/>
              <w:jc w:val="both"/>
              <w:rPr>
                <w:rFonts w:ascii="Times New Roman" w:hAnsi="Times New Roman" w:cs="Times New Roman"/>
                <w:shd w:val="clear" w:color="auto" w:fill="FFFFFF"/>
              </w:rPr>
            </w:pPr>
          </w:p>
          <w:p w14:paraId="7EB3AC90" w14:textId="77777777" w:rsidR="006A208A" w:rsidRPr="005B2F6F" w:rsidRDefault="006A208A" w:rsidP="006A208A">
            <w:pPr>
              <w:ind w:firstLine="308"/>
              <w:jc w:val="both"/>
              <w:rPr>
                <w:rFonts w:ascii="Times New Roman" w:hAnsi="Times New Roman" w:cs="Times New Roman"/>
                <w:shd w:val="clear" w:color="auto" w:fill="FFFFFF"/>
              </w:rPr>
            </w:pPr>
          </w:p>
          <w:p w14:paraId="0DEC67F9" w14:textId="77777777" w:rsidR="006A208A" w:rsidRPr="005B2F6F" w:rsidRDefault="006A208A" w:rsidP="00D55D1A">
            <w:pPr>
              <w:ind w:firstLine="308"/>
              <w:jc w:val="both"/>
              <w:rPr>
                <w:rFonts w:ascii="Times New Roman" w:hAnsi="Times New Roman" w:cs="Times New Roman"/>
                <w:shd w:val="clear" w:color="auto" w:fill="FFFFFF"/>
              </w:rPr>
            </w:pPr>
          </w:p>
          <w:p w14:paraId="0D419B13" w14:textId="3E8E867A" w:rsidR="00225288" w:rsidRPr="005B2F6F" w:rsidRDefault="00225288" w:rsidP="00225288">
            <w:pPr>
              <w:ind w:firstLine="308"/>
              <w:jc w:val="both"/>
              <w:rPr>
                <w:rFonts w:ascii="Times New Roman" w:hAnsi="Times New Roman" w:cs="Times New Roman"/>
                <w:shd w:val="clear" w:color="auto" w:fill="FFFFFF"/>
              </w:rPr>
            </w:pPr>
          </w:p>
          <w:p w14:paraId="7CC9BF13" w14:textId="77777777" w:rsidR="00225288" w:rsidRPr="005B2F6F" w:rsidRDefault="00225288" w:rsidP="00225288">
            <w:pPr>
              <w:ind w:firstLine="308"/>
              <w:jc w:val="both"/>
              <w:rPr>
                <w:rFonts w:ascii="Times New Roman" w:hAnsi="Times New Roman" w:cs="Times New Roman"/>
                <w:shd w:val="clear" w:color="auto" w:fill="FFFFFF"/>
              </w:rPr>
            </w:pPr>
          </w:p>
          <w:p w14:paraId="28E6EFE9" w14:textId="77777777" w:rsidR="00225288" w:rsidRPr="005B2F6F" w:rsidRDefault="00225288" w:rsidP="00225288">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&lt;…&gt;</w:t>
            </w:r>
          </w:p>
          <w:p w14:paraId="37AF416C" w14:textId="77777777" w:rsidR="003977F7" w:rsidRPr="005B2F6F" w:rsidRDefault="003977F7" w:rsidP="00D55D1A">
            <w:pPr>
              <w:ind w:firstLine="308"/>
              <w:jc w:val="both"/>
              <w:rPr>
                <w:rFonts w:ascii="Times New Roman" w:hAnsi="Times New Roman" w:cs="Times New Roman"/>
                <w:shd w:val="clear" w:color="auto" w:fill="FFFFFF"/>
              </w:rPr>
            </w:pPr>
          </w:p>
          <w:p w14:paraId="5B168047" w14:textId="0B7FE21A" w:rsidR="003977F7" w:rsidRPr="005B2F6F" w:rsidRDefault="00225288" w:rsidP="00D55D1A">
            <w:pPr>
              <w:ind w:firstLine="308"/>
              <w:jc w:val="both"/>
              <w:rPr>
                <w:rFonts w:ascii="Times New Roman" w:hAnsi="Times New Roman" w:cs="Times New Roman"/>
                <w:shd w:val="clear" w:color="auto" w:fill="FFFFFF"/>
              </w:rPr>
            </w:pPr>
            <w:r w:rsidRPr="005B2F6F">
              <w:rPr>
                <w:rFonts w:ascii="Times New Roman" w:hAnsi="Times New Roman" w:cs="Times New Roman"/>
                <w:shd w:val="clear" w:color="auto" w:fill="FFFFFF"/>
              </w:rPr>
              <w:t>&lt; Відсутній &gt;</w:t>
            </w:r>
          </w:p>
          <w:p w14:paraId="103523BA" w14:textId="77777777" w:rsidR="003977F7" w:rsidRPr="005B2F6F" w:rsidRDefault="003977F7" w:rsidP="00D55D1A">
            <w:pPr>
              <w:ind w:firstLine="308"/>
              <w:jc w:val="both"/>
              <w:rPr>
                <w:rFonts w:ascii="Times New Roman" w:hAnsi="Times New Roman" w:cs="Times New Roman"/>
                <w:shd w:val="clear" w:color="auto" w:fill="FFFFFF"/>
              </w:rPr>
            </w:pPr>
          </w:p>
          <w:p w14:paraId="0F1C6C52" w14:textId="77777777" w:rsidR="003977F7" w:rsidRPr="005B2F6F" w:rsidRDefault="003977F7" w:rsidP="00D55D1A">
            <w:pPr>
              <w:ind w:firstLine="308"/>
              <w:jc w:val="both"/>
              <w:rPr>
                <w:rFonts w:ascii="Times New Roman" w:hAnsi="Times New Roman" w:cs="Times New Roman"/>
                <w:shd w:val="clear" w:color="auto" w:fill="FFFFFF"/>
              </w:rPr>
            </w:pPr>
          </w:p>
          <w:p w14:paraId="16E24A93" w14:textId="77777777" w:rsidR="003977F7" w:rsidRPr="005B2F6F" w:rsidRDefault="003977F7" w:rsidP="00D55D1A">
            <w:pPr>
              <w:ind w:firstLine="308"/>
              <w:jc w:val="both"/>
              <w:rPr>
                <w:rFonts w:ascii="Times New Roman" w:hAnsi="Times New Roman" w:cs="Times New Roman"/>
                <w:shd w:val="clear" w:color="auto" w:fill="FFFFFF"/>
              </w:rPr>
            </w:pPr>
          </w:p>
          <w:p w14:paraId="6069C18F" w14:textId="77777777" w:rsidR="005B2F6F" w:rsidRPr="005B2F6F" w:rsidRDefault="005B2F6F" w:rsidP="005B2F6F">
            <w:pPr>
              <w:spacing w:after="75"/>
              <w:ind w:firstLine="240"/>
              <w:jc w:val="both"/>
            </w:pPr>
            <w:bookmarkStart w:id="1" w:name="14455"/>
            <w:r w:rsidRPr="005B2F6F">
              <w:rPr>
                <w:rFonts w:ascii="Times New Roman" w:hAnsi="Times New Roman"/>
                <w:sz w:val="24"/>
              </w:rPr>
              <w:t>22) дохід від економії технологічних витрат електричної енергії (Д</w:t>
            </w:r>
            <w:r w:rsidRPr="005B2F6F">
              <w:rPr>
                <w:rFonts w:ascii="Times New Roman" w:hAnsi="Times New Roman"/>
                <w:vertAlign w:val="subscript"/>
              </w:rPr>
              <w:t>ТВЕ</w:t>
            </w:r>
            <w:r w:rsidRPr="005B2F6F">
              <w:rPr>
                <w:rFonts w:ascii="Times New Roman" w:hAnsi="Times New Roman"/>
                <w:sz w:val="24"/>
              </w:rPr>
              <w:t>) за підсумками звітного року, що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461"/>
              <w:gridCol w:w="2401"/>
            </w:tblGrid>
            <w:tr w:rsidR="005B2F6F" w:rsidRPr="005B2F6F" w14:paraId="7A04AC2B" w14:textId="77777777" w:rsidTr="005B2F6F">
              <w:trPr>
                <w:trHeight w:val="29"/>
                <w:tblCellSpacing w:w="0" w:type="auto"/>
              </w:trPr>
              <w:tc>
                <w:tcPr>
                  <w:tcW w:w="4461" w:type="dxa"/>
                  <w:vAlign w:val="center"/>
                </w:tcPr>
                <w:p w14:paraId="543378DE" w14:textId="77777777" w:rsidR="005B2F6F" w:rsidRPr="005B2F6F" w:rsidRDefault="005B2F6F" w:rsidP="005B2F6F">
                  <w:pPr>
                    <w:spacing w:after="75"/>
                  </w:pPr>
                  <w:bookmarkStart w:id="2" w:name="14456"/>
                  <w:bookmarkEnd w:id="1"/>
                  <w:r w:rsidRPr="005B2F6F">
                    <w:rPr>
                      <w:noProof/>
                    </w:rPr>
                    <w:lastRenderedPageBreak/>
                    <w:drawing>
                      <wp:inline distT="0" distB="0" distL="0" distR="0" wp14:anchorId="61A7E421" wp14:editId="45AD4AC0">
                        <wp:extent cx="1971675" cy="300446"/>
                        <wp:effectExtent l="0" t="0" r="0" b="444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18493" cy="307580"/>
                                </a:xfrm>
                                <a:prstGeom prst="rect">
                                  <a:avLst/>
                                </a:prstGeom>
                              </pic:spPr>
                            </pic:pic>
                          </a:graphicData>
                        </a:graphic>
                      </wp:inline>
                    </w:drawing>
                  </w:r>
                </w:p>
              </w:tc>
              <w:tc>
                <w:tcPr>
                  <w:tcW w:w="2401" w:type="dxa"/>
                  <w:vAlign w:val="center"/>
                </w:tcPr>
                <w:p w14:paraId="55B0C865" w14:textId="77777777" w:rsidR="005B2F6F" w:rsidRPr="005B2F6F" w:rsidRDefault="005B2F6F" w:rsidP="005B2F6F">
                  <w:pPr>
                    <w:spacing w:after="75"/>
                  </w:pPr>
                  <w:bookmarkStart w:id="3" w:name="14457"/>
                  <w:bookmarkEnd w:id="2"/>
                  <w:r w:rsidRPr="005B2F6F">
                    <w:rPr>
                      <w:rFonts w:ascii="Times New Roman" w:hAnsi="Times New Roman"/>
                      <w:sz w:val="15"/>
                    </w:rPr>
                    <w:t>,</w:t>
                  </w:r>
                </w:p>
              </w:tc>
              <w:bookmarkEnd w:id="3"/>
            </w:tr>
          </w:tbl>
          <w:p w14:paraId="204DF9E4" w14:textId="77777777" w:rsidR="005B2F6F" w:rsidRPr="005B2F6F" w:rsidRDefault="005B2F6F" w:rsidP="005B2F6F">
            <w:pPr>
              <w:spacing w:after="75"/>
              <w:ind w:firstLine="240"/>
              <w:jc w:val="both"/>
            </w:pPr>
            <w:bookmarkStart w:id="4" w:name="14458"/>
            <w:r w:rsidRPr="005B2F6F">
              <w:rPr>
                <w:rFonts w:ascii="Times New Roman" w:hAnsi="Times New Roman"/>
                <w:sz w:val="24"/>
              </w:rPr>
              <w:t>де і - місяць;</w:t>
            </w:r>
          </w:p>
          <w:p w14:paraId="6A785480" w14:textId="77777777" w:rsidR="005B2F6F" w:rsidRPr="005B2F6F" w:rsidRDefault="005B2F6F" w:rsidP="005B2F6F">
            <w:pPr>
              <w:spacing w:after="75"/>
              <w:ind w:firstLine="240"/>
              <w:jc w:val="both"/>
            </w:pPr>
            <w:bookmarkStart w:id="5" w:name="14459"/>
            <w:bookmarkEnd w:id="4"/>
            <w:r w:rsidRPr="005B2F6F">
              <w:rPr>
                <w:rFonts w:ascii="Times New Roman" w:hAnsi="Times New Roman"/>
                <w:sz w:val="24"/>
              </w:rPr>
              <w:t>n - кількість місяців;</w:t>
            </w:r>
          </w:p>
          <w:p w14:paraId="254EA6F1" w14:textId="77777777" w:rsidR="005B2F6F" w:rsidRPr="005B2F6F" w:rsidRDefault="005B2F6F" w:rsidP="005B2F6F">
            <w:pPr>
              <w:spacing w:after="75"/>
              <w:ind w:firstLine="240"/>
              <w:jc w:val="both"/>
            </w:pPr>
            <w:bookmarkStart w:id="6" w:name="14460"/>
            <w:bookmarkEnd w:id="5"/>
            <w:r w:rsidRPr="005B2F6F">
              <w:rPr>
                <w:rFonts w:ascii="Times New Roman" w:hAnsi="Times New Roman"/>
                <w:sz w:val="24"/>
              </w:rPr>
              <w:t>Д</w:t>
            </w:r>
            <w:r w:rsidRPr="005B2F6F">
              <w:rPr>
                <w:rFonts w:ascii="Times New Roman" w:hAnsi="Times New Roman"/>
                <w:vertAlign w:val="subscript"/>
              </w:rPr>
              <w:t>ТВЕ</w:t>
            </w:r>
            <w:r w:rsidRPr="005B2F6F">
              <w:rPr>
                <w:rFonts w:ascii="Times New Roman" w:hAnsi="Times New Roman"/>
                <w:sz w:val="24"/>
              </w:rPr>
              <w:t xml:space="preserve"> - нормативно-фактична вартість технологічних витрат електричної енергії, розрахованих за фактичним балансом електричної енергії та економічними коефіцієнтами прогнозованих технологічних витрат електричної енергії в і-му місяці звітного року, тис. грн;</w:t>
            </w:r>
          </w:p>
          <w:p w14:paraId="5567295E" w14:textId="77777777" w:rsidR="005B2F6F" w:rsidRPr="005B2F6F" w:rsidRDefault="005B2F6F" w:rsidP="005B2F6F">
            <w:pPr>
              <w:spacing w:after="75"/>
              <w:ind w:firstLine="240"/>
              <w:jc w:val="both"/>
            </w:pPr>
            <w:bookmarkStart w:id="7" w:name="14461"/>
            <w:bookmarkEnd w:id="6"/>
            <w:r w:rsidRPr="005B2F6F">
              <w:rPr>
                <w:rFonts w:ascii="Times New Roman" w:hAnsi="Times New Roman"/>
                <w:sz w:val="24"/>
              </w:rPr>
              <w:t>Д</w:t>
            </w:r>
            <w:r w:rsidRPr="005B2F6F">
              <w:rPr>
                <w:rFonts w:ascii="Times New Roman" w:hAnsi="Times New Roman"/>
                <w:vertAlign w:val="subscript"/>
              </w:rPr>
              <w:t>ТВЕ ф і</w:t>
            </w:r>
            <w:r w:rsidRPr="005B2F6F">
              <w:rPr>
                <w:rFonts w:ascii="Times New Roman" w:hAnsi="Times New Roman"/>
                <w:sz w:val="24"/>
              </w:rPr>
              <w:t xml:space="preserve"> - фактична вартість технологічних витрат електричної енергії на її розподіл в і-му місяці звітного року, тис. грн.</w:t>
            </w:r>
          </w:p>
          <w:p w14:paraId="71AACF5D" w14:textId="77777777" w:rsidR="005B2F6F" w:rsidRPr="005B2F6F" w:rsidRDefault="005B2F6F" w:rsidP="005B2F6F">
            <w:pPr>
              <w:spacing w:after="75"/>
              <w:ind w:firstLine="240"/>
              <w:jc w:val="both"/>
            </w:pPr>
            <w:bookmarkStart w:id="8" w:name="14462"/>
            <w:bookmarkEnd w:id="7"/>
            <w:r w:rsidRPr="005B2F6F">
              <w:rPr>
                <w:rFonts w:ascii="Times New Roman" w:hAnsi="Times New Roman"/>
                <w:sz w:val="24"/>
              </w:rPr>
              <w:t>До впровадження нового ринку електричної енергії (до 01 липня 2019 року) Д</w:t>
            </w:r>
            <w:r w:rsidRPr="005B2F6F">
              <w:rPr>
                <w:rFonts w:ascii="Times New Roman" w:hAnsi="Times New Roman"/>
                <w:vertAlign w:val="subscript"/>
              </w:rPr>
              <w:t xml:space="preserve">ТВЕ </w:t>
            </w:r>
            <w:proofErr w:type="spellStart"/>
            <w:r w:rsidRPr="005B2F6F">
              <w:rPr>
                <w:rFonts w:ascii="Times New Roman" w:hAnsi="Times New Roman"/>
                <w:vertAlign w:val="subscript"/>
              </w:rPr>
              <w:t>нф</w:t>
            </w:r>
            <w:proofErr w:type="spellEnd"/>
            <w:r w:rsidRPr="005B2F6F">
              <w:rPr>
                <w:rFonts w:ascii="Times New Roman" w:hAnsi="Times New Roman"/>
                <w:vertAlign w:val="subscript"/>
              </w:rPr>
              <w:t xml:space="preserve"> і</w:t>
            </w:r>
            <w:r w:rsidRPr="005B2F6F">
              <w:rPr>
                <w:rFonts w:ascii="Times New Roman" w:hAnsi="Times New Roman"/>
                <w:sz w:val="24"/>
              </w:rPr>
              <w:t xml:space="preserve"> розраховується за формулою</w:t>
            </w:r>
          </w:p>
          <w:tbl>
            <w:tblPr>
              <w:tblW w:w="6968" w:type="dxa"/>
              <w:tblCellSpacing w:w="0" w:type="auto"/>
              <w:tblBorders>
                <w:top w:val="single" w:sz="8" w:space="0" w:color="E5E2FF"/>
              </w:tblBorders>
              <w:tblLayout w:type="fixed"/>
              <w:tblLook w:val="04A0" w:firstRow="1" w:lastRow="0" w:firstColumn="1" w:lastColumn="0" w:noHBand="0" w:noVBand="1"/>
            </w:tblPr>
            <w:tblGrid>
              <w:gridCol w:w="4842"/>
              <w:gridCol w:w="2126"/>
            </w:tblGrid>
            <w:tr w:rsidR="005B2F6F" w:rsidRPr="005B2F6F" w14:paraId="76176D34" w14:textId="77777777" w:rsidTr="005B2F6F">
              <w:trPr>
                <w:trHeight w:val="18"/>
                <w:tblCellSpacing w:w="0" w:type="auto"/>
              </w:trPr>
              <w:tc>
                <w:tcPr>
                  <w:tcW w:w="4842" w:type="dxa"/>
                  <w:vAlign w:val="center"/>
                </w:tcPr>
                <w:p w14:paraId="40E22948" w14:textId="77777777" w:rsidR="005B2F6F" w:rsidRPr="005B2F6F" w:rsidRDefault="005B2F6F" w:rsidP="005B2F6F">
                  <w:pPr>
                    <w:spacing w:after="75"/>
                  </w:pPr>
                  <w:bookmarkStart w:id="9" w:name="14463"/>
                  <w:bookmarkEnd w:id="8"/>
                  <w:r w:rsidRPr="005B2F6F">
                    <w:rPr>
                      <w:noProof/>
                    </w:rPr>
                    <w:drawing>
                      <wp:inline distT="0" distB="0" distL="0" distR="0" wp14:anchorId="563DDC63" wp14:editId="6A4AB4EE">
                        <wp:extent cx="2428875" cy="204968"/>
                        <wp:effectExtent l="0" t="0" r="0" b="508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64235" cy="216391"/>
                                </a:xfrm>
                                <a:prstGeom prst="rect">
                                  <a:avLst/>
                                </a:prstGeom>
                              </pic:spPr>
                            </pic:pic>
                          </a:graphicData>
                        </a:graphic>
                      </wp:inline>
                    </w:drawing>
                  </w:r>
                </w:p>
              </w:tc>
              <w:tc>
                <w:tcPr>
                  <w:tcW w:w="2126" w:type="dxa"/>
                  <w:vAlign w:val="center"/>
                </w:tcPr>
                <w:p w14:paraId="3F568ACB" w14:textId="77777777" w:rsidR="005B2F6F" w:rsidRPr="005B2F6F" w:rsidRDefault="005B2F6F" w:rsidP="005B2F6F">
                  <w:pPr>
                    <w:spacing w:after="75"/>
                  </w:pPr>
                  <w:bookmarkStart w:id="10" w:name="14464"/>
                  <w:bookmarkEnd w:id="9"/>
                  <w:r w:rsidRPr="005B2F6F">
                    <w:rPr>
                      <w:rFonts w:ascii="Times New Roman" w:hAnsi="Times New Roman"/>
                      <w:sz w:val="15"/>
                    </w:rPr>
                    <w:t>,</w:t>
                  </w:r>
                </w:p>
              </w:tc>
              <w:bookmarkEnd w:id="10"/>
            </w:tr>
          </w:tbl>
          <w:p w14:paraId="7BC54D76" w14:textId="77777777" w:rsidR="005B2F6F" w:rsidRPr="005B2F6F" w:rsidRDefault="005B2F6F" w:rsidP="005B2F6F">
            <w:pPr>
              <w:spacing w:after="75"/>
              <w:ind w:firstLine="240"/>
              <w:jc w:val="both"/>
            </w:pPr>
            <w:bookmarkStart w:id="11" w:name="14465"/>
            <w:r w:rsidRPr="005B2F6F">
              <w:rPr>
                <w:rFonts w:ascii="Times New Roman" w:hAnsi="Times New Roman"/>
                <w:sz w:val="24"/>
              </w:rPr>
              <w:t>де Ц</w:t>
            </w:r>
            <w:r w:rsidRPr="005B2F6F">
              <w:rPr>
                <w:rFonts w:ascii="Times New Roman" w:hAnsi="Times New Roman"/>
                <w:vertAlign w:val="subscript"/>
              </w:rPr>
              <w:t>ОРЕ ф і</w:t>
            </w:r>
            <w:r w:rsidRPr="005B2F6F">
              <w:rPr>
                <w:rFonts w:ascii="Times New Roman" w:hAnsi="Times New Roman"/>
                <w:sz w:val="24"/>
              </w:rPr>
              <w:t xml:space="preserve"> - фактична середньозважена ціна купівлі електричної енергії на Оптовому ринку електричної енергії України, що склалася в і-му місяці 2019 року, скоригована з урахуванням дотацій,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5B39A585" w14:textId="77777777" w:rsidR="005B2F6F" w:rsidRPr="005B2F6F" w:rsidRDefault="005B2F6F" w:rsidP="005B2F6F">
            <w:pPr>
              <w:spacing w:after="75"/>
              <w:ind w:firstLine="240"/>
              <w:jc w:val="both"/>
            </w:pPr>
            <w:bookmarkStart w:id="12" w:name="14466"/>
            <w:bookmarkEnd w:id="11"/>
            <w:r w:rsidRPr="005B2F6F">
              <w:rPr>
                <w:rFonts w:ascii="Times New Roman" w:hAnsi="Times New Roman"/>
                <w:sz w:val="24"/>
              </w:rPr>
              <w:t>O</w:t>
            </w:r>
            <w:r w:rsidRPr="005B2F6F">
              <w:rPr>
                <w:rFonts w:ascii="Times New Roman" w:hAnsi="Times New Roman"/>
                <w:vertAlign w:val="subscript"/>
              </w:rPr>
              <w:t xml:space="preserve">ТВЕ </w:t>
            </w:r>
            <w:proofErr w:type="spellStart"/>
            <w:r w:rsidRPr="005B2F6F">
              <w:rPr>
                <w:rFonts w:ascii="Times New Roman" w:hAnsi="Times New Roman"/>
                <w:vertAlign w:val="subscript"/>
              </w:rPr>
              <w:t>нф</w:t>
            </w:r>
            <w:proofErr w:type="spellEnd"/>
            <w:r w:rsidRPr="005B2F6F">
              <w:rPr>
                <w:rFonts w:ascii="Times New Roman" w:hAnsi="Times New Roman"/>
                <w:vertAlign w:val="subscript"/>
              </w:rPr>
              <w:t xml:space="preserve"> і</w:t>
            </w:r>
            <w:r w:rsidRPr="005B2F6F">
              <w:rPr>
                <w:rFonts w:ascii="Times New Roman" w:hAnsi="Times New Roman"/>
                <w:sz w:val="24"/>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 що розраховується за формулою</w:t>
            </w:r>
          </w:p>
          <w:tbl>
            <w:tblPr>
              <w:tblW w:w="6727" w:type="dxa"/>
              <w:tblCellSpacing w:w="0" w:type="auto"/>
              <w:tblBorders>
                <w:top w:val="single" w:sz="8" w:space="0" w:color="E5E2FF"/>
              </w:tblBorders>
              <w:tblLayout w:type="fixed"/>
              <w:tblLook w:val="04A0" w:firstRow="1" w:lastRow="0" w:firstColumn="1" w:lastColumn="0" w:noHBand="0" w:noVBand="1"/>
            </w:tblPr>
            <w:tblGrid>
              <w:gridCol w:w="5587"/>
              <w:gridCol w:w="1140"/>
            </w:tblGrid>
            <w:tr w:rsidR="005B2F6F" w:rsidRPr="005B2F6F" w14:paraId="069556F4" w14:textId="77777777" w:rsidTr="005B2F6F">
              <w:trPr>
                <w:trHeight w:val="18"/>
                <w:tblCellSpacing w:w="0" w:type="auto"/>
              </w:trPr>
              <w:tc>
                <w:tcPr>
                  <w:tcW w:w="5587" w:type="dxa"/>
                  <w:vAlign w:val="center"/>
                </w:tcPr>
                <w:p w14:paraId="4D8FD0AF" w14:textId="77777777" w:rsidR="005B2F6F" w:rsidRPr="005B2F6F" w:rsidRDefault="005B2F6F" w:rsidP="005B2F6F">
                  <w:pPr>
                    <w:spacing w:after="75"/>
                  </w:pPr>
                  <w:bookmarkStart w:id="13" w:name="14467"/>
                  <w:bookmarkEnd w:id="12"/>
                  <w:r w:rsidRPr="005B2F6F">
                    <w:rPr>
                      <w:noProof/>
                    </w:rPr>
                    <w:drawing>
                      <wp:inline distT="0" distB="0" distL="0" distR="0" wp14:anchorId="16998652" wp14:editId="1897C3D2">
                        <wp:extent cx="3371850" cy="373612"/>
                        <wp:effectExtent l="0" t="0" r="0" b="762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1696" cy="376919"/>
                                </a:xfrm>
                                <a:prstGeom prst="rect">
                                  <a:avLst/>
                                </a:prstGeom>
                              </pic:spPr>
                            </pic:pic>
                          </a:graphicData>
                        </a:graphic>
                      </wp:inline>
                    </w:drawing>
                  </w:r>
                </w:p>
              </w:tc>
              <w:tc>
                <w:tcPr>
                  <w:tcW w:w="1140" w:type="dxa"/>
                  <w:vAlign w:val="center"/>
                </w:tcPr>
                <w:p w14:paraId="21459C99" w14:textId="77777777" w:rsidR="005B2F6F" w:rsidRPr="005B2F6F" w:rsidRDefault="005B2F6F" w:rsidP="005B2F6F">
                  <w:pPr>
                    <w:spacing w:after="75"/>
                  </w:pPr>
                  <w:bookmarkStart w:id="14" w:name="14468"/>
                  <w:bookmarkEnd w:id="13"/>
                  <w:r w:rsidRPr="005B2F6F">
                    <w:rPr>
                      <w:rFonts w:ascii="Times New Roman" w:hAnsi="Times New Roman"/>
                      <w:sz w:val="15"/>
                    </w:rPr>
                    <w:t>,</w:t>
                  </w:r>
                </w:p>
              </w:tc>
              <w:bookmarkEnd w:id="14"/>
            </w:tr>
          </w:tbl>
          <w:p w14:paraId="2A35790D" w14:textId="77777777" w:rsidR="005B2F6F" w:rsidRPr="005B2F6F" w:rsidRDefault="005B2F6F" w:rsidP="005B2F6F">
            <w:pPr>
              <w:spacing w:after="75"/>
              <w:ind w:firstLine="240"/>
              <w:jc w:val="both"/>
            </w:pPr>
            <w:bookmarkStart w:id="15" w:name="14469"/>
            <w:r w:rsidRPr="005B2F6F">
              <w:rPr>
                <w:rFonts w:ascii="Times New Roman" w:hAnsi="Times New Roman"/>
                <w:sz w:val="24"/>
              </w:rPr>
              <w:t xml:space="preserve">де </w:t>
            </w:r>
            <w:r w:rsidRPr="005B2F6F">
              <w:rPr>
                <w:rFonts w:ascii="Times New Roman" w:hAnsi="Times New Roman"/>
                <w:i/>
                <w:sz w:val="24"/>
              </w:rPr>
              <w:t>W</w:t>
            </w:r>
            <w:r w:rsidRPr="005B2F6F">
              <w:rPr>
                <w:rFonts w:ascii="Times New Roman" w:hAnsi="Times New Roman"/>
                <w:vertAlign w:val="subscript"/>
              </w:rPr>
              <w:t>1i</w:t>
            </w:r>
            <w:r w:rsidRPr="005B2F6F">
              <w:rPr>
                <w:rFonts w:ascii="Times New Roman" w:hAnsi="Times New Roman"/>
                <w:sz w:val="24"/>
              </w:rPr>
              <w:t xml:space="preserve"> - фактичний обсяг корисного відпуску електричної енергії споживачам на 1 класі напруги в і</w:t>
            </w:r>
            <w:r w:rsidRPr="005B2F6F">
              <w:rPr>
                <w:rFonts w:ascii="Times New Roman" w:hAnsi="Times New Roman"/>
                <w:i/>
                <w:sz w:val="24"/>
              </w:rPr>
              <w:t>-</w:t>
            </w:r>
            <w:r w:rsidRPr="005B2F6F">
              <w:rPr>
                <w:rFonts w:ascii="Times New Roman" w:hAnsi="Times New Roman"/>
                <w:sz w:val="24"/>
              </w:rPr>
              <w:t xml:space="preserve">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6071BA38" w14:textId="77777777" w:rsidR="005B2F6F" w:rsidRPr="005B2F6F" w:rsidRDefault="005B2F6F" w:rsidP="005B2F6F">
            <w:pPr>
              <w:spacing w:after="75"/>
              <w:ind w:firstLine="240"/>
              <w:jc w:val="both"/>
            </w:pPr>
            <w:bookmarkStart w:id="16" w:name="14470"/>
            <w:bookmarkEnd w:id="15"/>
            <w:r w:rsidRPr="005B2F6F">
              <w:rPr>
                <w:rFonts w:ascii="Times New Roman" w:hAnsi="Times New Roman"/>
                <w:i/>
                <w:sz w:val="24"/>
              </w:rPr>
              <w:t>W</w:t>
            </w:r>
            <w:r w:rsidRPr="005B2F6F">
              <w:rPr>
                <w:rFonts w:ascii="Times New Roman" w:hAnsi="Times New Roman"/>
                <w:vertAlign w:val="subscript"/>
              </w:rPr>
              <w:t>2i</w:t>
            </w:r>
            <w:r w:rsidRPr="005B2F6F">
              <w:rPr>
                <w:rFonts w:ascii="Times New Roman" w:hAnsi="Times New Roman"/>
                <w:sz w:val="24"/>
              </w:rPr>
              <w:t xml:space="preserve"> - фактичний обсяг розподілу електричної енергії споживачам на 2 класі напруги в і</w:t>
            </w:r>
            <w:r w:rsidRPr="005B2F6F">
              <w:rPr>
                <w:rFonts w:ascii="Times New Roman" w:hAnsi="Times New Roman"/>
                <w:i/>
                <w:sz w:val="24"/>
              </w:rPr>
              <w:t>-</w:t>
            </w:r>
            <w:r w:rsidRPr="005B2F6F">
              <w:rPr>
                <w:rFonts w:ascii="Times New Roman" w:hAnsi="Times New Roman"/>
                <w:sz w:val="24"/>
              </w:rPr>
              <w:t xml:space="preserve">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0601CFAA" w14:textId="77777777" w:rsidR="005B2F6F" w:rsidRPr="005B2F6F" w:rsidRDefault="005B2F6F" w:rsidP="005B2F6F">
            <w:pPr>
              <w:spacing w:after="75"/>
              <w:ind w:firstLine="240"/>
              <w:jc w:val="both"/>
            </w:pPr>
            <w:bookmarkStart w:id="17" w:name="14471"/>
            <w:bookmarkEnd w:id="16"/>
            <w:r w:rsidRPr="005B2F6F">
              <w:rPr>
                <w:rFonts w:ascii="Times New Roman" w:hAnsi="Times New Roman"/>
                <w:i/>
                <w:sz w:val="24"/>
              </w:rPr>
              <w:t>K</w:t>
            </w:r>
            <w:r w:rsidRPr="005B2F6F">
              <w:rPr>
                <w:rFonts w:ascii="Times New Roman" w:hAnsi="Times New Roman"/>
                <w:vertAlign w:val="subscript"/>
              </w:rPr>
              <w:t>1</w:t>
            </w:r>
            <w:r w:rsidRPr="005B2F6F">
              <w:rPr>
                <w:rFonts w:ascii="Times New Roman" w:hAnsi="Times New Roman"/>
                <w:sz w:val="24"/>
              </w:rPr>
              <w:t xml:space="preserve">, </w:t>
            </w:r>
            <w:r w:rsidRPr="005B2F6F">
              <w:rPr>
                <w:rFonts w:ascii="Times New Roman" w:hAnsi="Times New Roman"/>
                <w:i/>
                <w:sz w:val="24"/>
              </w:rPr>
              <w:t>K</w:t>
            </w:r>
            <w:r w:rsidRPr="005B2F6F">
              <w:rPr>
                <w:rFonts w:ascii="Times New Roman" w:hAnsi="Times New Roman"/>
                <w:vertAlign w:val="subscript"/>
              </w:rPr>
              <w:t>2</w:t>
            </w:r>
            <w:r w:rsidRPr="005B2F6F">
              <w:rPr>
                <w:rFonts w:ascii="Times New Roman" w:hAnsi="Times New Roman"/>
                <w:sz w:val="24"/>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0E884DA8" w14:textId="77777777" w:rsidR="005B2F6F" w:rsidRPr="005B2F6F" w:rsidRDefault="005B2F6F" w:rsidP="005B2F6F">
            <w:pPr>
              <w:spacing w:after="75"/>
              <w:ind w:firstLine="240"/>
              <w:jc w:val="both"/>
            </w:pPr>
            <w:bookmarkStart w:id="18" w:name="14472"/>
            <w:bookmarkEnd w:id="17"/>
            <w:r w:rsidRPr="005B2F6F">
              <w:rPr>
                <w:rFonts w:ascii="Times New Roman" w:hAnsi="Times New Roman"/>
                <w:sz w:val="24"/>
              </w:rPr>
              <w:t>Д</w:t>
            </w:r>
            <w:r w:rsidRPr="005B2F6F">
              <w:rPr>
                <w:rFonts w:ascii="Times New Roman" w:hAnsi="Times New Roman"/>
                <w:vertAlign w:val="subscript"/>
              </w:rPr>
              <w:t>ТВЕ ф і</w:t>
            </w:r>
            <w:r w:rsidRPr="005B2F6F">
              <w:rPr>
                <w:rFonts w:ascii="Times New Roman" w:hAnsi="Times New Roman"/>
                <w:sz w:val="24"/>
              </w:rPr>
              <w:t xml:space="preserve"> розраховується за формулою</w:t>
            </w:r>
          </w:p>
          <w:tbl>
            <w:tblPr>
              <w:tblW w:w="5092" w:type="dxa"/>
              <w:tblCellSpacing w:w="0" w:type="auto"/>
              <w:tblBorders>
                <w:top w:val="single" w:sz="8" w:space="0" w:color="E5E2FF"/>
              </w:tblBorders>
              <w:tblLayout w:type="fixed"/>
              <w:tblLook w:val="04A0" w:firstRow="1" w:lastRow="0" w:firstColumn="1" w:lastColumn="0" w:noHBand="0" w:noVBand="1"/>
            </w:tblPr>
            <w:tblGrid>
              <w:gridCol w:w="4171"/>
              <w:gridCol w:w="921"/>
            </w:tblGrid>
            <w:tr w:rsidR="005B2F6F" w:rsidRPr="005B2F6F" w14:paraId="198C4A7D" w14:textId="77777777" w:rsidTr="005B2F6F">
              <w:trPr>
                <w:trHeight w:val="34"/>
                <w:tblCellSpacing w:w="0" w:type="auto"/>
              </w:trPr>
              <w:tc>
                <w:tcPr>
                  <w:tcW w:w="4171" w:type="dxa"/>
                  <w:vAlign w:val="center"/>
                </w:tcPr>
                <w:p w14:paraId="1E17CF8B" w14:textId="77777777" w:rsidR="005B2F6F" w:rsidRPr="005B2F6F" w:rsidRDefault="005B2F6F" w:rsidP="005B2F6F">
                  <w:pPr>
                    <w:spacing w:after="75"/>
                  </w:pPr>
                  <w:bookmarkStart w:id="19" w:name="14473"/>
                  <w:bookmarkEnd w:id="18"/>
                  <w:r w:rsidRPr="005B2F6F">
                    <w:rPr>
                      <w:noProof/>
                    </w:rPr>
                    <w:drawing>
                      <wp:inline distT="0" distB="0" distL="0" distR="0" wp14:anchorId="38AFC732" wp14:editId="1F5A294D">
                        <wp:extent cx="2428875" cy="221815"/>
                        <wp:effectExtent l="0" t="0" r="0" b="698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61327" cy="224779"/>
                                </a:xfrm>
                                <a:prstGeom prst="rect">
                                  <a:avLst/>
                                </a:prstGeom>
                              </pic:spPr>
                            </pic:pic>
                          </a:graphicData>
                        </a:graphic>
                      </wp:inline>
                    </w:drawing>
                  </w:r>
                </w:p>
              </w:tc>
              <w:tc>
                <w:tcPr>
                  <w:tcW w:w="921" w:type="dxa"/>
                  <w:vAlign w:val="center"/>
                </w:tcPr>
                <w:p w14:paraId="1281D31A" w14:textId="77777777" w:rsidR="005B2F6F" w:rsidRPr="005B2F6F" w:rsidRDefault="005B2F6F" w:rsidP="005B2F6F">
                  <w:pPr>
                    <w:spacing w:after="75"/>
                  </w:pPr>
                  <w:bookmarkStart w:id="20" w:name="14474"/>
                  <w:bookmarkEnd w:id="19"/>
                  <w:r w:rsidRPr="005B2F6F">
                    <w:rPr>
                      <w:rFonts w:ascii="Times New Roman" w:hAnsi="Times New Roman"/>
                      <w:sz w:val="15"/>
                    </w:rPr>
                    <w:t>,</w:t>
                  </w:r>
                </w:p>
              </w:tc>
              <w:bookmarkEnd w:id="20"/>
            </w:tr>
          </w:tbl>
          <w:p w14:paraId="3612602C" w14:textId="77777777" w:rsidR="005B2F6F" w:rsidRPr="005B2F6F" w:rsidRDefault="005B2F6F" w:rsidP="005B2F6F">
            <w:pPr>
              <w:spacing w:after="75"/>
              <w:ind w:firstLine="240"/>
              <w:jc w:val="both"/>
            </w:pPr>
            <w:bookmarkStart w:id="21" w:name="14475"/>
            <w:r w:rsidRPr="005B2F6F">
              <w:rPr>
                <w:rFonts w:ascii="Times New Roman" w:hAnsi="Times New Roman"/>
                <w:sz w:val="24"/>
              </w:rPr>
              <w:lastRenderedPageBreak/>
              <w:t>де O</w:t>
            </w:r>
            <w:r w:rsidRPr="005B2F6F">
              <w:rPr>
                <w:rFonts w:ascii="Times New Roman" w:hAnsi="Times New Roman"/>
                <w:vertAlign w:val="subscript"/>
              </w:rPr>
              <w:t>ТВЕ ф і</w:t>
            </w:r>
            <w:r w:rsidRPr="005B2F6F">
              <w:rPr>
                <w:rFonts w:ascii="Times New Roman" w:hAnsi="Times New Roman"/>
                <w:sz w:val="24"/>
              </w:rPr>
              <w:t xml:space="preserve"> - фактичний обсяг технологічних витрат електричної енергії в і-му місяці звітного року відповідно до наданих комісії з перевірки належним чином завірених копій підтвердних документів та даних за формою звітності N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N 1257, формою звітності N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затвердженою постановою НКРЕКП від 28 лютого 2019 року N 282, та формою звітності N 5-НКРЕКП-моніторинг-розподіл (місячна) "Звіт про обсяги розподілу електричної енергії", затвердженою постановою НКРЕКП від 29 березня 2019 року N 450,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7A004BC0" w14:textId="77777777" w:rsidR="005B2F6F" w:rsidRPr="005B2F6F" w:rsidRDefault="005B2F6F" w:rsidP="005B2F6F">
            <w:pPr>
              <w:spacing w:after="75"/>
              <w:ind w:firstLine="240"/>
              <w:jc w:val="both"/>
            </w:pPr>
            <w:bookmarkStart w:id="22" w:name="14476"/>
            <w:bookmarkEnd w:id="21"/>
            <w:r w:rsidRPr="005B2F6F">
              <w:rPr>
                <w:rFonts w:ascii="Times New Roman" w:hAnsi="Times New Roman"/>
                <w:sz w:val="24"/>
              </w:rPr>
              <w:t>Після впровадження нового ринку електричної енергії (з 01 липня 2019 року) Д</w:t>
            </w:r>
            <w:r w:rsidRPr="005B2F6F">
              <w:rPr>
                <w:rFonts w:ascii="Times New Roman" w:hAnsi="Times New Roman"/>
                <w:vertAlign w:val="subscript"/>
              </w:rPr>
              <w:t xml:space="preserve">ТВЕ </w:t>
            </w:r>
            <w:proofErr w:type="spellStart"/>
            <w:r w:rsidRPr="005B2F6F">
              <w:rPr>
                <w:rFonts w:ascii="Times New Roman" w:hAnsi="Times New Roman"/>
                <w:vertAlign w:val="subscript"/>
              </w:rPr>
              <w:t>нф</w:t>
            </w:r>
            <w:proofErr w:type="spellEnd"/>
            <w:r w:rsidRPr="005B2F6F">
              <w:rPr>
                <w:rFonts w:ascii="Times New Roman" w:hAnsi="Times New Roman"/>
                <w:vertAlign w:val="subscript"/>
              </w:rPr>
              <w:t xml:space="preserve"> і</w:t>
            </w:r>
            <w:r w:rsidRPr="005B2F6F">
              <w:rPr>
                <w:rFonts w:ascii="Times New Roman" w:hAnsi="Times New Roman"/>
                <w:sz w:val="24"/>
              </w:rPr>
              <w:t xml:space="preserve">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6098"/>
              <w:gridCol w:w="677"/>
            </w:tblGrid>
            <w:tr w:rsidR="005B2F6F" w:rsidRPr="005B2F6F" w14:paraId="41E22C3E" w14:textId="77777777" w:rsidTr="005B2F6F">
              <w:trPr>
                <w:trHeight w:val="23"/>
                <w:tblCellSpacing w:w="0" w:type="auto"/>
              </w:trPr>
              <w:tc>
                <w:tcPr>
                  <w:tcW w:w="6098" w:type="dxa"/>
                  <w:vAlign w:val="center"/>
                </w:tcPr>
                <w:p w14:paraId="786707CC" w14:textId="77777777" w:rsidR="005B2F6F" w:rsidRPr="005B2F6F" w:rsidRDefault="005B2F6F" w:rsidP="005B2F6F">
                  <w:pPr>
                    <w:spacing w:after="75"/>
                  </w:pPr>
                  <w:bookmarkStart w:id="23" w:name="14477"/>
                  <w:bookmarkEnd w:id="22"/>
                  <w:r w:rsidRPr="005B2F6F">
                    <w:rPr>
                      <w:noProof/>
                    </w:rPr>
                    <w:drawing>
                      <wp:inline distT="0" distB="0" distL="0" distR="0" wp14:anchorId="36699ACE" wp14:editId="7ED51C68">
                        <wp:extent cx="3705225" cy="172188"/>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71878" cy="179933"/>
                                </a:xfrm>
                                <a:prstGeom prst="rect">
                                  <a:avLst/>
                                </a:prstGeom>
                              </pic:spPr>
                            </pic:pic>
                          </a:graphicData>
                        </a:graphic>
                      </wp:inline>
                    </w:drawing>
                  </w:r>
                </w:p>
              </w:tc>
              <w:tc>
                <w:tcPr>
                  <w:tcW w:w="677" w:type="dxa"/>
                  <w:vAlign w:val="center"/>
                </w:tcPr>
                <w:p w14:paraId="23A3117A" w14:textId="77777777" w:rsidR="005B2F6F" w:rsidRPr="005B2F6F" w:rsidRDefault="005B2F6F" w:rsidP="005B2F6F">
                  <w:pPr>
                    <w:spacing w:after="75"/>
                  </w:pPr>
                  <w:bookmarkStart w:id="24" w:name="14478"/>
                  <w:bookmarkEnd w:id="23"/>
                  <w:r w:rsidRPr="005B2F6F">
                    <w:rPr>
                      <w:rFonts w:ascii="Times New Roman" w:hAnsi="Times New Roman"/>
                      <w:sz w:val="15"/>
                    </w:rPr>
                    <w:t>,</w:t>
                  </w:r>
                </w:p>
              </w:tc>
              <w:bookmarkEnd w:id="24"/>
            </w:tr>
          </w:tbl>
          <w:p w14:paraId="1CC825D6" w14:textId="77777777" w:rsidR="005B2F6F" w:rsidRPr="005B2F6F" w:rsidRDefault="005B2F6F" w:rsidP="005B2F6F">
            <w:pPr>
              <w:spacing w:after="75"/>
              <w:ind w:firstLine="240"/>
              <w:jc w:val="both"/>
            </w:pPr>
            <w:bookmarkStart w:id="25" w:name="14479"/>
            <w:r w:rsidRPr="005B2F6F">
              <w:rPr>
                <w:rFonts w:ascii="Times New Roman" w:hAnsi="Times New Roman"/>
                <w:sz w:val="24"/>
              </w:rPr>
              <w:t xml:space="preserve">де </w:t>
            </w:r>
            <w:proofErr w:type="spellStart"/>
            <w:r w:rsidRPr="005B2F6F">
              <w:rPr>
                <w:rFonts w:ascii="Times New Roman" w:hAnsi="Times New Roman"/>
                <w:sz w:val="24"/>
              </w:rPr>
              <w:t>К</w:t>
            </w:r>
            <w:r w:rsidRPr="005B2F6F">
              <w:rPr>
                <w:rFonts w:ascii="Times New Roman" w:hAnsi="Times New Roman"/>
                <w:vertAlign w:val="subscript"/>
              </w:rPr>
              <w:t>ф</w:t>
            </w:r>
            <w:proofErr w:type="spellEnd"/>
            <w:r w:rsidRPr="005B2F6F">
              <w:rPr>
                <w:rFonts w:ascii="Times New Roman" w:hAnsi="Times New Roman"/>
                <w:vertAlign w:val="subscript"/>
              </w:rPr>
              <w:t xml:space="preserve"> ПСО і</w:t>
            </w:r>
            <w:r w:rsidRPr="005B2F6F">
              <w:rPr>
                <w:rFonts w:ascii="Times New Roman" w:hAnsi="Times New Roman"/>
                <w:sz w:val="24"/>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14:paraId="45603804" w14:textId="77777777" w:rsidR="005B2F6F" w:rsidRPr="005B2F6F" w:rsidRDefault="005B2F6F" w:rsidP="005B2F6F">
            <w:pPr>
              <w:spacing w:after="75"/>
              <w:ind w:firstLine="240"/>
              <w:jc w:val="both"/>
            </w:pPr>
            <w:bookmarkStart w:id="26" w:name="14480"/>
            <w:bookmarkEnd w:id="25"/>
            <w:r w:rsidRPr="005B2F6F">
              <w:rPr>
                <w:rFonts w:ascii="Times New Roman" w:hAnsi="Times New Roman"/>
                <w:sz w:val="24"/>
              </w:rPr>
              <w:t>у липні - серпні 2019 року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2593"/>
              <w:gridCol w:w="1658"/>
            </w:tblGrid>
            <w:tr w:rsidR="005B2F6F" w:rsidRPr="005B2F6F" w14:paraId="7AB98F8F" w14:textId="77777777" w:rsidTr="005B2F6F">
              <w:trPr>
                <w:trHeight w:val="22"/>
                <w:tblCellSpacing w:w="0" w:type="auto"/>
              </w:trPr>
              <w:tc>
                <w:tcPr>
                  <w:tcW w:w="2593" w:type="dxa"/>
                  <w:vAlign w:val="center"/>
                </w:tcPr>
                <w:p w14:paraId="1751D0EA" w14:textId="77777777" w:rsidR="005B2F6F" w:rsidRPr="005B2F6F" w:rsidRDefault="005B2F6F" w:rsidP="005B2F6F">
                  <w:pPr>
                    <w:spacing w:after="75"/>
                  </w:pPr>
                  <w:bookmarkStart w:id="27" w:name="14481"/>
                  <w:bookmarkEnd w:id="26"/>
                  <w:r w:rsidRPr="005B2F6F">
                    <w:rPr>
                      <w:noProof/>
                    </w:rPr>
                    <w:drawing>
                      <wp:inline distT="0" distB="0" distL="0" distR="0" wp14:anchorId="0B98B02C" wp14:editId="5E2680ED">
                        <wp:extent cx="1438275" cy="352609"/>
                        <wp:effectExtent l="0" t="0" r="0"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60321" cy="358014"/>
                                </a:xfrm>
                                <a:prstGeom prst="rect">
                                  <a:avLst/>
                                </a:prstGeom>
                              </pic:spPr>
                            </pic:pic>
                          </a:graphicData>
                        </a:graphic>
                      </wp:inline>
                    </w:drawing>
                  </w:r>
                </w:p>
              </w:tc>
              <w:tc>
                <w:tcPr>
                  <w:tcW w:w="1658" w:type="dxa"/>
                  <w:vAlign w:val="center"/>
                </w:tcPr>
                <w:p w14:paraId="38C86438" w14:textId="77777777" w:rsidR="005B2F6F" w:rsidRPr="005B2F6F" w:rsidRDefault="005B2F6F" w:rsidP="005B2F6F">
                  <w:pPr>
                    <w:spacing w:after="75"/>
                  </w:pPr>
                  <w:bookmarkStart w:id="28" w:name="14482"/>
                  <w:bookmarkEnd w:id="27"/>
                  <w:r w:rsidRPr="005B2F6F">
                    <w:rPr>
                      <w:rFonts w:ascii="Times New Roman" w:hAnsi="Times New Roman"/>
                      <w:sz w:val="15"/>
                    </w:rPr>
                    <w:t>,</w:t>
                  </w:r>
                </w:p>
              </w:tc>
              <w:bookmarkEnd w:id="28"/>
            </w:tr>
          </w:tbl>
          <w:p w14:paraId="3BC54B46" w14:textId="77777777" w:rsidR="005B2F6F" w:rsidRPr="005B2F6F" w:rsidRDefault="005B2F6F" w:rsidP="005B2F6F">
            <w:pPr>
              <w:spacing w:after="75"/>
              <w:ind w:firstLine="240"/>
              <w:jc w:val="both"/>
            </w:pPr>
            <w:bookmarkStart w:id="29" w:name="14483"/>
            <w:r w:rsidRPr="005B2F6F">
              <w:rPr>
                <w:rFonts w:ascii="Times New Roman" w:hAnsi="Times New Roman"/>
                <w:sz w:val="24"/>
              </w:rPr>
              <w:t>де О</w:t>
            </w:r>
            <w:r w:rsidRPr="005B2F6F">
              <w:rPr>
                <w:rFonts w:ascii="Times New Roman" w:hAnsi="Times New Roman"/>
                <w:vertAlign w:val="subscript"/>
              </w:rPr>
              <w:t>ТВЕ ПСО ф і</w:t>
            </w:r>
            <w:r w:rsidRPr="005B2F6F">
              <w:rPr>
                <w:rFonts w:ascii="Times New Roman" w:hAnsi="Times New Roman"/>
                <w:sz w:val="24"/>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1AE58CAE" w14:textId="77777777" w:rsidR="005B2F6F" w:rsidRPr="005B2F6F" w:rsidRDefault="005B2F6F" w:rsidP="005B2F6F">
            <w:pPr>
              <w:spacing w:after="75"/>
              <w:ind w:firstLine="240"/>
              <w:jc w:val="both"/>
            </w:pPr>
            <w:bookmarkStart w:id="30" w:name="14484"/>
            <w:bookmarkEnd w:id="29"/>
            <w:r w:rsidRPr="005B2F6F">
              <w:rPr>
                <w:rFonts w:ascii="Times New Roman" w:hAnsi="Times New Roman"/>
                <w:sz w:val="24"/>
              </w:rPr>
              <w:t xml:space="preserve">у вересні - грудні 2019 року </w:t>
            </w:r>
            <w:proofErr w:type="spellStart"/>
            <w:r w:rsidRPr="005B2F6F">
              <w:rPr>
                <w:rFonts w:ascii="Times New Roman" w:hAnsi="Times New Roman"/>
                <w:sz w:val="24"/>
              </w:rPr>
              <w:t>К</w:t>
            </w:r>
            <w:r w:rsidRPr="005B2F6F">
              <w:rPr>
                <w:rFonts w:ascii="Times New Roman" w:hAnsi="Times New Roman"/>
                <w:vertAlign w:val="subscript"/>
              </w:rPr>
              <w:t>ф</w:t>
            </w:r>
            <w:proofErr w:type="spellEnd"/>
            <w:r w:rsidRPr="005B2F6F">
              <w:rPr>
                <w:rFonts w:ascii="Times New Roman" w:hAnsi="Times New Roman"/>
                <w:vertAlign w:val="subscript"/>
              </w:rPr>
              <w:t xml:space="preserve"> ПСО і</w:t>
            </w:r>
            <w:r w:rsidRPr="005B2F6F">
              <w:rPr>
                <w:rFonts w:ascii="Times New Roman" w:hAnsi="Times New Roman"/>
                <w:sz w:val="24"/>
              </w:rPr>
              <w:t xml:space="preserve"> дорівнює 0,8;</w:t>
            </w:r>
          </w:p>
          <w:p w14:paraId="7352B74A" w14:textId="77777777" w:rsidR="005B2F6F" w:rsidRPr="005B2F6F" w:rsidRDefault="005B2F6F" w:rsidP="005B2F6F">
            <w:pPr>
              <w:spacing w:after="75"/>
              <w:ind w:firstLine="240"/>
              <w:jc w:val="both"/>
            </w:pPr>
            <w:bookmarkStart w:id="31" w:name="14485"/>
            <w:bookmarkEnd w:id="30"/>
            <w:r w:rsidRPr="005B2F6F">
              <w:rPr>
                <w:rFonts w:ascii="Times New Roman" w:hAnsi="Times New Roman"/>
                <w:sz w:val="24"/>
              </w:rPr>
              <w:t xml:space="preserve">Ц </w:t>
            </w:r>
            <w:r w:rsidRPr="005B2F6F">
              <w:rPr>
                <w:rFonts w:ascii="Times New Roman" w:hAnsi="Times New Roman"/>
                <w:vertAlign w:val="subscript"/>
              </w:rPr>
              <w:t>ф і</w:t>
            </w:r>
            <w:r w:rsidRPr="005B2F6F">
              <w:rPr>
                <w:rFonts w:ascii="Times New Roman" w:hAnsi="Times New Roman"/>
                <w:sz w:val="24"/>
              </w:rPr>
              <w:t xml:space="preserve"> - фактична ціна електричної енергії, купованої згідно з Положенням N 483, в і-му місяці звітного року,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474E880B" w14:textId="77777777" w:rsidR="005B2F6F" w:rsidRPr="005B2F6F" w:rsidRDefault="005B2F6F" w:rsidP="005B2F6F">
            <w:pPr>
              <w:spacing w:after="75"/>
              <w:ind w:firstLine="240"/>
              <w:jc w:val="both"/>
            </w:pPr>
            <w:bookmarkStart w:id="32" w:name="14486"/>
            <w:bookmarkEnd w:id="31"/>
            <w:r w:rsidRPr="005B2F6F">
              <w:rPr>
                <w:rFonts w:ascii="Times New Roman" w:hAnsi="Times New Roman"/>
                <w:sz w:val="24"/>
              </w:rPr>
              <w:lastRenderedPageBreak/>
              <w:t>Ц</w:t>
            </w:r>
            <w:r w:rsidRPr="005B2F6F">
              <w:rPr>
                <w:rFonts w:ascii="Times New Roman" w:hAnsi="Times New Roman"/>
                <w:vertAlign w:val="subscript"/>
              </w:rPr>
              <w:t>РДН ф і</w:t>
            </w:r>
            <w:r w:rsidRPr="005B2F6F">
              <w:rPr>
                <w:rFonts w:ascii="Times New Roman" w:hAnsi="Times New Roman"/>
                <w:sz w:val="24"/>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2AC5F912" w14:textId="77777777" w:rsidR="005B2F6F" w:rsidRPr="005B2F6F" w:rsidRDefault="005B2F6F" w:rsidP="005B2F6F">
            <w:pPr>
              <w:spacing w:after="75"/>
              <w:ind w:firstLine="240"/>
              <w:jc w:val="both"/>
            </w:pPr>
            <w:bookmarkStart w:id="33" w:name="14487"/>
            <w:bookmarkEnd w:id="32"/>
            <w:r w:rsidRPr="005B2F6F">
              <w:rPr>
                <w:rFonts w:ascii="Times New Roman" w:hAnsi="Times New Roman"/>
                <w:sz w:val="24"/>
              </w:rPr>
              <w:t>Д</w:t>
            </w:r>
            <w:r w:rsidRPr="005B2F6F">
              <w:rPr>
                <w:rFonts w:ascii="Times New Roman" w:hAnsi="Times New Roman"/>
                <w:vertAlign w:val="subscript"/>
              </w:rPr>
              <w:t>ТВЕ ф і</w:t>
            </w:r>
            <w:r w:rsidRPr="005B2F6F">
              <w:rPr>
                <w:rFonts w:ascii="Times New Roman" w:hAnsi="Times New Roman"/>
                <w:sz w:val="24"/>
              </w:rPr>
              <w:t xml:space="preserve">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5584"/>
              <w:gridCol w:w="620"/>
            </w:tblGrid>
            <w:tr w:rsidR="005B2F6F" w:rsidRPr="005B2F6F" w14:paraId="5D1C016A" w14:textId="77777777" w:rsidTr="005B2F6F">
              <w:trPr>
                <w:trHeight w:val="24"/>
                <w:tblCellSpacing w:w="0" w:type="auto"/>
              </w:trPr>
              <w:tc>
                <w:tcPr>
                  <w:tcW w:w="5584" w:type="dxa"/>
                  <w:vAlign w:val="center"/>
                </w:tcPr>
                <w:p w14:paraId="07F0F0AC" w14:textId="77777777" w:rsidR="005B2F6F" w:rsidRPr="005B2F6F" w:rsidRDefault="005B2F6F" w:rsidP="005B2F6F">
                  <w:pPr>
                    <w:spacing w:after="75"/>
                  </w:pPr>
                  <w:bookmarkStart w:id="34" w:name="14488"/>
                  <w:bookmarkEnd w:id="33"/>
                  <w:r w:rsidRPr="005B2F6F">
                    <w:rPr>
                      <w:noProof/>
                    </w:rPr>
                    <w:drawing>
                      <wp:inline distT="0" distB="0" distL="0" distR="0" wp14:anchorId="7300D071" wp14:editId="08AE463E">
                        <wp:extent cx="3400425" cy="158023"/>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3568" cy="163746"/>
                                </a:xfrm>
                                <a:prstGeom prst="rect">
                                  <a:avLst/>
                                </a:prstGeom>
                              </pic:spPr>
                            </pic:pic>
                          </a:graphicData>
                        </a:graphic>
                      </wp:inline>
                    </w:drawing>
                  </w:r>
                </w:p>
              </w:tc>
              <w:tc>
                <w:tcPr>
                  <w:tcW w:w="620" w:type="dxa"/>
                  <w:vAlign w:val="center"/>
                </w:tcPr>
                <w:p w14:paraId="414DB4C0" w14:textId="77777777" w:rsidR="005B2F6F" w:rsidRPr="005B2F6F" w:rsidRDefault="005B2F6F" w:rsidP="005B2F6F">
                  <w:pPr>
                    <w:spacing w:after="75"/>
                  </w:pPr>
                  <w:bookmarkStart w:id="35" w:name="14489"/>
                  <w:bookmarkEnd w:id="34"/>
                  <w:r w:rsidRPr="005B2F6F">
                    <w:rPr>
                      <w:rFonts w:ascii="Times New Roman" w:hAnsi="Times New Roman"/>
                      <w:sz w:val="15"/>
                    </w:rPr>
                    <w:t>,</w:t>
                  </w:r>
                </w:p>
              </w:tc>
              <w:bookmarkEnd w:id="35"/>
            </w:tr>
          </w:tbl>
          <w:p w14:paraId="166F2D48" w14:textId="77777777" w:rsidR="005B2F6F" w:rsidRPr="005B2F6F" w:rsidRDefault="005B2F6F" w:rsidP="005B2F6F">
            <w:pPr>
              <w:spacing w:after="75"/>
              <w:ind w:firstLine="240"/>
              <w:jc w:val="both"/>
            </w:pPr>
            <w:bookmarkStart w:id="36" w:name="18183"/>
            <w:r w:rsidRPr="005B2F6F">
              <w:rPr>
                <w:rFonts w:ascii="Times New Roman" w:hAnsi="Times New Roman"/>
                <w:sz w:val="24"/>
              </w:rPr>
              <w:t>З 01 січня 2021 року Д</w:t>
            </w:r>
            <w:r w:rsidRPr="005B2F6F">
              <w:rPr>
                <w:rFonts w:ascii="Times New Roman" w:hAnsi="Times New Roman"/>
                <w:vertAlign w:val="subscript"/>
              </w:rPr>
              <w:t>ТВЕ</w:t>
            </w:r>
            <w:r w:rsidRPr="005B2F6F">
              <w:rPr>
                <w:rFonts w:ascii="Times New Roman" w:hAnsi="Times New Roman"/>
                <w:sz w:val="24"/>
              </w:rPr>
              <w:t xml:space="preserve"> </w:t>
            </w:r>
            <w:proofErr w:type="spellStart"/>
            <w:r w:rsidRPr="005B2F6F">
              <w:rPr>
                <w:rFonts w:ascii="Times New Roman" w:hAnsi="Times New Roman"/>
                <w:vertAlign w:val="subscript"/>
              </w:rPr>
              <w:t>нф</w:t>
            </w:r>
            <w:proofErr w:type="spellEnd"/>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розраховується за формулою</w:t>
            </w:r>
          </w:p>
          <w:p w14:paraId="4228DA9A" w14:textId="77777777" w:rsidR="005B2F6F" w:rsidRPr="005B2F6F" w:rsidRDefault="005B2F6F" w:rsidP="005B2F6F">
            <w:pPr>
              <w:spacing w:after="75"/>
              <w:jc w:val="center"/>
            </w:pPr>
            <w:bookmarkStart w:id="37" w:name="18184"/>
            <w:bookmarkEnd w:id="36"/>
            <w:r w:rsidRPr="005B2F6F">
              <w:rPr>
                <w:rFonts w:ascii="Times New Roman" w:hAnsi="Times New Roman"/>
                <w:sz w:val="24"/>
              </w:rPr>
              <w:t>Д</w:t>
            </w:r>
            <w:r w:rsidRPr="005B2F6F">
              <w:rPr>
                <w:rFonts w:ascii="Times New Roman" w:hAnsi="Times New Roman"/>
                <w:vertAlign w:val="subscript"/>
              </w:rPr>
              <w:t>ТВЕ</w:t>
            </w:r>
            <w:r w:rsidRPr="005B2F6F">
              <w:rPr>
                <w:rFonts w:ascii="Times New Roman" w:hAnsi="Times New Roman"/>
                <w:sz w:val="24"/>
              </w:rPr>
              <w:t xml:space="preserve"> </w:t>
            </w:r>
            <w:proofErr w:type="spellStart"/>
            <w:r w:rsidRPr="005B2F6F">
              <w:rPr>
                <w:rFonts w:ascii="Times New Roman" w:hAnsi="Times New Roman"/>
                <w:vertAlign w:val="subscript"/>
              </w:rPr>
              <w:t>нф</w:t>
            </w:r>
            <w:proofErr w:type="spellEnd"/>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 О</w:t>
            </w:r>
            <w:r w:rsidRPr="005B2F6F">
              <w:rPr>
                <w:rFonts w:ascii="Times New Roman" w:hAnsi="Times New Roman"/>
                <w:vertAlign w:val="subscript"/>
              </w:rPr>
              <w:t>ТВЕ</w:t>
            </w:r>
            <w:r w:rsidRPr="005B2F6F">
              <w:rPr>
                <w:rFonts w:ascii="Times New Roman" w:hAnsi="Times New Roman"/>
                <w:sz w:val="24"/>
              </w:rPr>
              <w:t xml:space="preserve"> </w:t>
            </w:r>
            <w:proofErr w:type="spellStart"/>
            <w:r w:rsidRPr="005B2F6F">
              <w:rPr>
                <w:rFonts w:ascii="Times New Roman" w:hAnsi="Times New Roman"/>
                <w:vertAlign w:val="subscript"/>
              </w:rPr>
              <w:t>нф</w:t>
            </w:r>
            <w:proofErr w:type="spellEnd"/>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Ц</w:t>
            </w:r>
            <w:r w:rsidRPr="005B2F6F">
              <w:rPr>
                <w:rFonts w:ascii="Times New Roman" w:hAnsi="Times New Roman"/>
                <w:vertAlign w:val="subscript"/>
              </w:rPr>
              <w:t>ТВЕ</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w:t>
            </w:r>
          </w:p>
          <w:p w14:paraId="34572FAC" w14:textId="77777777" w:rsidR="005B2F6F" w:rsidRPr="005B2F6F" w:rsidRDefault="005B2F6F" w:rsidP="005B2F6F">
            <w:pPr>
              <w:spacing w:after="75"/>
              <w:ind w:firstLine="240"/>
              <w:jc w:val="both"/>
            </w:pPr>
            <w:bookmarkStart w:id="38" w:name="18185"/>
            <w:bookmarkEnd w:id="37"/>
            <w:r w:rsidRPr="005B2F6F">
              <w:rPr>
                <w:rFonts w:ascii="Times New Roman" w:hAnsi="Times New Roman"/>
                <w:sz w:val="24"/>
              </w:rPr>
              <w:t>де Ц</w:t>
            </w:r>
            <w:r w:rsidRPr="005B2F6F">
              <w:rPr>
                <w:rFonts w:ascii="Times New Roman" w:hAnsi="Times New Roman"/>
                <w:vertAlign w:val="subscript"/>
              </w:rPr>
              <w:t>ТВЕ</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5B2F6F">
              <w:rPr>
                <w:rFonts w:ascii="Times New Roman" w:hAnsi="Times New Roman"/>
                <w:sz w:val="24"/>
              </w:rPr>
              <w:t>МВт·год</w:t>
            </w:r>
            <w:proofErr w:type="spellEnd"/>
            <w:r w:rsidRPr="005B2F6F">
              <w:rPr>
                <w:rFonts w:ascii="Times New Roman" w:hAnsi="Times New Roman"/>
                <w:sz w:val="24"/>
              </w:rPr>
              <w:t>, та розраховується за формулою</w:t>
            </w:r>
          </w:p>
          <w:p w14:paraId="0FCC9847" w14:textId="77777777" w:rsidR="005B2F6F" w:rsidRPr="005B2F6F" w:rsidRDefault="005B2F6F" w:rsidP="005B2F6F">
            <w:pPr>
              <w:spacing w:after="75"/>
              <w:ind w:firstLine="240"/>
              <w:jc w:val="both"/>
            </w:pPr>
            <w:bookmarkStart w:id="39" w:name="18186"/>
            <w:bookmarkEnd w:id="38"/>
            <w:r w:rsidRPr="005B2F6F">
              <w:rPr>
                <w:rFonts w:ascii="Times New Roman" w:hAnsi="Times New Roman"/>
                <w:sz w:val="24"/>
              </w:rPr>
              <w:t>Ц</w:t>
            </w:r>
            <w:r w:rsidRPr="005B2F6F">
              <w:rPr>
                <w:rFonts w:ascii="Times New Roman" w:hAnsi="Times New Roman"/>
                <w:vertAlign w:val="subscript"/>
              </w:rPr>
              <w:t>ТВЕ</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w:t>
            </w:r>
            <w:r w:rsidRPr="005B2F6F">
              <w:rPr>
                <w:rFonts w:ascii="Times New Roman" w:hAnsi="Times New Roman"/>
                <w:vertAlign w:val="subscript"/>
              </w:rPr>
              <w:t>=</w:t>
            </w:r>
            <w:r w:rsidRPr="005B2F6F">
              <w:rPr>
                <w:rFonts w:ascii="Times New Roman" w:hAnsi="Times New Roman"/>
                <w:sz w:val="24"/>
              </w:rPr>
              <w:t xml:space="preserve"> Ц </w:t>
            </w:r>
            <w:r w:rsidRPr="005B2F6F">
              <w:rPr>
                <w:rFonts w:ascii="Times New Roman" w:hAnsi="Times New Roman"/>
                <w:vertAlign w:val="subscript"/>
              </w:rPr>
              <w:t>РДН</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(1 -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РДН</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(1 + К</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х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РДД</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w:t>
            </w:r>
          </w:p>
          <w:p w14:paraId="36FA9783" w14:textId="77777777" w:rsidR="005B2F6F" w:rsidRPr="005B2F6F" w:rsidRDefault="005B2F6F" w:rsidP="005B2F6F">
            <w:pPr>
              <w:spacing w:after="75"/>
              <w:ind w:firstLine="240"/>
              <w:jc w:val="both"/>
            </w:pPr>
            <w:bookmarkStart w:id="40" w:name="18187"/>
            <w:bookmarkEnd w:id="39"/>
            <w:r w:rsidRPr="005B2F6F">
              <w:rPr>
                <w:rFonts w:ascii="Times New Roman" w:hAnsi="Times New Roman"/>
                <w:sz w:val="24"/>
              </w:rPr>
              <w:t>де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46934D83" w14:textId="77777777" w:rsidR="005B2F6F" w:rsidRPr="005B2F6F" w:rsidRDefault="005B2F6F" w:rsidP="005B2F6F">
            <w:pPr>
              <w:spacing w:after="75"/>
              <w:ind w:firstLine="240"/>
              <w:jc w:val="both"/>
            </w:pPr>
            <w:bookmarkStart w:id="41" w:name="18188"/>
            <w:bookmarkEnd w:id="40"/>
            <w:r w:rsidRPr="005B2F6F">
              <w:rPr>
                <w:rFonts w:ascii="Times New Roman" w:hAnsi="Times New Roman"/>
                <w:sz w:val="24"/>
              </w:rPr>
              <w:t>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1C117B06" w14:textId="77777777" w:rsidR="005B2F6F" w:rsidRPr="005B2F6F" w:rsidRDefault="005B2F6F" w:rsidP="005B2F6F">
            <w:pPr>
              <w:spacing w:after="75"/>
              <w:ind w:firstLine="240"/>
              <w:jc w:val="both"/>
            </w:pPr>
            <w:bookmarkStart w:id="42" w:name="18189"/>
            <w:bookmarkEnd w:id="41"/>
            <w:r w:rsidRPr="005B2F6F">
              <w:rPr>
                <w:rFonts w:ascii="Times New Roman" w:hAnsi="Times New Roman"/>
                <w:sz w:val="24"/>
              </w:rPr>
              <w:t>К</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65A96640" w14:textId="77777777" w:rsidR="005B2F6F" w:rsidRPr="005B2F6F" w:rsidRDefault="005B2F6F" w:rsidP="005B2F6F">
            <w:pPr>
              <w:spacing w:after="75"/>
              <w:ind w:firstLine="240"/>
              <w:jc w:val="both"/>
            </w:pPr>
            <w:bookmarkStart w:id="43" w:name="18190"/>
            <w:bookmarkEnd w:id="42"/>
            <w:r w:rsidRPr="005B2F6F">
              <w:rPr>
                <w:rFonts w:ascii="Times New Roman" w:hAnsi="Times New Roman"/>
                <w:sz w:val="24"/>
              </w:rPr>
              <w:lastRenderedPageBreak/>
              <w:t>Ц</w:t>
            </w:r>
            <w:r w:rsidRPr="005B2F6F">
              <w:rPr>
                <w:rFonts w:ascii="Times New Roman" w:hAnsi="Times New Roman"/>
                <w:vertAlign w:val="subscript"/>
              </w:rPr>
              <w:t>РДД</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2EC4939F" w14:textId="77777777" w:rsidR="005B2F6F" w:rsidRPr="005B2F6F" w:rsidRDefault="005B2F6F" w:rsidP="005B2F6F">
            <w:pPr>
              <w:spacing w:after="75"/>
              <w:ind w:firstLine="240"/>
              <w:jc w:val="both"/>
            </w:pPr>
            <w:bookmarkStart w:id="44" w:name="20729"/>
            <w:bookmarkEnd w:id="43"/>
            <w:r w:rsidRPr="005B2F6F">
              <w:rPr>
                <w:rFonts w:ascii="Times New Roman" w:hAnsi="Times New Roman"/>
                <w:sz w:val="24"/>
              </w:rPr>
              <w:t>Для цілей розрахунку складова (1 -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приймається рівною нулю у разі, якщо її значення менше нуля.</w:t>
            </w:r>
          </w:p>
          <w:p w14:paraId="46600398" w14:textId="77777777" w:rsidR="005B2F6F" w:rsidRPr="005B2F6F" w:rsidRDefault="005B2F6F" w:rsidP="005B2F6F">
            <w:pPr>
              <w:spacing w:after="75"/>
              <w:ind w:firstLine="240"/>
              <w:jc w:val="both"/>
            </w:pPr>
            <w:bookmarkStart w:id="45" w:name="20730"/>
            <w:bookmarkEnd w:id="44"/>
            <w:r w:rsidRPr="005B2F6F">
              <w:rPr>
                <w:rFonts w:ascii="Times New Roman" w:hAnsi="Times New Roman"/>
                <w:sz w:val="24"/>
              </w:rPr>
              <w:t xml:space="preserve">Починаючи з 2023 року Ц </w:t>
            </w:r>
            <w:r w:rsidRPr="005B2F6F">
              <w:rPr>
                <w:rFonts w:ascii="Times New Roman" w:hAnsi="Times New Roman"/>
                <w:vertAlign w:val="subscript"/>
              </w:rPr>
              <w:t>ТВЕ і</w:t>
            </w:r>
            <w:r w:rsidRPr="005B2F6F">
              <w:rPr>
                <w:rFonts w:ascii="Times New Roman" w:hAnsi="Times New Roman"/>
                <w:sz w:val="24"/>
              </w:rPr>
              <w:t xml:space="preserve"> визначається за формулою</w:t>
            </w:r>
          </w:p>
          <w:p w14:paraId="6C76A6F9" w14:textId="77777777" w:rsidR="005B2F6F" w:rsidRPr="005B2F6F" w:rsidRDefault="005B2F6F" w:rsidP="005B2F6F">
            <w:pPr>
              <w:spacing w:after="75"/>
              <w:ind w:firstLine="240"/>
              <w:jc w:val="both"/>
            </w:pPr>
            <w:bookmarkStart w:id="46" w:name="20731"/>
            <w:bookmarkEnd w:id="45"/>
            <w:r w:rsidRPr="005B2F6F">
              <w:rPr>
                <w:rFonts w:ascii="Times New Roman" w:hAnsi="Times New Roman"/>
                <w:sz w:val="24"/>
              </w:rPr>
              <w:t xml:space="preserve">Ц </w:t>
            </w:r>
            <w:r w:rsidRPr="005B2F6F">
              <w:rPr>
                <w:rFonts w:ascii="Times New Roman" w:hAnsi="Times New Roman"/>
                <w:vertAlign w:val="subscript"/>
              </w:rPr>
              <w:t>ТВЕ і</w:t>
            </w:r>
            <w:r w:rsidRPr="005B2F6F">
              <w:rPr>
                <w:rFonts w:ascii="Times New Roman" w:hAnsi="Times New Roman"/>
                <w:sz w:val="24"/>
              </w:rPr>
              <w:t xml:space="preserve"> = Ц </w:t>
            </w:r>
            <w:r w:rsidRPr="005B2F6F">
              <w:rPr>
                <w:rFonts w:ascii="Times New Roman" w:hAnsi="Times New Roman"/>
                <w:vertAlign w:val="subscript"/>
              </w:rPr>
              <w:t>РДН ф і</w:t>
            </w:r>
            <w:r w:rsidRPr="005B2F6F">
              <w:rPr>
                <w:rFonts w:ascii="Times New Roman" w:hAnsi="Times New Roman"/>
                <w:sz w:val="24"/>
              </w:rPr>
              <w:t xml:space="preserve"> × (1 -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РДН ф і</w:t>
            </w:r>
            <w:r w:rsidRPr="005B2F6F">
              <w:rPr>
                <w:rFonts w:ascii="Times New Roman" w:hAnsi="Times New Roman"/>
                <w:sz w:val="24"/>
              </w:rPr>
              <w:t xml:space="preserve"> × (1 + К </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РДД ф і</w:t>
            </w:r>
            <w:r w:rsidRPr="005B2F6F">
              <w:rPr>
                <w:rFonts w:ascii="Times New Roman" w:hAnsi="Times New Roman"/>
                <w:sz w:val="24"/>
              </w:rPr>
              <w:t xml:space="preserve"> × К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w:t>
            </w:r>
          </w:p>
          <w:p w14:paraId="1EF0869C" w14:textId="77777777" w:rsidR="005B2F6F" w:rsidRPr="005B2F6F" w:rsidRDefault="005B2F6F" w:rsidP="005B2F6F">
            <w:pPr>
              <w:spacing w:after="75"/>
              <w:ind w:firstLine="240"/>
              <w:jc w:val="both"/>
            </w:pPr>
            <w:bookmarkStart w:id="47" w:name="20732"/>
            <w:bookmarkEnd w:id="46"/>
            <w:r w:rsidRPr="005B2F6F">
              <w:rPr>
                <w:rFonts w:ascii="Times New Roman" w:hAnsi="Times New Roman"/>
                <w:sz w:val="24"/>
              </w:rPr>
              <w:t>де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та К</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0C68D4BC" w14:textId="680DA912" w:rsidR="005B2F6F" w:rsidRPr="00D945CE" w:rsidRDefault="005B2F6F" w:rsidP="00D945CE">
            <w:pPr>
              <w:ind w:firstLine="240"/>
              <w:jc w:val="both"/>
              <w:rPr>
                <w:rFonts w:ascii="Times New Roman" w:hAnsi="Times New Roman" w:cs="Times New Roman"/>
                <w:sz w:val="24"/>
              </w:rPr>
            </w:pPr>
            <w:bookmarkStart w:id="48" w:name="20733"/>
            <w:bookmarkEnd w:id="47"/>
            <w:r w:rsidRPr="005B2F6F">
              <w:rPr>
                <w:rFonts w:ascii="Times New Roman" w:hAnsi="Times New Roman"/>
                <w:sz w:val="24"/>
              </w:rPr>
              <w:t xml:space="preserve">Ц </w:t>
            </w:r>
            <w:r w:rsidRPr="005B2F6F">
              <w:rPr>
                <w:rFonts w:ascii="Times New Roman" w:hAnsi="Times New Roman"/>
                <w:vertAlign w:val="subscript"/>
              </w:rPr>
              <w:t>РДД ф і</w:t>
            </w:r>
            <w:r w:rsidRPr="005B2F6F">
              <w:rPr>
                <w:rFonts w:ascii="Times New Roman" w:hAnsi="Times New Roman"/>
                <w:sz w:val="24"/>
              </w:rPr>
              <w:t xml:space="preserve"> - місячний індекс базового навантаження на ринку двосторонніх договорів в і-му місяці звітного року, який оприлюднюється ТОВ "</w:t>
            </w:r>
            <w:r w:rsidRPr="00D945CE">
              <w:rPr>
                <w:rFonts w:ascii="Times New Roman" w:hAnsi="Times New Roman" w:cs="Times New Roman"/>
                <w:sz w:val="24"/>
              </w:rPr>
              <w:t xml:space="preserve">Українська енергетична біржа" на його офіційному </w:t>
            </w:r>
            <w:proofErr w:type="spellStart"/>
            <w:r w:rsidRPr="00D945CE">
              <w:rPr>
                <w:rFonts w:ascii="Times New Roman" w:hAnsi="Times New Roman" w:cs="Times New Roman"/>
                <w:sz w:val="24"/>
              </w:rPr>
              <w:t>вебсайті</w:t>
            </w:r>
            <w:proofErr w:type="spellEnd"/>
            <w:r w:rsidRPr="00D945CE">
              <w:rPr>
                <w:rFonts w:ascii="Times New Roman" w:hAnsi="Times New Roman" w:cs="Times New Roman"/>
                <w:sz w:val="24"/>
              </w:rPr>
              <w:t xml:space="preserve"> в мережі Інтернет, грн/</w:t>
            </w:r>
            <w:proofErr w:type="spellStart"/>
            <w:r w:rsidRPr="00D945CE">
              <w:rPr>
                <w:rFonts w:ascii="Times New Roman" w:hAnsi="Times New Roman" w:cs="Times New Roman"/>
                <w:sz w:val="24"/>
              </w:rPr>
              <w:t>МВт·год</w:t>
            </w:r>
            <w:proofErr w:type="spellEnd"/>
            <w:r w:rsidRPr="00D945CE">
              <w:rPr>
                <w:rFonts w:ascii="Times New Roman" w:hAnsi="Times New Roman" w:cs="Times New Roman"/>
                <w:sz w:val="24"/>
              </w:rPr>
              <w:t>;</w:t>
            </w:r>
          </w:p>
          <w:p w14:paraId="6F1C005C" w14:textId="13177B79" w:rsidR="00D945CE" w:rsidRPr="00D945CE" w:rsidRDefault="00D945CE" w:rsidP="00D945CE">
            <w:pPr>
              <w:ind w:firstLine="240"/>
              <w:jc w:val="both"/>
              <w:rPr>
                <w:rFonts w:ascii="Times New Roman" w:hAnsi="Times New Roman" w:cs="Times New Roman"/>
              </w:rPr>
            </w:pPr>
          </w:p>
          <w:p w14:paraId="06E88D81" w14:textId="0ABD724E" w:rsidR="00D945CE" w:rsidRPr="00D945CE" w:rsidRDefault="00D945CE" w:rsidP="00D945CE">
            <w:pPr>
              <w:ind w:firstLine="240"/>
              <w:jc w:val="both"/>
              <w:rPr>
                <w:rFonts w:ascii="Times New Roman" w:hAnsi="Times New Roman" w:cs="Times New Roman"/>
              </w:rPr>
            </w:pPr>
          </w:p>
          <w:p w14:paraId="20D6E1F8" w14:textId="22F23158" w:rsidR="00D945CE" w:rsidRDefault="00D945CE" w:rsidP="00D945CE">
            <w:pPr>
              <w:ind w:firstLine="240"/>
              <w:jc w:val="both"/>
              <w:rPr>
                <w:rFonts w:ascii="Times New Roman" w:hAnsi="Times New Roman" w:cs="Times New Roman"/>
              </w:rPr>
            </w:pPr>
          </w:p>
          <w:p w14:paraId="405BB2D8" w14:textId="77777777" w:rsidR="00D945CE" w:rsidRPr="00D945CE" w:rsidRDefault="00D945CE" w:rsidP="00D945CE">
            <w:pPr>
              <w:ind w:firstLine="240"/>
              <w:jc w:val="both"/>
              <w:rPr>
                <w:rFonts w:ascii="Times New Roman" w:hAnsi="Times New Roman" w:cs="Times New Roman"/>
              </w:rPr>
            </w:pPr>
          </w:p>
          <w:p w14:paraId="75891382" w14:textId="77777777" w:rsidR="00D945CE" w:rsidRPr="00D945CE" w:rsidRDefault="00D945CE" w:rsidP="00D945CE">
            <w:pPr>
              <w:ind w:firstLine="240"/>
              <w:jc w:val="both"/>
              <w:rPr>
                <w:rFonts w:ascii="Times New Roman" w:hAnsi="Times New Roman" w:cs="Times New Roman"/>
              </w:rPr>
            </w:pPr>
          </w:p>
          <w:p w14:paraId="2CB5DD68" w14:textId="77777777" w:rsidR="005B2F6F" w:rsidRPr="005B2F6F" w:rsidRDefault="005B2F6F" w:rsidP="00D945CE">
            <w:pPr>
              <w:ind w:firstLine="240"/>
              <w:jc w:val="both"/>
            </w:pPr>
            <w:bookmarkStart w:id="49" w:name="20734"/>
            <w:bookmarkEnd w:id="48"/>
            <w:r w:rsidRPr="00D945CE">
              <w:rPr>
                <w:rFonts w:ascii="Times New Roman" w:hAnsi="Times New Roman" w:cs="Times New Roman"/>
                <w:sz w:val="24"/>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w:t>
            </w:r>
            <w:r w:rsidRPr="005B2F6F">
              <w:rPr>
                <w:rFonts w:ascii="Times New Roman" w:hAnsi="Times New Roman"/>
                <w:sz w:val="24"/>
              </w:rPr>
              <w:t xml:space="preserve"> навантаження на ринку "на добу наперед", відносні одиниці, який визначається за формулою</w:t>
            </w:r>
          </w:p>
          <w:p w14:paraId="57FB9F98" w14:textId="77777777" w:rsidR="005B2F6F" w:rsidRPr="005B2F6F" w:rsidRDefault="005B2F6F" w:rsidP="005B2F6F">
            <w:pPr>
              <w:spacing w:after="75"/>
              <w:ind w:firstLine="240"/>
              <w:jc w:val="both"/>
            </w:pPr>
            <w:bookmarkStart w:id="50" w:name="20735"/>
            <w:bookmarkEnd w:id="49"/>
            <w:r w:rsidRPr="005B2F6F">
              <w:rPr>
                <w:rFonts w:ascii="Times New Roman" w:hAnsi="Times New Roman"/>
                <w:sz w:val="24"/>
              </w:rPr>
              <w:t xml:space="preserve">К= Ц </w:t>
            </w:r>
            <w:r w:rsidRPr="005B2F6F">
              <w:rPr>
                <w:rFonts w:ascii="Times New Roman" w:hAnsi="Times New Roman"/>
                <w:vertAlign w:val="subscript"/>
              </w:rPr>
              <w:t>РДН ф і</w:t>
            </w:r>
            <w:r w:rsidRPr="005B2F6F">
              <w:rPr>
                <w:rFonts w:ascii="Times New Roman" w:hAnsi="Times New Roman"/>
                <w:sz w:val="24"/>
              </w:rPr>
              <w:t xml:space="preserve"> / Ц </w:t>
            </w:r>
            <w:r w:rsidRPr="005B2F6F">
              <w:rPr>
                <w:rFonts w:ascii="Times New Roman" w:hAnsi="Times New Roman"/>
                <w:vertAlign w:val="subscript"/>
              </w:rPr>
              <w:t>база і</w:t>
            </w:r>
            <w:r w:rsidRPr="005B2F6F">
              <w:rPr>
                <w:rFonts w:ascii="Times New Roman" w:hAnsi="Times New Roman"/>
                <w:sz w:val="24"/>
              </w:rPr>
              <w:t>;</w:t>
            </w:r>
          </w:p>
          <w:p w14:paraId="6B2668A0" w14:textId="77777777" w:rsidR="005B2F6F" w:rsidRPr="005B2F6F" w:rsidRDefault="005B2F6F" w:rsidP="005B2F6F">
            <w:pPr>
              <w:spacing w:after="75"/>
              <w:ind w:firstLine="240"/>
              <w:jc w:val="both"/>
            </w:pPr>
            <w:bookmarkStart w:id="51" w:name="20736"/>
            <w:bookmarkEnd w:id="50"/>
            <w:r w:rsidRPr="005B2F6F">
              <w:rPr>
                <w:rFonts w:ascii="Times New Roman" w:hAnsi="Times New Roman"/>
                <w:sz w:val="24"/>
              </w:rPr>
              <w:t xml:space="preserve">де Ц </w:t>
            </w:r>
            <w:r w:rsidRPr="005B2F6F">
              <w:rPr>
                <w:rFonts w:ascii="Times New Roman" w:hAnsi="Times New Roman"/>
                <w:vertAlign w:val="subscript"/>
              </w:rPr>
              <w:t>база і</w:t>
            </w:r>
            <w:r w:rsidRPr="005B2F6F">
              <w:rPr>
                <w:rFonts w:ascii="Times New Roman" w:hAnsi="Times New Roman"/>
                <w:sz w:val="24"/>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5B2F6F">
              <w:rPr>
                <w:rFonts w:ascii="Times New Roman" w:hAnsi="Times New Roman"/>
                <w:sz w:val="24"/>
              </w:rPr>
              <w:t>вебсайті</w:t>
            </w:r>
            <w:proofErr w:type="spellEnd"/>
            <w:r w:rsidRPr="005B2F6F">
              <w:rPr>
                <w:rFonts w:ascii="Times New Roman" w:hAnsi="Times New Roman"/>
                <w:sz w:val="24"/>
              </w:rPr>
              <w:t xml:space="preserve"> в мережі Інтернет, грн/МВт.</w:t>
            </w:r>
          </w:p>
          <w:p w14:paraId="3B88BD3C" w14:textId="77777777" w:rsidR="005B2F6F" w:rsidRPr="005B2F6F" w:rsidRDefault="005B2F6F" w:rsidP="005B2F6F">
            <w:pPr>
              <w:spacing w:after="75"/>
              <w:ind w:firstLine="240"/>
              <w:jc w:val="both"/>
            </w:pPr>
            <w:bookmarkStart w:id="52" w:name="20737"/>
            <w:bookmarkEnd w:id="51"/>
            <w:r w:rsidRPr="005B2F6F">
              <w:rPr>
                <w:rFonts w:ascii="Times New Roman" w:hAnsi="Times New Roman"/>
                <w:sz w:val="24"/>
              </w:rPr>
              <w:lastRenderedPageBreak/>
              <w:t xml:space="preserve">Д </w:t>
            </w:r>
            <w:r w:rsidRPr="005B2F6F">
              <w:rPr>
                <w:rFonts w:ascii="Times New Roman" w:hAnsi="Times New Roman"/>
                <w:vertAlign w:val="subscript"/>
              </w:rPr>
              <w:t>ТВЕ ф i</w:t>
            </w:r>
            <w:r w:rsidRPr="005B2F6F">
              <w:rPr>
                <w:rFonts w:ascii="Times New Roman" w:hAnsi="Times New Roman"/>
                <w:sz w:val="24"/>
              </w:rPr>
              <w:t xml:space="preserve"> розраховується за формулою</w:t>
            </w:r>
          </w:p>
          <w:bookmarkEnd w:id="52"/>
          <w:p w14:paraId="5EBE7E00" w14:textId="07D06B0F" w:rsidR="003977F7" w:rsidRPr="005B2F6F" w:rsidRDefault="005B2F6F" w:rsidP="005B2F6F">
            <w:pPr>
              <w:ind w:firstLine="308"/>
              <w:jc w:val="both"/>
              <w:rPr>
                <w:rFonts w:ascii="Times New Roman" w:hAnsi="Times New Roman" w:cs="Times New Roman"/>
                <w:shd w:val="clear" w:color="auto" w:fill="FFFFFF"/>
              </w:rPr>
            </w:pPr>
            <w:r w:rsidRPr="005B2F6F">
              <w:rPr>
                <w:rFonts w:ascii="Times New Roman" w:hAnsi="Times New Roman"/>
                <w:sz w:val="24"/>
              </w:rPr>
              <w:t xml:space="preserve">Д </w:t>
            </w:r>
            <w:r w:rsidRPr="005B2F6F">
              <w:rPr>
                <w:rFonts w:ascii="Times New Roman" w:hAnsi="Times New Roman"/>
                <w:vertAlign w:val="subscript"/>
              </w:rPr>
              <w:t>ТВЕ ф i</w:t>
            </w:r>
            <w:r w:rsidRPr="005B2F6F">
              <w:rPr>
                <w:rFonts w:ascii="Times New Roman" w:hAnsi="Times New Roman"/>
                <w:sz w:val="24"/>
              </w:rPr>
              <w:t xml:space="preserve"> = О </w:t>
            </w:r>
            <w:r w:rsidRPr="005B2F6F">
              <w:rPr>
                <w:rFonts w:ascii="Times New Roman" w:hAnsi="Times New Roman"/>
                <w:vertAlign w:val="subscript"/>
              </w:rPr>
              <w:t>ТВЕ ф i</w:t>
            </w:r>
            <w:r w:rsidRPr="005B2F6F">
              <w:rPr>
                <w:rFonts w:ascii="Times New Roman" w:hAnsi="Times New Roman"/>
                <w:sz w:val="24"/>
              </w:rPr>
              <w:t xml:space="preserve"> х Ц</w:t>
            </w:r>
            <w:r w:rsidRPr="005B2F6F">
              <w:rPr>
                <w:rFonts w:ascii="Times New Roman" w:hAnsi="Times New Roman"/>
                <w:vertAlign w:val="subscript"/>
              </w:rPr>
              <w:t>ТВЕ i</w:t>
            </w:r>
          </w:p>
          <w:p w14:paraId="309A63D8" w14:textId="77777777" w:rsidR="00D945CE" w:rsidRPr="00D945CE" w:rsidRDefault="00D945CE" w:rsidP="00D945CE">
            <w:pPr>
              <w:ind w:firstLine="308"/>
              <w:jc w:val="both"/>
              <w:rPr>
                <w:rFonts w:ascii="Times New Roman" w:hAnsi="Times New Roman" w:cs="Times New Roman"/>
                <w:shd w:val="clear" w:color="auto" w:fill="FFFFFF"/>
              </w:rPr>
            </w:pPr>
          </w:p>
          <w:p w14:paraId="2DF51708" w14:textId="77777777" w:rsidR="00D945CE" w:rsidRP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&lt;…&gt;</w:t>
            </w:r>
          </w:p>
          <w:p w14:paraId="7731A9E5" w14:textId="474FBAE4" w:rsidR="00D945CE" w:rsidRDefault="00D945CE" w:rsidP="00D55D1A">
            <w:pPr>
              <w:ind w:firstLine="308"/>
              <w:jc w:val="both"/>
              <w:rPr>
                <w:rFonts w:ascii="Times New Roman" w:hAnsi="Times New Roman" w:cs="Times New Roman"/>
                <w:shd w:val="clear" w:color="auto" w:fill="FFFFFF"/>
              </w:rPr>
            </w:pPr>
          </w:p>
          <w:p w14:paraId="33C015EA" w14:textId="77777777" w:rsidR="00D945CE" w:rsidRP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28) фактичні витрати, понесені ліцензіатом у звітному році відповідно до постанов НКРЕКП:</w:t>
            </w:r>
          </w:p>
          <w:p w14:paraId="6B1572E5" w14:textId="77777777" w:rsidR="00D945CE" w:rsidRP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від 17 березня 2022 року N 345 "Щодо врахування при проведенні перевірок сум видатків ліцензіатів НКРЕКП, здійснених під час запровадження воєнного стану в Україні" (далі - постанова N 345);</w:t>
            </w:r>
          </w:p>
          <w:p w14:paraId="37868989" w14:textId="32578F95" w:rsidR="003977F7" w:rsidRPr="005B2F6F" w:rsidRDefault="00D945CE" w:rsidP="001E1705">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від 20 квітня 2022 року N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постанова N 386)</w:t>
            </w:r>
          </w:p>
        </w:tc>
        <w:tc>
          <w:tcPr>
            <w:tcW w:w="7725" w:type="dxa"/>
          </w:tcPr>
          <w:p w14:paraId="544C51E8" w14:textId="77777777" w:rsidR="004756A2" w:rsidRPr="00EC3012" w:rsidRDefault="004756A2" w:rsidP="00B8101A">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EEF1FA7" w14:textId="77777777" w:rsidR="004756A2" w:rsidRPr="00EC3012" w:rsidRDefault="004756A2" w:rsidP="00B8101A">
            <w:pPr>
              <w:ind w:firstLine="308"/>
              <w:jc w:val="both"/>
              <w:rPr>
                <w:rFonts w:ascii="Times New Roman" w:hAnsi="Times New Roman" w:cs="Times New Roman"/>
                <w:shd w:val="clear" w:color="auto" w:fill="FFFFFF"/>
              </w:rPr>
            </w:pPr>
          </w:p>
          <w:p w14:paraId="069E1281" w14:textId="77777777" w:rsidR="004756A2" w:rsidRPr="00EC3012" w:rsidRDefault="004756A2" w:rsidP="00B8101A">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79388141" w14:textId="77777777" w:rsidR="004756A2" w:rsidRPr="00EC3012" w:rsidRDefault="004756A2" w:rsidP="00B8101A">
            <w:pPr>
              <w:ind w:firstLine="308"/>
              <w:jc w:val="both"/>
              <w:rPr>
                <w:rFonts w:ascii="Times New Roman" w:hAnsi="Times New Roman" w:cs="Times New Roman"/>
                <w:shd w:val="clear" w:color="auto" w:fill="FFFFFF"/>
              </w:rPr>
            </w:pPr>
          </w:p>
          <w:p w14:paraId="59AE5AD0" w14:textId="77777777" w:rsidR="00C81821" w:rsidRPr="00EC3012" w:rsidRDefault="00C81821" w:rsidP="00B8101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8) фактичний рівень розрахунків ліцензіата з оператором системи передачі помісячно та наростаючим підсумком станом на 01.01.2025 та 31.12.2025.</w:t>
            </w:r>
          </w:p>
          <w:p w14:paraId="10DED0BB" w14:textId="77777777" w:rsidR="00C81821" w:rsidRPr="00EC3012" w:rsidRDefault="00C81821" w:rsidP="00B8101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14:paraId="4EFA5061" w14:textId="77777777" w:rsidR="00C81821" w:rsidRPr="00EC3012" w:rsidRDefault="00C81821" w:rsidP="00B8101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14:paraId="73EA66C9" w14:textId="77777777" w:rsidR="00C81821" w:rsidRPr="00EC3012" w:rsidRDefault="00C81821" w:rsidP="00B8101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для погашення заборгованості перед оператором системи передачі;</w:t>
            </w:r>
          </w:p>
          <w:p w14:paraId="6B2EEE01" w14:textId="0AAED5A9" w:rsidR="004756A2" w:rsidRPr="00EC3012" w:rsidRDefault="00C81821" w:rsidP="00B8101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для проходження осінньо-зимового періоду 2025/2026</w:t>
            </w:r>
            <w:r w:rsidR="004756A2" w:rsidRPr="00EC3012">
              <w:rPr>
                <w:rFonts w:ascii="Times New Roman" w:hAnsi="Times New Roman" w:cs="Times New Roman"/>
                <w:b/>
                <w:shd w:val="clear" w:color="auto" w:fill="FFFFFF"/>
              </w:rPr>
              <w:t>;</w:t>
            </w:r>
          </w:p>
          <w:p w14:paraId="3F5BF82F" w14:textId="77777777" w:rsidR="004756A2" w:rsidRPr="00EC3012" w:rsidRDefault="004756A2" w:rsidP="00B8101A">
            <w:pPr>
              <w:ind w:firstLine="308"/>
              <w:jc w:val="both"/>
              <w:rPr>
                <w:rFonts w:ascii="Times New Roman" w:hAnsi="Times New Roman" w:cs="Times New Roman"/>
                <w:shd w:val="clear" w:color="auto" w:fill="FFFFFF"/>
              </w:rPr>
            </w:pPr>
          </w:p>
          <w:p w14:paraId="02964D5B" w14:textId="77777777" w:rsidR="004756A2" w:rsidRPr="00EC3012" w:rsidRDefault="004756A2" w:rsidP="00B8101A">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1DF2B1A8" w14:textId="77777777" w:rsidR="004756A2" w:rsidRPr="00EC3012" w:rsidRDefault="004756A2" w:rsidP="00B8101A">
            <w:pPr>
              <w:ind w:firstLine="308"/>
              <w:jc w:val="both"/>
              <w:rPr>
                <w:rFonts w:ascii="Times New Roman" w:hAnsi="Times New Roman" w:cs="Times New Roman"/>
                <w:shd w:val="clear" w:color="auto" w:fill="FFFFFF"/>
              </w:rPr>
            </w:pPr>
          </w:p>
          <w:p w14:paraId="422643C7" w14:textId="5F38DCCC" w:rsidR="004756A2" w:rsidRPr="00EC3012" w:rsidRDefault="00B8101A" w:rsidP="00B8101A">
            <w:pPr>
              <w:ind w:firstLine="308"/>
              <w:jc w:val="both"/>
              <w:rPr>
                <w:rFonts w:ascii="Times New Roman" w:hAnsi="Times New Roman"/>
              </w:rPr>
            </w:pPr>
            <w:r w:rsidRPr="00EC3012">
              <w:rPr>
                <w:rFonts w:ascii="Times New Roman" w:hAnsi="Times New Roman"/>
                <w:b/>
              </w:rPr>
              <w:t>1</w:t>
            </w:r>
            <w:r w:rsidR="006A208A" w:rsidRPr="00EC3012">
              <w:rPr>
                <w:rFonts w:ascii="Times New Roman" w:hAnsi="Times New Roman"/>
                <w:b/>
              </w:rPr>
              <w:t>1</w:t>
            </w:r>
            <w:r w:rsidRPr="00EC3012">
              <w:rPr>
                <w:rFonts w:ascii="Times New Roman" w:hAnsi="Times New Roman"/>
                <w:b/>
              </w:rPr>
              <w:t>)</w:t>
            </w:r>
            <w:r w:rsidRPr="00EC3012">
              <w:rPr>
                <w:rFonts w:ascii="Times New Roman" w:hAnsi="Times New Roman"/>
              </w:rPr>
              <w:t xml:space="preserve">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і підтверджується звітністю та первинними документами;</w:t>
            </w:r>
          </w:p>
          <w:p w14:paraId="4FECD1BD" w14:textId="133972CB" w:rsidR="00B8101A" w:rsidRPr="00EC3012" w:rsidRDefault="00B8101A" w:rsidP="00B8101A">
            <w:pPr>
              <w:ind w:firstLine="308"/>
              <w:jc w:val="both"/>
              <w:rPr>
                <w:rFonts w:ascii="Times New Roman" w:hAnsi="Times New Roman"/>
                <w:b/>
              </w:rPr>
            </w:pPr>
            <w:r w:rsidRPr="00EC3012">
              <w:rPr>
                <w:rFonts w:ascii="Times New Roman" w:hAnsi="Times New Roman"/>
                <w:b/>
              </w:rPr>
              <w:lastRenderedPageBreak/>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14:paraId="7D1D2FB1" w14:textId="77777777" w:rsidR="004756A2" w:rsidRPr="00EC3012" w:rsidRDefault="004756A2" w:rsidP="00B8101A">
            <w:pPr>
              <w:ind w:firstLine="308"/>
              <w:jc w:val="both"/>
              <w:rPr>
                <w:rFonts w:ascii="Times New Roman" w:hAnsi="Times New Roman" w:cs="Times New Roman"/>
                <w:shd w:val="clear" w:color="auto" w:fill="FFFFFF"/>
              </w:rPr>
            </w:pPr>
          </w:p>
          <w:p w14:paraId="178026C6" w14:textId="77777777" w:rsidR="004756A2" w:rsidRPr="00EC3012" w:rsidRDefault="004756A2" w:rsidP="00B8101A">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307CDB78" w14:textId="77777777" w:rsidR="004756A2" w:rsidRPr="00EC3012" w:rsidRDefault="004756A2" w:rsidP="00B8101A">
            <w:pPr>
              <w:ind w:firstLine="308"/>
              <w:jc w:val="both"/>
              <w:rPr>
                <w:rFonts w:ascii="Times New Roman" w:hAnsi="Times New Roman" w:cs="Times New Roman"/>
                <w:shd w:val="clear" w:color="auto" w:fill="FFFFFF"/>
              </w:rPr>
            </w:pPr>
          </w:p>
          <w:p w14:paraId="0EC5E9E0" w14:textId="77777777" w:rsidR="006A208A" w:rsidRPr="00EC3012" w:rsidRDefault="006A208A" w:rsidP="006A208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15) сума недофінансування статей витрат структури тарифів у звітному році з урахуванням витрат, які були капіталізовані за бухгалтерським обліком (за 2025 рік для ліцензіатів, перелік яких наведено у додатку 30 до Порядку № 1175, визначається на підставі витрат, урахованих у тарифах на звітний рік, перерахованих із застосуванням уточнюючого коригуючого коефіцієнта від зміни фактичних умовних одиниць обладнання ліцензіата, що знаходиться на контрольованій території держави (</w:t>
            </w:r>
            <w:proofErr w:type="spellStart"/>
            <w:r w:rsidRPr="00EC3012">
              <w:rPr>
                <w:rFonts w:ascii="Times New Roman" w:hAnsi="Times New Roman" w:cs="Times New Roman"/>
                <w:b/>
                <w:shd w:val="clear" w:color="auto" w:fill="FFFFFF"/>
              </w:rPr>
              <w:t>КФУу</w:t>
            </w:r>
            <w:proofErr w:type="spellEnd"/>
            <w:r w:rsidRPr="00EC3012">
              <w:rPr>
                <w:rFonts w:ascii="Times New Roman" w:hAnsi="Times New Roman" w:cs="Times New Roman"/>
                <w:b/>
                <w:shd w:val="clear" w:color="auto" w:fill="FFFFFF"/>
              </w:rPr>
              <w:t>), що розраховується за формулою</w:t>
            </w:r>
          </w:p>
          <w:p w14:paraId="59A9EE0C" w14:textId="77777777" w:rsidR="006A208A" w:rsidRPr="00EC3012" w:rsidRDefault="006A208A" w:rsidP="006A208A">
            <w:pPr>
              <w:ind w:firstLine="308"/>
              <w:jc w:val="both"/>
              <w:rPr>
                <w:rFonts w:ascii="Times New Roman" w:hAnsi="Times New Roman" w:cs="Times New Roman"/>
                <w:b/>
                <w:shd w:val="clear" w:color="auto" w:fill="FFFFFF"/>
              </w:rPr>
            </w:pPr>
            <w:proofErr w:type="spellStart"/>
            <w:r w:rsidRPr="00EC3012">
              <w:rPr>
                <w:rFonts w:ascii="Times New Roman" w:hAnsi="Times New Roman" w:cs="Times New Roman"/>
                <w:b/>
                <w:shd w:val="clear" w:color="auto" w:fill="FFFFFF"/>
              </w:rPr>
              <w:t>КФУу</w:t>
            </w:r>
            <w:proofErr w:type="spellEnd"/>
            <w:r w:rsidRPr="00EC3012">
              <w:rPr>
                <w:rFonts w:ascii="Times New Roman" w:hAnsi="Times New Roman" w:cs="Times New Roman"/>
                <w:b/>
                <w:shd w:val="clear" w:color="auto" w:fill="FFFFFF"/>
              </w:rPr>
              <w:t xml:space="preserve"> = (1+КУ*(∆</w:t>
            </w:r>
            <w:proofErr w:type="spellStart"/>
            <w:r w:rsidRPr="00EC3012">
              <w:rPr>
                <w:rFonts w:ascii="Times New Roman" w:hAnsi="Times New Roman" w:cs="Times New Roman"/>
                <w:b/>
                <w:shd w:val="clear" w:color="auto" w:fill="FFFFFF"/>
              </w:rPr>
              <w:t>УО</w:t>
            </w:r>
            <w:r w:rsidRPr="00EC3012">
              <w:rPr>
                <w:rFonts w:ascii="Times New Roman" w:hAnsi="Times New Roman" w:cs="Times New Roman"/>
                <w:b/>
                <w:shd w:val="clear" w:color="auto" w:fill="FFFFFF"/>
                <w:vertAlign w:val="subscript"/>
              </w:rPr>
              <w:t>t</w:t>
            </w:r>
            <w:proofErr w:type="spellEnd"/>
            <w:r w:rsidRPr="00EC3012">
              <w:rPr>
                <w:rFonts w:ascii="Times New Roman" w:hAnsi="Times New Roman" w:cs="Times New Roman"/>
                <w:b/>
                <w:shd w:val="clear" w:color="auto" w:fill="FFFFFF"/>
              </w:rPr>
              <w:t xml:space="preserve"> / </w:t>
            </w:r>
            <w:proofErr w:type="spellStart"/>
            <w:r w:rsidRPr="00EC3012">
              <w:rPr>
                <w:rFonts w:ascii="Times New Roman" w:hAnsi="Times New Roman" w:cs="Times New Roman"/>
                <w:b/>
                <w:shd w:val="clear" w:color="auto" w:fill="FFFFFF"/>
              </w:rPr>
              <w:t>УОт</w:t>
            </w:r>
            <w:r w:rsidRPr="00EC3012">
              <w:rPr>
                <w:rFonts w:ascii="Times New Roman" w:hAnsi="Times New Roman" w:cs="Times New Roman"/>
                <w:b/>
                <w:shd w:val="clear" w:color="auto" w:fill="FFFFFF"/>
                <w:vertAlign w:val="subscript"/>
              </w:rPr>
              <w:t>t</w:t>
            </w:r>
            <w:proofErr w:type="spellEnd"/>
            <w:r w:rsidRPr="00EC3012">
              <w:rPr>
                <w:rFonts w:ascii="Times New Roman" w:hAnsi="Times New Roman" w:cs="Times New Roman"/>
                <w:b/>
                <w:shd w:val="clear" w:color="auto" w:fill="FFFFFF"/>
              </w:rPr>
              <w:t>)), в. о.,</w:t>
            </w:r>
          </w:p>
          <w:p w14:paraId="671E1A9F" w14:textId="77777777" w:rsidR="006A208A" w:rsidRPr="00EC3012" w:rsidRDefault="006A208A" w:rsidP="006A208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де КУ – коефіцієнт поправки на зміну кількості умовних одиниць обладнання, встановлений НКРЕКП (КУ = 0,7);</w:t>
            </w:r>
          </w:p>
          <w:p w14:paraId="08F044EB" w14:textId="77777777" w:rsidR="006A208A" w:rsidRPr="00EC3012" w:rsidRDefault="006A208A" w:rsidP="006A208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w:t>
            </w:r>
            <w:proofErr w:type="spellStart"/>
            <w:r w:rsidRPr="00EC3012">
              <w:rPr>
                <w:rFonts w:ascii="Times New Roman" w:hAnsi="Times New Roman" w:cs="Times New Roman"/>
                <w:b/>
                <w:shd w:val="clear" w:color="auto" w:fill="FFFFFF"/>
              </w:rPr>
              <w:t>УО</w:t>
            </w:r>
            <w:r w:rsidRPr="00EC3012">
              <w:rPr>
                <w:rFonts w:ascii="Times New Roman" w:hAnsi="Times New Roman" w:cs="Times New Roman"/>
                <w:b/>
                <w:shd w:val="clear" w:color="auto" w:fill="FFFFFF"/>
                <w:vertAlign w:val="subscript"/>
              </w:rPr>
              <w:t>t</w:t>
            </w:r>
            <w:proofErr w:type="spellEnd"/>
            <w:r w:rsidRPr="00EC3012">
              <w:rPr>
                <w:rFonts w:ascii="Times New Roman" w:hAnsi="Times New Roman" w:cs="Times New Roman"/>
                <w:b/>
                <w:shd w:val="clear" w:color="auto" w:fill="FFFFFF"/>
              </w:rPr>
              <w:t xml:space="preserve"> – зміна фактичної кількості умовних одиниць обладнання у звітному році, що знаходиться на контрольованій території держави, розрахована як різниця між фактичною кількістю умовних одиниць обладнання на кінець звітного періоду (за даними форми звітності № 2-НКРЕКП-розподіл електричної енергії (за IV квартал) та кількістю умовних одиниць обладнання ліцензіата, врахованої при розрахунку тарифів на звітний рік, визначених відповідно до глави 8 Порядку № 1175;</w:t>
            </w:r>
          </w:p>
          <w:p w14:paraId="0490A838" w14:textId="77777777" w:rsidR="006A208A" w:rsidRPr="00EC3012" w:rsidRDefault="006A208A" w:rsidP="006A208A">
            <w:pPr>
              <w:ind w:firstLine="308"/>
              <w:jc w:val="both"/>
              <w:rPr>
                <w:rFonts w:ascii="Times New Roman" w:hAnsi="Times New Roman" w:cs="Times New Roman"/>
                <w:b/>
                <w:shd w:val="clear" w:color="auto" w:fill="FFFFFF"/>
              </w:rPr>
            </w:pPr>
            <w:proofErr w:type="spellStart"/>
            <w:r w:rsidRPr="00EC3012">
              <w:rPr>
                <w:rFonts w:ascii="Times New Roman" w:hAnsi="Times New Roman" w:cs="Times New Roman"/>
                <w:b/>
                <w:shd w:val="clear" w:color="auto" w:fill="FFFFFF"/>
              </w:rPr>
              <w:t>УОт</w:t>
            </w:r>
            <w:r w:rsidRPr="00EC3012">
              <w:rPr>
                <w:rFonts w:ascii="Times New Roman" w:hAnsi="Times New Roman" w:cs="Times New Roman"/>
                <w:b/>
                <w:shd w:val="clear" w:color="auto" w:fill="FFFFFF"/>
                <w:vertAlign w:val="subscript"/>
              </w:rPr>
              <w:t>t</w:t>
            </w:r>
            <w:proofErr w:type="spellEnd"/>
            <w:r w:rsidRPr="00EC3012">
              <w:rPr>
                <w:rFonts w:ascii="Times New Roman" w:hAnsi="Times New Roman" w:cs="Times New Roman"/>
                <w:b/>
                <w:shd w:val="clear" w:color="auto" w:fill="FFFFFF"/>
              </w:rPr>
              <w:t xml:space="preserve"> – кількість умовних одиниць обладнання, врахованих при розрахунку тарифів на звітний рік);</w:t>
            </w:r>
          </w:p>
          <w:p w14:paraId="3C920C57" w14:textId="77777777" w:rsidR="006A208A" w:rsidRPr="00EC3012" w:rsidRDefault="006A208A" w:rsidP="006A208A">
            <w:pPr>
              <w:ind w:firstLine="308"/>
              <w:jc w:val="both"/>
              <w:rPr>
                <w:rFonts w:ascii="Times New Roman" w:hAnsi="Times New Roman" w:cs="Times New Roman"/>
                <w:b/>
                <w:shd w:val="clear" w:color="auto" w:fill="FFFFFF"/>
              </w:rPr>
            </w:pPr>
          </w:p>
          <w:p w14:paraId="0D340230" w14:textId="07BD4F90" w:rsidR="004756A2" w:rsidRPr="00EC3012" w:rsidRDefault="006A208A" w:rsidP="006A208A">
            <w:pPr>
              <w:ind w:firstLine="308"/>
              <w:jc w:val="both"/>
              <w:rPr>
                <w:rFonts w:ascii="Times New Roman" w:hAnsi="Times New Roman" w:cs="Times New Roman"/>
                <w:b/>
                <w:shd w:val="clear" w:color="auto" w:fill="FFFFFF"/>
              </w:rPr>
            </w:pPr>
            <w:r w:rsidRPr="00EC3012">
              <w:rPr>
                <w:rFonts w:ascii="Times New Roman" w:hAnsi="Times New Roman" w:cs="Times New Roman"/>
                <w:b/>
                <w:shd w:val="clear" w:color="auto" w:fill="FFFFFF"/>
              </w:rPr>
              <w:t xml:space="preserve">16) сума перевитрат статей витрат структури тарифів у звітному році з урахуванням витрат, які були капіталізовані за бухгалтерським обліком (для ліцензіатів, перелік яких наведено у додатку 30 до Порядку № 1175, витрати за статтями операційних витрат, розрахунок яких в тарифах на звітний рік здійснювався із застосуванням коригуючого коефіцієнта зміни умовних одиниць обладнання ліцензіата, що знаходиться на контрольованій території держави (КФУ), відповідно до Порядку № 1175, перераховуються із застосуванням </w:t>
            </w:r>
            <w:proofErr w:type="spellStart"/>
            <w:r w:rsidRPr="00EC3012">
              <w:rPr>
                <w:rFonts w:ascii="Times New Roman" w:hAnsi="Times New Roman" w:cs="Times New Roman"/>
                <w:b/>
                <w:shd w:val="clear" w:color="auto" w:fill="FFFFFF"/>
              </w:rPr>
              <w:t>КФУу</w:t>
            </w:r>
            <w:proofErr w:type="spellEnd"/>
            <w:r w:rsidRPr="00EC3012">
              <w:rPr>
                <w:rFonts w:ascii="Times New Roman" w:hAnsi="Times New Roman" w:cs="Times New Roman"/>
                <w:b/>
                <w:shd w:val="clear" w:color="auto" w:fill="FFFFFF"/>
              </w:rPr>
              <w:t>));</w:t>
            </w:r>
          </w:p>
          <w:p w14:paraId="04A1FF10" w14:textId="55C2C1AF" w:rsidR="00EC3012" w:rsidRPr="00EC3012" w:rsidRDefault="00EC3012" w:rsidP="006A208A">
            <w:pPr>
              <w:ind w:firstLine="308"/>
              <w:jc w:val="both"/>
              <w:rPr>
                <w:rFonts w:ascii="Times New Roman" w:hAnsi="Times New Roman" w:cs="Times New Roman"/>
                <w:b/>
                <w:shd w:val="clear" w:color="auto" w:fill="FFFFFF"/>
              </w:rPr>
            </w:pPr>
          </w:p>
          <w:p w14:paraId="2FC3CDC0" w14:textId="77777777" w:rsidR="004756A2" w:rsidRDefault="00EC3012" w:rsidP="00B8101A">
            <w:pPr>
              <w:ind w:firstLine="308"/>
              <w:jc w:val="both"/>
              <w:rPr>
                <w:rFonts w:ascii="Times New Roman" w:hAnsi="Times New Roman" w:cs="Times New Roman"/>
                <w:shd w:val="clear" w:color="auto" w:fill="FFFFFF"/>
              </w:rPr>
            </w:pPr>
            <w:r w:rsidRPr="00EC3012">
              <w:rPr>
                <w:rFonts w:ascii="Times New Roman" w:hAnsi="Times New Roman" w:cs="Times New Roman"/>
                <w:b/>
                <w:shd w:val="clear" w:color="auto" w:fill="FFFFFF"/>
              </w:rPr>
              <w:lastRenderedPageBreak/>
              <w:t>17)</w:t>
            </w:r>
            <w:r w:rsidRPr="00EC3012">
              <w:rPr>
                <w:rFonts w:ascii="Times New Roman" w:hAnsi="Times New Roman" w:cs="Times New Roman"/>
                <w:shd w:val="clear" w:color="auto" w:fill="FFFFFF"/>
              </w:rPr>
              <w:t xml:space="preserve"> сума обґрунтованих перевитрат статей витрат структури тарифів у звітному році з урахуванням витрат, які були капіталізовані за бухгалтерським обліком </w:t>
            </w:r>
            <w:r w:rsidRPr="00EC3012">
              <w:rPr>
                <w:rFonts w:ascii="Times New Roman" w:hAnsi="Times New Roman" w:cs="Times New Roman"/>
                <w:b/>
                <w:shd w:val="clear" w:color="auto" w:fill="FFFFFF"/>
              </w:rPr>
              <w:t>(для ліцензіатів, перелік яких наведено у додатку 30 до Порядку № 1175, визначається з урахуванням вимог підпункту 15 цього пункту)</w:t>
            </w:r>
            <w:r w:rsidRPr="00EC3012">
              <w:rPr>
                <w:rFonts w:ascii="Times New Roman" w:hAnsi="Times New Roman" w:cs="Times New Roman"/>
                <w:shd w:val="clear" w:color="auto" w:fill="FFFFFF"/>
              </w:rPr>
              <w:t>;</w:t>
            </w:r>
          </w:p>
          <w:p w14:paraId="249E7C52" w14:textId="77777777" w:rsidR="000B295D" w:rsidRDefault="000B295D" w:rsidP="00B8101A">
            <w:pPr>
              <w:ind w:firstLine="308"/>
              <w:jc w:val="both"/>
              <w:rPr>
                <w:rFonts w:ascii="Times New Roman" w:hAnsi="Times New Roman" w:cs="Times New Roman"/>
                <w:shd w:val="clear" w:color="auto" w:fill="FFFFFF"/>
              </w:rPr>
            </w:pPr>
          </w:p>
          <w:p w14:paraId="3F6D06B7" w14:textId="77777777" w:rsidR="000B295D" w:rsidRDefault="000B295D" w:rsidP="00B8101A">
            <w:pPr>
              <w:ind w:firstLine="308"/>
              <w:jc w:val="both"/>
              <w:rPr>
                <w:rFonts w:ascii="Times New Roman" w:hAnsi="Times New Roman" w:cs="Times New Roman"/>
                <w:b/>
                <w:shd w:val="clear" w:color="auto" w:fill="FFFFFF"/>
              </w:rPr>
            </w:pPr>
            <w:r w:rsidRPr="000B295D">
              <w:rPr>
                <w:rFonts w:ascii="Times New Roman" w:hAnsi="Times New Roman" w:cs="Times New Roman"/>
                <w:b/>
                <w:shd w:val="clear" w:color="auto" w:fill="FFFFFF"/>
              </w:rPr>
              <w:t>18) кількість умовних одиниць, врахованих при розрахунку тарифів на звітний рік починаючи з 2025 року для ліцензіатів, перелік яких наведено у додатку 30 до Порядку № 1175;</w:t>
            </w:r>
          </w:p>
          <w:p w14:paraId="4E8396B5" w14:textId="77777777" w:rsidR="00D23DE5" w:rsidRPr="00EC3012" w:rsidRDefault="00D23DE5" w:rsidP="00D23DE5">
            <w:pPr>
              <w:ind w:firstLine="308"/>
              <w:jc w:val="both"/>
              <w:rPr>
                <w:rFonts w:ascii="Times New Roman" w:hAnsi="Times New Roman" w:cs="Times New Roman"/>
                <w:shd w:val="clear" w:color="auto" w:fill="FFFFFF"/>
              </w:rPr>
            </w:pPr>
          </w:p>
          <w:p w14:paraId="29397B31" w14:textId="77777777" w:rsidR="00D23DE5" w:rsidRPr="00EC3012" w:rsidRDefault="00D23DE5" w:rsidP="00D23DE5">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1D37CDAF" w14:textId="77777777" w:rsidR="00D23DE5" w:rsidRPr="00EC3012" w:rsidRDefault="00D23DE5" w:rsidP="00D23DE5">
            <w:pPr>
              <w:ind w:firstLine="308"/>
              <w:jc w:val="both"/>
              <w:rPr>
                <w:rFonts w:ascii="Times New Roman" w:hAnsi="Times New Roman" w:cs="Times New Roman"/>
                <w:shd w:val="clear" w:color="auto" w:fill="FFFFFF"/>
              </w:rPr>
            </w:pPr>
          </w:p>
          <w:p w14:paraId="51074FE0" w14:textId="37E8F7C1" w:rsidR="00D55D1A" w:rsidRPr="00D55D1A" w:rsidRDefault="00D55D1A" w:rsidP="00D55D1A">
            <w:pPr>
              <w:ind w:firstLine="308"/>
              <w:jc w:val="both"/>
              <w:rPr>
                <w:rFonts w:ascii="Times New Roman" w:hAnsi="Times New Roman" w:cs="Times New Roman"/>
                <w:shd w:val="clear" w:color="auto" w:fill="FFFFFF"/>
              </w:rPr>
            </w:pPr>
            <w:r w:rsidRPr="00D55D1A">
              <w:rPr>
                <w:rFonts w:ascii="Times New Roman" w:hAnsi="Times New Roman" w:cs="Times New Roman"/>
                <w:b/>
                <w:shd w:val="clear" w:color="auto" w:fill="FFFFFF"/>
                <w:lang w:val="en-US"/>
              </w:rPr>
              <w:t>2</w:t>
            </w:r>
            <w:r w:rsidRPr="00D55D1A">
              <w:rPr>
                <w:rFonts w:ascii="Times New Roman" w:hAnsi="Times New Roman" w:cs="Times New Roman"/>
                <w:b/>
                <w:shd w:val="clear" w:color="auto" w:fill="FFFFFF"/>
              </w:rPr>
              <w:t>1)</w:t>
            </w:r>
            <w:r w:rsidRPr="00D55D1A">
              <w:rPr>
                <w:rFonts w:ascii="Times New Roman" w:hAnsi="Times New Roman" w:cs="Times New Roman"/>
                <w:shd w:val="clear" w:color="auto" w:fill="FFFFFF"/>
              </w:rPr>
              <w:t xml:space="preserve">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N 2-НКРЕКП-розподіл електричної енергії.</w:t>
            </w:r>
          </w:p>
          <w:p w14:paraId="3160A0BD" w14:textId="77777777" w:rsidR="000B295D" w:rsidRDefault="00D55D1A" w:rsidP="00D55D1A">
            <w:pPr>
              <w:ind w:firstLine="308"/>
              <w:jc w:val="both"/>
              <w:rPr>
                <w:rFonts w:ascii="Times New Roman" w:hAnsi="Times New Roman" w:cs="Times New Roman"/>
                <w:shd w:val="clear" w:color="auto" w:fill="FFFFFF"/>
              </w:rPr>
            </w:pPr>
            <w:r w:rsidRPr="00D55D1A">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здійсненого розрахунковим шляхом у період дії в Україні воєнного стану на підставі звітності, згідно з рішеннями НКРЕКП, прийнятими відповідно до підпункту 1 пункту 7.22 глави 7 Порядку N 1175;</w:t>
            </w:r>
          </w:p>
          <w:p w14:paraId="085CC9BD" w14:textId="77777777" w:rsidR="00D55D1A" w:rsidRPr="00D55D1A" w:rsidRDefault="00D55D1A" w:rsidP="00D55D1A">
            <w:pPr>
              <w:ind w:firstLine="308"/>
              <w:jc w:val="both"/>
              <w:rPr>
                <w:rFonts w:ascii="Times New Roman" w:hAnsi="Times New Roman" w:cs="Times New Roman"/>
                <w:b/>
                <w:shd w:val="clear" w:color="auto" w:fill="FFFFFF"/>
              </w:rPr>
            </w:pPr>
            <w:r w:rsidRPr="00D55D1A">
              <w:rPr>
                <w:rFonts w:ascii="Times New Roman" w:hAnsi="Times New Roman" w:cs="Times New Roman"/>
                <w:b/>
                <w:shd w:val="clear" w:color="auto" w:fill="FFFFFF"/>
              </w:rPr>
              <w:t xml:space="preserve">Починаючи з 2025 року для ліцензіатів, перелік яких наведено у додатку 30 до Порядку № 1175,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пунктом 5 цієї Методики, із застосуванням </w:t>
            </w:r>
            <w:proofErr w:type="spellStart"/>
            <w:r w:rsidRPr="00D55D1A">
              <w:rPr>
                <w:rFonts w:ascii="Times New Roman" w:hAnsi="Times New Roman" w:cs="Times New Roman"/>
                <w:b/>
                <w:shd w:val="clear" w:color="auto" w:fill="FFFFFF"/>
              </w:rPr>
              <w:t>КФУу</w:t>
            </w:r>
            <w:proofErr w:type="spellEnd"/>
            <w:r w:rsidRPr="00D55D1A">
              <w:rPr>
                <w:rFonts w:ascii="Times New Roman" w:hAnsi="Times New Roman" w:cs="Times New Roman"/>
                <w:b/>
                <w:shd w:val="clear" w:color="auto" w:fill="FFFFFF"/>
              </w:rPr>
              <w:t>;</w:t>
            </w:r>
          </w:p>
          <w:p w14:paraId="6DC27A0C" w14:textId="77777777" w:rsidR="00225288" w:rsidRPr="00225288" w:rsidRDefault="00225288" w:rsidP="00225288">
            <w:pPr>
              <w:ind w:firstLine="308"/>
              <w:jc w:val="both"/>
              <w:rPr>
                <w:rFonts w:ascii="Times New Roman" w:hAnsi="Times New Roman" w:cs="Times New Roman"/>
                <w:shd w:val="clear" w:color="auto" w:fill="FFFFFF"/>
              </w:rPr>
            </w:pPr>
          </w:p>
          <w:p w14:paraId="58D10EAD" w14:textId="77777777" w:rsidR="00225288" w:rsidRPr="00225288" w:rsidRDefault="00225288" w:rsidP="00225288">
            <w:pPr>
              <w:ind w:firstLine="308"/>
              <w:jc w:val="both"/>
              <w:rPr>
                <w:rFonts w:ascii="Times New Roman" w:hAnsi="Times New Roman" w:cs="Times New Roman"/>
                <w:shd w:val="clear" w:color="auto" w:fill="FFFFFF"/>
              </w:rPr>
            </w:pPr>
            <w:r w:rsidRPr="00225288">
              <w:rPr>
                <w:rFonts w:ascii="Times New Roman" w:hAnsi="Times New Roman" w:cs="Times New Roman"/>
                <w:shd w:val="clear" w:color="auto" w:fill="FFFFFF"/>
              </w:rPr>
              <w:t>&lt;…&gt;</w:t>
            </w:r>
          </w:p>
          <w:p w14:paraId="3C72EFCD" w14:textId="77777777" w:rsidR="00D55D1A" w:rsidRDefault="00D55D1A" w:rsidP="00D55D1A">
            <w:pPr>
              <w:ind w:firstLine="308"/>
              <w:jc w:val="both"/>
              <w:rPr>
                <w:rFonts w:ascii="Times New Roman" w:hAnsi="Times New Roman" w:cs="Times New Roman"/>
                <w:shd w:val="clear" w:color="auto" w:fill="FFFFFF"/>
              </w:rPr>
            </w:pPr>
          </w:p>
          <w:p w14:paraId="1277A92E" w14:textId="495728DC" w:rsidR="00D55D1A" w:rsidRPr="00225288" w:rsidRDefault="00225288" w:rsidP="00D55D1A">
            <w:pPr>
              <w:ind w:firstLine="308"/>
              <w:jc w:val="both"/>
              <w:rPr>
                <w:rFonts w:ascii="Times New Roman" w:hAnsi="Times New Roman" w:cs="Times New Roman"/>
                <w:b/>
                <w:shd w:val="clear" w:color="auto" w:fill="FFFFFF"/>
              </w:rPr>
            </w:pPr>
            <w:r w:rsidRPr="00225288">
              <w:rPr>
                <w:rFonts w:ascii="Times New Roman" w:hAnsi="Times New Roman" w:cs="Times New Roman"/>
                <w:b/>
                <w:shd w:val="clear" w:color="auto" w:fill="FFFFFF"/>
              </w:rPr>
              <w:t>25) прибуток, отриманий у звітному році від надання послуг комерційного обліку електричної енергії (визначається як різниця між собівартістю та доходом від надання таких послуг);</w:t>
            </w:r>
          </w:p>
          <w:p w14:paraId="4780D75C" w14:textId="77777777" w:rsidR="00D55D1A" w:rsidRDefault="00D55D1A" w:rsidP="00D55D1A">
            <w:pPr>
              <w:ind w:firstLine="308"/>
              <w:jc w:val="both"/>
              <w:rPr>
                <w:rFonts w:ascii="Times New Roman" w:hAnsi="Times New Roman" w:cs="Times New Roman"/>
                <w:shd w:val="clear" w:color="auto" w:fill="FFFFFF"/>
              </w:rPr>
            </w:pPr>
          </w:p>
          <w:p w14:paraId="03BE86D3" w14:textId="33FC0E23" w:rsidR="005B2F6F" w:rsidRPr="005B2F6F" w:rsidRDefault="005B2F6F" w:rsidP="005B2F6F">
            <w:pPr>
              <w:spacing w:after="75"/>
              <w:ind w:firstLine="240"/>
              <w:jc w:val="both"/>
            </w:pPr>
            <w:r w:rsidRPr="00D945CE">
              <w:rPr>
                <w:rFonts w:ascii="Times New Roman" w:hAnsi="Times New Roman"/>
                <w:b/>
                <w:sz w:val="24"/>
              </w:rPr>
              <w:t>2</w:t>
            </w:r>
            <w:r w:rsidR="00D945CE" w:rsidRPr="00D945CE">
              <w:rPr>
                <w:rFonts w:ascii="Times New Roman" w:hAnsi="Times New Roman"/>
                <w:b/>
                <w:sz w:val="24"/>
                <w:lang w:val="en-US"/>
              </w:rPr>
              <w:t>6</w:t>
            </w:r>
            <w:r w:rsidRPr="00D945CE">
              <w:rPr>
                <w:rFonts w:ascii="Times New Roman" w:hAnsi="Times New Roman"/>
                <w:b/>
                <w:sz w:val="24"/>
              </w:rPr>
              <w:t>)</w:t>
            </w:r>
            <w:r w:rsidRPr="005B2F6F">
              <w:rPr>
                <w:rFonts w:ascii="Times New Roman" w:hAnsi="Times New Roman"/>
                <w:sz w:val="24"/>
              </w:rPr>
              <w:t xml:space="preserve"> дохід від економії технологічних витрат електричної енергії (Д</w:t>
            </w:r>
            <w:r w:rsidRPr="005B2F6F">
              <w:rPr>
                <w:rFonts w:ascii="Times New Roman" w:hAnsi="Times New Roman"/>
                <w:vertAlign w:val="subscript"/>
              </w:rPr>
              <w:t>ТВЕ</w:t>
            </w:r>
            <w:r w:rsidRPr="005B2F6F">
              <w:rPr>
                <w:rFonts w:ascii="Times New Roman" w:hAnsi="Times New Roman"/>
                <w:sz w:val="24"/>
              </w:rPr>
              <w:t>) за підсумками звітного року, що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461"/>
              <w:gridCol w:w="2401"/>
            </w:tblGrid>
            <w:tr w:rsidR="005B2F6F" w:rsidRPr="005B2F6F" w14:paraId="5CE23707" w14:textId="77777777" w:rsidTr="0084161E">
              <w:trPr>
                <w:trHeight w:val="29"/>
                <w:tblCellSpacing w:w="0" w:type="auto"/>
              </w:trPr>
              <w:tc>
                <w:tcPr>
                  <w:tcW w:w="4461" w:type="dxa"/>
                  <w:vAlign w:val="center"/>
                </w:tcPr>
                <w:p w14:paraId="3F46F2F1" w14:textId="77777777" w:rsidR="005B2F6F" w:rsidRPr="005B2F6F" w:rsidRDefault="005B2F6F" w:rsidP="005B2F6F">
                  <w:pPr>
                    <w:spacing w:after="75"/>
                  </w:pPr>
                  <w:r w:rsidRPr="005B2F6F">
                    <w:rPr>
                      <w:noProof/>
                    </w:rPr>
                    <w:lastRenderedPageBreak/>
                    <w:drawing>
                      <wp:inline distT="0" distB="0" distL="0" distR="0" wp14:anchorId="775839AF" wp14:editId="0EA9F347">
                        <wp:extent cx="1971675" cy="300446"/>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18493" cy="307580"/>
                                </a:xfrm>
                                <a:prstGeom prst="rect">
                                  <a:avLst/>
                                </a:prstGeom>
                              </pic:spPr>
                            </pic:pic>
                          </a:graphicData>
                        </a:graphic>
                      </wp:inline>
                    </w:drawing>
                  </w:r>
                </w:p>
              </w:tc>
              <w:tc>
                <w:tcPr>
                  <w:tcW w:w="2401" w:type="dxa"/>
                  <w:vAlign w:val="center"/>
                </w:tcPr>
                <w:p w14:paraId="1FE2DA6C" w14:textId="77777777" w:rsidR="005B2F6F" w:rsidRPr="005B2F6F" w:rsidRDefault="005B2F6F" w:rsidP="005B2F6F">
                  <w:pPr>
                    <w:spacing w:after="75"/>
                  </w:pPr>
                  <w:r w:rsidRPr="005B2F6F">
                    <w:rPr>
                      <w:rFonts w:ascii="Times New Roman" w:hAnsi="Times New Roman"/>
                      <w:sz w:val="15"/>
                    </w:rPr>
                    <w:t>,</w:t>
                  </w:r>
                </w:p>
              </w:tc>
            </w:tr>
          </w:tbl>
          <w:p w14:paraId="6D65E08E" w14:textId="77777777" w:rsidR="005B2F6F" w:rsidRPr="005B2F6F" w:rsidRDefault="005B2F6F" w:rsidP="005B2F6F">
            <w:pPr>
              <w:spacing w:after="75"/>
              <w:ind w:firstLine="240"/>
              <w:jc w:val="both"/>
            </w:pPr>
            <w:r w:rsidRPr="005B2F6F">
              <w:rPr>
                <w:rFonts w:ascii="Times New Roman" w:hAnsi="Times New Roman"/>
                <w:sz w:val="24"/>
              </w:rPr>
              <w:t>де і - місяць;</w:t>
            </w:r>
          </w:p>
          <w:p w14:paraId="78649FB1" w14:textId="77777777" w:rsidR="005B2F6F" w:rsidRPr="005B2F6F" w:rsidRDefault="005B2F6F" w:rsidP="005B2F6F">
            <w:pPr>
              <w:spacing w:after="75"/>
              <w:ind w:firstLine="240"/>
              <w:jc w:val="both"/>
            </w:pPr>
            <w:r w:rsidRPr="005B2F6F">
              <w:rPr>
                <w:rFonts w:ascii="Times New Roman" w:hAnsi="Times New Roman"/>
                <w:sz w:val="24"/>
              </w:rPr>
              <w:t>n - кількість місяців;</w:t>
            </w:r>
          </w:p>
          <w:p w14:paraId="474F5019" w14:textId="77777777" w:rsidR="005B2F6F" w:rsidRPr="005B2F6F" w:rsidRDefault="005B2F6F" w:rsidP="005B2F6F">
            <w:pPr>
              <w:spacing w:after="75"/>
              <w:ind w:firstLine="240"/>
              <w:jc w:val="both"/>
            </w:pPr>
            <w:r w:rsidRPr="005B2F6F">
              <w:rPr>
                <w:rFonts w:ascii="Times New Roman" w:hAnsi="Times New Roman"/>
                <w:sz w:val="24"/>
              </w:rPr>
              <w:t>Д</w:t>
            </w:r>
            <w:r w:rsidRPr="005B2F6F">
              <w:rPr>
                <w:rFonts w:ascii="Times New Roman" w:hAnsi="Times New Roman"/>
                <w:vertAlign w:val="subscript"/>
              </w:rPr>
              <w:t>ТВЕ</w:t>
            </w:r>
            <w:r w:rsidRPr="005B2F6F">
              <w:rPr>
                <w:rFonts w:ascii="Times New Roman" w:hAnsi="Times New Roman"/>
                <w:sz w:val="24"/>
              </w:rPr>
              <w:t xml:space="preserve"> - нормативно-фактична вартість технологічних витрат електричної енергії, розрахованих за фактичним балансом електричної енергії та економічними коефіцієнтами прогнозованих технологічних витрат електричної енергії в і-му місяці звітного року, тис. грн;</w:t>
            </w:r>
          </w:p>
          <w:p w14:paraId="48C0A03B" w14:textId="77777777" w:rsidR="005B2F6F" w:rsidRPr="005B2F6F" w:rsidRDefault="005B2F6F" w:rsidP="005B2F6F">
            <w:pPr>
              <w:spacing w:after="75"/>
              <w:ind w:firstLine="240"/>
              <w:jc w:val="both"/>
            </w:pPr>
            <w:r w:rsidRPr="005B2F6F">
              <w:rPr>
                <w:rFonts w:ascii="Times New Roman" w:hAnsi="Times New Roman"/>
                <w:sz w:val="24"/>
              </w:rPr>
              <w:t>Д</w:t>
            </w:r>
            <w:r w:rsidRPr="005B2F6F">
              <w:rPr>
                <w:rFonts w:ascii="Times New Roman" w:hAnsi="Times New Roman"/>
                <w:vertAlign w:val="subscript"/>
              </w:rPr>
              <w:t>ТВЕ ф і</w:t>
            </w:r>
            <w:r w:rsidRPr="005B2F6F">
              <w:rPr>
                <w:rFonts w:ascii="Times New Roman" w:hAnsi="Times New Roman"/>
                <w:sz w:val="24"/>
              </w:rPr>
              <w:t xml:space="preserve"> - фактична вартість технологічних витрат електричної енергії на її розподіл в і-му місяці звітного року, тис. грн.</w:t>
            </w:r>
          </w:p>
          <w:p w14:paraId="20CFC669" w14:textId="77777777" w:rsidR="005B2F6F" w:rsidRPr="005B2F6F" w:rsidRDefault="005B2F6F" w:rsidP="005B2F6F">
            <w:pPr>
              <w:spacing w:after="75"/>
              <w:ind w:firstLine="240"/>
              <w:jc w:val="both"/>
            </w:pPr>
            <w:r w:rsidRPr="005B2F6F">
              <w:rPr>
                <w:rFonts w:ascii="Times New Roman" w:hAnsi="Times New Roman"/>
                <w:sz w:val="24"/>
              </w:rPr>
              <w:t>До впровадження нового ринку електричної енергії (до 01 липня 2019 року) Д</w:t>
            </w:r>
            <w:r w:rsidRPr="005B2F6F">
              <w:rPr>
                <w:rFonts w:ascii="Times New Roman" w:hAnsi="Times New Roman"/>
                <w:vertAlign w:val="subscript"/>
              </w:rPr>
              <w:t xml:space="preserve">ТВЕ </w:t>
            </w:r>
            <w:proofErr w:type="spellStart"/>
            <w:r w:rsidRPr="005B2F6F">
              <w:rPr>
                <w:rFonts w:ascii="Times New Roman" w:hAnsi="Times New Roman"/>
                <w:vertAlign w:val="subscript"/>
              </w:rPr>
              <w:t>нф</w:t>
            </w:r>
            <w:proofErr w:type="spellEnd"/>
            <w:r w:rsidRPr="005B2F6F">
              <w:rPr>
                <w:rFonts w:ascii="Times New Roman" w:hAnsi="Times New Roman"/>
                <w:vertAlign w:val="subscript"/>
              </w:rPr>
              <w:t xml:space="preserve"> і</w:t>
            </w:r>
            <w:r w:rsidRPr="005B2F6F">
              <w:rPr>
                <w:rFonts w:ascii="Times New Roman" w:hAnsi="Times New Roman"/>
                <w:sz w:val="24"/>
              </w:rPr>
              <w:t xml:space="preserve"> розраховується за формулою</w:t>
            </w:r>
          </w:p>
          <w:tbl>
            <w:tblPr>
              <w:tblW w:w="6968" w:type="dxa"/>
              <w:tblCellSpacing w:w="0" w:type="auto"/>
              <w:tblBorders>
                <w:top w:val="single" w:sz="8" w:space="0" w:color="E5E2FF"/>
              </w:tblBorders>
              <w:tblLayout w:type="fixed"/>
              <w:tblLook w:val="04A0" w:firstRow="1" w:lastRow="0" w:firstColumn="1" w:lastColumn="0" w:noHBand="0" w:noVBand="1"/>
            </w:tblPr>
            <w:tblGrid>
              <w:gridCol w:w="4842"/>
              <w:gridCol w:w="2126"/>
            </w:tblGrid>
            <w:tr w:rsidR="005B2F6F" w:rsidRPr="005B2F6F" w14:paraId="3C339491" w14:textId="77777777" w:rsidTr="0084161E">
              <w:trPr>
                <w:trHeight w:val="18"/>
                <w:tblCellSpacing w:w="0" w:type="auto"/>
              </w:trPr>
              <w:tc>
                <w:tcPr>
                  <w:tcW w:w="4842" w:type="dxa"/>
                  <w:vAlign w:val="center"/>
                </w:tcPr>
                <w:p w14:paraId="5DFB6EDA" w14:textId="77777777" w:rsidR="005B2F6F" w:rsidRPr="005B2F6F" w:rsidRDefault="005B2F6F" w:rsidP="005B2F6F">
                  <w:pPr>
                    <w:spacing w:after="75"/>
                  </w:pPr>
                  <w:r w:rsidRPr="005B2F6F">
                    <w:rPr>
                      <w:noProof/>
                    </w:rPr>
                    <w:drawing>
                      <wp:inline distT="0" distB="0" distL="0" distR="0" wp14:anchorId="28E69248" wp14:editId="3086A36F">
                        <wp:extent cx="2428875" cy="204968"/>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64235" cy="216391"/>
                                </a:xfrm>
                                <a:prstGeom prst="rect">
                                  <a:avLst/>
                                </a:prstGeom>
                              </pic:spPr>
                            </pic:pic>
                          </a:graphicData>
                        </a:graphic>
                      </wp:inline>
                    </w:drawing>
                  </w:r>
                </w:p>
              </w:tc>
              <w:tc>
                <w:tcPr>
                  <w:tcW w:w="2126" w:type="dxa"/>
                  <w:vAlign w:val="center"/>
                </w:tcPr>
                <w:p w14:paraId="11D890B1" w14:textId="77777777" w:rsidR="005B2F6F" w:rsidRPr="005B2F6F" w:rsidRDefault="005B2F6F" w:rsidP="005B2F6F">
                  <w:pPr>
                    <w:spacing w:after="75"/>
                  </w:pPr>
                  <w:r w:rsidRPr="005B2F6F">
                    <w:rPr>
                      <w:rFonts w:ascii="Times New Roman" w:hAnsi="Times New Roman"/>
                      <w:sz w:val="15"/>
                    </w:rPr>
                    <w:t>,</w:t>
                  </w:r>
                </w:p>
              </w:tc>
            </w:tr>
          </w:tbl>
          <w:p w14:paraId="21D75658" w14:textId="77777777" w:rsidR="005B2F6F" w:rsidRPr="005B2F6F" w:rsidRDefault="005B2F6F" w:rsidP="005B2F6F">
            <w:pPr>
              <w:spacing w:after="75"/>
              <w:ind w:firstLine="240"/>
              <w:jc w:val="both"/>
            </w:pPr>
            <w:r w:rsidRPr="005B2F6F">
              <w:rPr>
                <w:rFonts w:ascii="Times New Roman" w:hAnsi="Times New Roman"/>
                <w:sz w:val="24"/>
              </w:rPr>
              <w:t>де Ц</w:t>
            </w:r>
            <w:r w:rsidRPr="005B2F6F">
              <w:rPr>
                <w:rFonts w:ascii="Times New Roman" w:hAnsi="Times New Roman"/>
                <w:vertAlign w:val="subscript"/>
              </w:rPr>
              <w:t>ОРЕ ф і</w:t>
            </w:r>
            <w:r w:rsidRPr="005B2F6F">
              <w:rPr>
                <w:rFonts w:ascii="Times New Roman" w:hAnsi="Times New Roman"/>
                <w:sz w:val="24"/>
              </w:rPr>
              <w:t xml:space="preserve"> - фактична середньозважена ціна купівлі електричної енергії на Оптовому ринку електричної енергії України, що склалася в і-му місяці 2019 року, скоригована з урахуванням дотацій,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5D183560" w14:textId="77777777" w:rsidR="005B2F6F" w:rsidRPr="005B2F6F" w:rsidRDefault="005B2F6F" w:rsidP="005B2F6F">
            <w:pPr>
              <w:spacing w:after="75"/>
              <w:ind w:firstLine="240"/>
              <w:jc w:val="both"/>
            </w:pPr>
            <w:r w:rsidRPr="005B2F6F">
              <w:rPr>
                <w:rFonts w:ascii="Times New Roman" w:hAnsi="Times New Roman"/>
                <w:sz w:val="24"/>
              </w:rPr>
              <w:t>O</w:t>
            </w:r>
            <w:r w:rsidRPr="005B2F6F">
              <w:rPr>
                <w:rFonts w:ascii="Times New Roman" w:hAnsi="Times New Roman"/>
                <w:vertAlign w:val="subscript"/>
              </w:rPr>
              <w:t xml:space="preserve">ТВЕ </w:t>
            </w:r>
            <w:proofErr w:type="spellStart"/>
            <w:r w:rsidRPr="005B2F6F">
              <w:rPr>
                <w:rFonts w:ascii="Times New Roman" w:hAnsi="Times New Roman"/>
                <w:vertAlign w:val="subscript"/>
              </w:rPr>
              <w:t>нф</w:t>
            </w:r>
            <w:proofErr w:type="spellEnd"/>
            <w:r w:rsidRPr="005B2F6F">
              <w:rPr>
                <w:rFonts w:ascii="Times New Roman" w:hAnsi="Times New Roman"/>
                <w:vertAlign w:val="subscript"/>
              </w:rPr>
              <w:t xml:space="preserve"> і</w:t>
            </w:r>
            <w:r w:rsidRPr="005B2F6F">
              <w:rPr>
                <w:rFonts w:ascii="Times New Roman" w:hAnsi="Times New Roman"/>
                <w:sz w:val="24"/>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 що розраховується за формулою</w:t>
            </w:r>
          </w:p>
          <w:tbl>
            <w:tblPr>
              <w:tblW w:w="6727" w:type="dxa"/>
              <w:tblCellSpacing w:w="0" w:type="auto"/>
              <w:tblBorders>
                <w:top w:val="single" w:sz="8" w:space="0" w:color="E5E2FF"/>
              </w:tblBorders>
              <w:tblLayout w:type="fixed"/>
              <w:tblLook w:val="04A0" w:firstRow="1" w:lastRow="0" w:firstColumn="1" w:lastColumn="0" w:noHBand="0" w:noVBand="1"/>
            </w:tblPr>
            <w:tblGrid>
              <w:gridCol w:w="5587"/>
              <w:gridCol w:w="1140"/>
            </w:tblGrid>
            <w:tr w:rsidR="005B2F6F" w:rsidRPr="005B2F6F" w14:paraId="580848C3" w14:textId="77777777" w:rsidTr="0084161E">
              <w:trPr>
                <w:trHeight w:val="18"/>
                <w:tblCellSpacing w:w="0" w:type="auto"/>
              </w:trPr>
              <w:tc>
                <w:tcPr>
                  <w:tcW w:w="5587" w:type="dxa"/>
                  <w:vAlign w:val="center"/>
                </w:tcPr>
                <w:p w14:paraId="04C481B0" w14:textId="77777777" w:rsidR="005B2F6F" w:rsidRPr="005B2F6F" w:rsidRDefault="005B2F6F" w:rsidP="005B2F6F">
                  <w:pPr>
                    <w:spacing w:after="75"/>
                  </w:pPr>
                  <w:r w:rsidRPr="005B2F6F">
                    <w:rPr>
                      <w:noProof/>
                    </w:rPr>
                    <w:drawing>
                      <wp:inline distT="0" distB="0" distL="0" distR="0" wp14:anchorId="3838938B" wp14:editId="6D811A81">
                        <wp:extent cx="3371850" cy="373612"/>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1696" cy="376919"/>
                                </a:xfrm>
                                <a:prstGeom prst="rect">
                                  <a:avLst/>
                                </a:prstGeom>
                              </pic:spPr>
                            </pic:pic>
                          </a:graphicData>
                        </a:graphic>
                      </wp:inline>
                    </w:drawing>
                  </w:r>
                </w:p>
              </w:tc>
              <w:tc>
                <w:tcPr>
                  <w:tcW w:w="1140" w:type="dxa"/>
                  <w:vAlign w:val="center"/>
                </w:tcPr>
                <w:p w14:paraId="01B0004D" w14:textId="77777777" w:rsidR="005B2F6F" w:rsidRPr="005B2F6F" w:rsidRDefault="005B2F6F" w:rsidP="005B2F6F">
                  <w:pPr>
                    <w:spacing w:after="75"/>
                  </w:pPr>
                  <w:r w:rsidRPr="005B2F6F">
                    <w:rPr>
                      <w:rFonts w:ascii="Times New Roman" w:hAnsi="Times New Roman"/>
                      <w:sz w:val="15"/>
                    </w:rPr>
                    <w:t>,</w:t>
                  </w:r>
                </w:p>
              </w:tc>
            </w:tr>
          </w:tbl>
          <w:p w14:paraId="50DC42EC" w14:textId="77777777" w:rsidR="005B2F6F" w:rsidRPr="005B2F6F" w:rsidRDefault="005B2F6F" w:rsidP="005B2F6F">
            <w:pPr>
              <w:spacing w:after="75"/>
              <w:ind w:firstLine="240"/>
              <w:jc w:val="both"/>
            </w:pPr>
            <w:r w:rsidRPr="005B2F6F">
              <w:rPr>
                <w:rFonts w:ascii="Times New Roman" w:hAnsi="Times New Roman"/>
                <w:sz w:val="24"/>
              </w:rPr>
              <w:t xml:space="preserve">де </w:t>
            </w:r>
            <w:r w:rsidRPr="005B2F6F">
              <w:rPr>
                <w:rFonts w:ascii="Times New Roman" w:hAnsi="Times New Roman"/>
                <w:i/>
                <w:sz w:val="24"/>
              </w:rPr>
              <w:t>W</w:t>
            </w:r>
            <w:r w:rsidRPr="005B2F6F">
              <w:rPr>
                <w:rFonts w:ascii="Times New Roman" w:hAnsi="Times New Roman"/>
                <w:vertAlign w:val="subscript"/>
              </w:rPr>
              <w:t>1i</w:t>
            </w:r>
            <w:r w:rsidRPr="005B2F6F">
              <w:rPr>
                <w:rFonts w:ascii="Times New Roman" w:hAnsi="Times New Roman"/>
                <w:sz w:val="24"/>
              </w:rPr>
              <w:t xml:space="preserve"> - фактичний обсяг корисного відпуску електричної енергії споживачам на 1 класі напруги в і</w:t>
            </w:r>
            <w:r w:rsidRPr="005B2F6F">
              <w:rPr>
                <w:rFonts w:ascii="Times New Roman" w:hAnsi="Times New Roman"/>
                <w:i/>
                <w:sz w:val="24"/>
              </w:rPr>
              <w:t>-</w:t>
            </w:r>
            <w:r w:rsidRPr="005B2F6F">
              <w:rPr>
                <w:rFonts w:ascii="Times New Roman" w:hAnsi="Times New Roman"/>
                <w:sz w:val="24"/>
              </w:rPr>
              <w:t xml:space="preserve">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2D003FA9" w14:textId="77777777" w:rsidR="005B2F6F" w:rsidRPr="005B2F6F" w:rsidRDefault="005B2F6F" w:rsidP="005B2F6F">
            <w:pPr>
              <w:spacing w:after="75"/>
              <w:ind w:firstLine="240"/>
              <w:jc w:val="both"/>
            </w:pPr>
            <w:r w:rsidRPr="005B2F6F">
              <w:rPr>
                <w:rFonts w:ascii="Times New Roman" w:hAnsi="Times New Roman"/>
                <w:i/>
                <w:sz w:val="24"/>
              </w:rPr>
              <w:t>W</w:t>
            </w:r>
            <w:r w:rsidRPr="005B2F6F">
              <w:rPr>
                <w:rFonts w:ascii="Times New Roman" w:hAnsi="Times New Roman"/>
                <w:vertAlign w:val="subscript"/>
              </w:rPr>
              <w:t>2i</w:t>
            </w:r>
            <w:r w:rsidRPr="005B2F6F">
              <w:rPr>
                <w:rFonts w:ascii="Times New Roman" w:hAnsi="Times New Roman"/>
                <w:sz w:val="24"/>
              </w:rPr>
              <w:t xml:space="preserve"> - фактичний обсяг розподілу електричної енергії споживачам на 2 класі напруги в і</w:t>
            </w:r>
            <w:r w:rsidRPr="005B2F6F">
              <w:rPr>
                <w:rFonts w:ascii="Times New Roman" w:hAnsi="Times New Roman"/>
                <w:i/>
                <w:sz w:val="24"/>
              </w:rPr>
              <w:t>-</w:t>
            </w:r>
            <w:r w:rsidRPr="005B2F6F">
              <w:rPr>
                <w:rFonts w:ascii="Times New Roman" w:hAnsi="Times New Roman"/>
                <w:sz w:val="24"/>
              </w:rPr>
              <w:t xml:space="preserve">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7D970DC2" w14:textId="77777777" w:rsidR="005B2F6F" w:rsidRPr="005B2F6F" w:rsidRDefault="005B2F6F" w:rsidP="005B2F6F">
            <w:pPr>
              <w:spacing w:after="75"/>
              <w:ind w:firstLine="240"/>
              <w:jc w:val="both"/>
            </w:pPr>
            <w:r w:rsidRPr="005B2F6F">
              <w:rPr>
                <w:rFonts w:ascii="Times New Roman" w:hAnsi="Times New Roman"/>
                <w:i/>
                <w:sz w:val="24"/>
              </w:rPr>
              <w:t>K</w:t>
            </w:r>
            <w:r w:rsidRPr="005B2F6F">
              <w:rPr>
                <w:rFonts w:ascii="Times New Roman" w:hAnsi="Times New Roman"/>
                <w:vertAlign w:val="subscript"/>
              </w:rPr>
              <w:t>1</w:t>
            </w:r>
            <w:r w:rsidRPr="005B2F6F">
              <w:rPr>
                <w:rFonts w:ascii="Times New Roman" w:hAnsi="Times New Roman"/>
                <w:sz w:val="24"/>
              </w:rPr>
              <w:t xml:space="preserve">, </w:t>
            </w:r>
            <w:r w:rsidRPr="005B2F6F">
              <w:rPr>
                <w:rFonts w:ascii="Times New Roman" w:hAnsi="Times New Roman"/>
                <w:i/>
                <w:sz w:val="24"/>
              </w:rPr>
              <w:t>K</w:t>
            </w:r>
            <w:r w:rsidRPr="005B2F6F">
              <w:rPr>
                <w:rFonts w:ascii="Times New Roman" w:hAnsi="Times New Roman"/>
                <w:vertAlign w:val="subscript"/>
              </w:rPr>
              <w:t>2</w:t>
            </w:r>
            <w:r w:rsidRPr="005B2F6F">
              <w:rPr>
                <w:rFonts w:ascii="Times New Roman" w:hAnsi="Times New Roman"/>
                <w:sz w:val="24"/>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26F7C3BD" w14:textId="77777777" w:rsidR="005B2F6F" w:rsidRPr="005B2F6F" w:rsidRDefault="005B2F6F" w:rsidP="005B2F6F">
            <w:pPr>
              <w:spacing w:after="75"/>
              <w:ind w:firstLine="240"/>
              <w:jc w:val="both"/>
            </w:pPr>
            <w:r w:rsidRPr="005B2F6F">
              <w:rPr>
                <w:rFonts w:ascii="Times New Roman" w:hAnsi="Times New Roman"/>
                <w:sz w:val="24"/>
              </w:rPr>
              <w:t>Д</w:t>
            </w:r>
            <w:r w:rsidRPr="005B2F6F">
              <w:rPr>
                <w:rFonts w:ascii="Times New Roman" w:hAnsi="Times New Roman"/>
                <w:vertAlign w:val="subscript"/>
              </w:rPr>
              <w:t>ТВЕ ф і</w:t>
            </w:r>
            <w:r w:rsidRPr="005B2F6F">
              <w:rPr>
                <w:rFonts w:ascii="Times New Roman" w:hAnsi="Times New Roman"/>
                <w:sz w:val="24"/>
              </w:rPr>
              <w:t xml:space="preserve"> розраховується за формулою</w:t>
            </w:r>
          </w:p>
          <w:tbl>
            <w:tblPr>
              <w:tblW w:w="5092" w:type="dxa"/>
              <w:tblCellSpacing w:w="0" w:type="auto"/>
              <w:tblBorders>
                <w:top w:val="single" w:sz="8" w:space="0" w:color="E5E2FF"/>
              </w:tblBorders>
              <w:tblLayout w:type="fixed"/>
              <w:tblLook w:val="04A0" w:firstRow="1" w:lastRow="0" w:firstColumn="1" w:lastColumn="0" w:noHBand="0" w:noVBand="1"/>
            </w:tblPr>
            <w:tblGrid>
              <w:gridCol w:w="4171"/>
              <w:gridCol w:w="921"/>
            </w:tblGrid>
            <w:tr w:rsidR="005B2F6F" w:rsidRPr="005B2F6F" w14:paraId="493B5A65" w14:textId="77777777" w:rsidTr="0084161E">
              <w:trPr>
                <w:trHeight w:val="34"/>
                <w:tblCellSpacing w:w="0" w:type="auto"/>
              </w:trPr>
              <w:tc>
                <w:tcPr>
                  <w:tcW w:w="4171" w:type="dxa"/>
                  <w:vAlign w:val="center"/>
                </w:tcPr>
                <w:p w14:paraId="0A1CF1AB" w14:textId="77777777" w:rsidR="005B2F6F" w:rsidRPr="005B2F6F" w:rsidRDefault="005B2F6F" w:rsidP="005B2F6F">
                  <w:pPr>
                    <w:spacing w:after="75"/>
                  </w:pPr>
                  <w:r w:rsidRPr="005B2F6F">
                    <w:rPr>
                      <w:noProof/>
                    </w:rPr>
                    <w:drawing>
                      <wp:inline distT="0" distB="0" distL="0" distR="0" wp14:anchorId="0CE2ACFE" wp14:editId="6F1355ED">
                        <wp:extent cx="2428875" cy="2218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61327" cy="224779"/>
                                </a:xfrm>
                                <a:prstGeom prst="rect">
                                  <a:avLst/>
                                </a:prstGeom>
                              </pic:spPr>
                            </pic:pic>
                          </a:graphicData>
                        </a:graphic>
                      </wp:inline>
                    </w:drawing>
                  </w:r>
                </w:p>
              </w:tc>
              <w:tc>
                <w:tcPr>
                  <w:tcW w:w="921" w:type="dxa"/>
                  <w:vAlign w:val="center"/>
                </w:tcPr>
                <w:p w14:paraId="136FF5F4" w14:textId="77777777" w:rsidR="005B2F6F" w:rsidRPr="005B2F6F" w:rsidRDefault="005B2F6F" w:rsidP="005B2F6F">
                  <w:pPr>
                    <w:spacing w:after="75"/>
                  </w:pPr>
                  <w:r w:rsidRPr="005B2F6F">
                    <w:rPr>
                      <w:rFonts w:ascii="Times New Roman" w:hAnsi="Times New Roman"/>
                      <w:sz w:val="15"/>
                    </w:rPr>
                    <w:t>,</w:t>
                  </w:r>
                </w:p>
              </w:tc>
            </w:tr>
          </w:tbl>
          <w:p w14:paraId="0507BCD8" w14:textId="77777777" w:rsidR="005B2F6F" w:rsidRPr="005B2F6F" w:rsidRDefault="005B2F6F" w:rsidP="005B2F6F">
            <w:pPr>
              <w:spacing w:after="75"/>
              <w:ind w:firstLine="240"/>
              <w:jc w:val="both"/>
            </w:pPr>
            <w:r w:rsidRPr="005B2F6F">
              <w:rPr>
                <w:rFonts w:ascii="Times New Roman" w:hAnsi="Times New Roman"/>
                <w:sz w:val="24"/>
              </w:rPr>
              <w:lastRenderedPageBreak/>
              <w:t>де O</w:t>
            </w:r>
            <w:r w:rsidRPr="005B2F6F">
              <w:rPr>
                <w:rFonts w:ascii="Times New Roman" w:hAnsi="Times New Roman"/>
                <w:vertAlign w:val="subscript"/>
              </w:rPr>
              <w:t>ТВЕ ф і</w:t>
            </w:r>
            <w:r w:rsidRPr="005B2F6F">
              <w:rPr>
                <w:rFonts w:ascii="Times New Roman" w:hAnsi="Times New Roman"/>
                <w:sz w:val="24"/>
              </w:rPr>
              <w:t xml:space="preserve"> - фактичний обсяг технологічних витрат електричної енергії в і-му місяці звітного року відповідно до наданих комісії з перевірки належним чином завірених копій підтвердних документів та даних за формою звітності N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N 1257, формою звітності N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затвердженою постановою НКРЕКП від 28 лютого 2019 року N 282, та формою звітності N 5-НКРЕКП-моніторинг-розподіл (місячна) "Звіт про обсяги розподілу електричної енергії", затвердженою постановою НКРЕКП від 29 березня 2019 року N 450,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14E47061" w14:textId="77777777" w:rsidR="005B2F6F" w:rsidRPr="005B2F6F" w:rsidRDefault="005B2F6F" w:rsidP="005B2F6F">
            <w:pPr>
              <w:spacing w:after="75"/>
              <w:ind w:firstLine="240"/>
              <w:jc w:val="both"/>
            </w:pPr>
            <w:r w:rsidRPr="005B2F6F">
              <w:rPr>
                <w:rFonts w:ascii="Times New Roman" w:hAnsi="Times New Roman"/>
                <w:sz w:val="24"/>
              </w:rPr>
              <w:t>Після впровадження нового ринку електричної енергії (з 01 липня 2019 року) Д</w:t>
            </w:r>
            <w:r w:rsidRPr="005B2F6F">
              <w:rPr>
                <w:rFonts w:ascii="Times New Roman" w:hAnsi="Times New Roman"/>
                <w:vertAlign w:val="subscript"/>
              </w:rPr>
              <w:t xml:space="preserve">ТВЕ </w:t>
            </w:r>
            <w:proofErr w:type="spellStart"/>
            <w:r w:rsidRPr="005B2F6F">
              <w:rPr>
                <w:rFonts w:ascii="Times New Roman" w:hAnsi="Times New Roman"/>
                <w:vertAlign w:val="subscript"/>
              </w:rPr>
              <w:t>нф</w:t>
            </w:r>
            <w:proofErr w:type="spellEnd"/>
            <w:r w:rsidRPr="005B2F6F">
              <w:rPr>
                <w:rFonts w:ascii="Times New Roman" w:hAnsi="Times New Roman"/>
                <w:vertAlign w:val="subscript"/>
              </w:rPr>
              <w:t xml:space="preserve"> і</w:t>
            </w:r>
            <w:r w:rsidRPr="005B2F6F">
              <w:rPr>
                <w:rFonts w:ascii="Times New Roman" w:hAnsi="Times New Roman"/>
                <w:sz w:val="24"/>
              </w:rPr>
              <w:t xml:space="preserve">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6098"/>
              <w:gridCol w:w="677"/>
            </w:tblGrid>
            <w:tr w:rsidR="005B2F6F" w:rsidRPr="005B2F6F" w14:paraId="19D33336" w14:textId="77777777" w:rsidTr="0084161E">
              <w:trPr>
                <w:trHeight w:val="23"/>
                <w:tblCellSpacing w:w="0" w:type="auto"/>
              </w:trPr>
              <w:tc>
                <w:tcPr>
                  <w:tcW w:w="6098" w:type="dxa"/>
                  <w:vAlign w:val="center"/>
                </w:tcPr>
                <w:p w14:paraId="1AB7FEC6" w14:textId="77777777" w:rsidR="005B2F6F" w:rsidRPr="005B2F6F" w:rsidRDefault="005B2F6F" w:rsidP="005B2F6F">
                  <w:pPr>
                    <w:spacing w:after="75"/>
                  </w:pPr>
                  <w:r w:rsidRPr="005B2F6F">
                    <w:rPr>
                      <w:noProof/>
                    </w:rPr>
                    <w:drawing>
                      <wp:inline distT="0" distB="0" distL="0" distR="0" wp14:anchorId="53D45424" wp14:editId="13ACCA6A">
                        <wp:extent cx="3705225" cy="17218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71878" cy="179933"/>
                                </a:xfrm>
                                <a:prstGeom prst="rect">
                                  <a:avLst/>
                                </a:prstGeom>
                              </pic:spPr>
                            </pic:pic>
                          </a:graphicData>
                        </a:graphic>
                      </wp:inline>
                    </w:drawing>
                  </w:r>
                </w:p>
              </w:tc>
              <w:tc>
                <w:tcPr>
                  <w:tcW w:w="677" w:type="dxa"/>
                  <w:vAlign w:val="center"/>
                </w:tcPr>
                <w:p w14:paraId="1FB5BAFD" w14:textId="77777777" w:rsidR="005B2F6F" w:rsidRPr="005B2F6F" w:rsidRDefault="005B2F6F" w:rsidP="005B2F6F">
                  <w:pPr>
                    <w:spacing w:after="75"/>
                  </w:pPr>
                  <w:r w:rsidRPr="005B2F6F">
                    <w:rPr>
                      <w:rFonts w:ascii="Times New Roman" w:hAnsi="Times New Roman"/>
                      <w:sz w:val="15"/>
                    </w:rPr>
                    <w:t>,</w:t>
                  </w:r>
                </w:p>
              </w:tc>
            </w:tr>
          </w:tbl>
          <w:p w14:paraId="5660540A" w14:textId="77777777" w:rsidR="005B2F6F" w:rsidRPr="005B2F6F" w:rsidRDefault="005B2F6F" w:rsidP="005B2F6F">
            <w:pPr>
              <w:spacing w:after="75"/>
              <w:ind w:firstLine="240"/>
              <w:jc w:val="both"/>
            </w:pPr>
            <w:r w:rsidRPr="005B2F6F">
              <w:rPr>
                <w:rFonts w:ascii="Times New Roman" w:hAnsi="Times New Roman"/>
                <w:sz w:val="24"/>
              </w:rPr>
              <w:t xml:space="preserve">де </w:t>
            </w:r>
            <w:proofErr w:type="spellStart"/>
            <w:r w:rsidRPr="005B2F6F">
              <w:rPr>
                <w:rFonts w:ascii="Times New Roman" w:hAnsi="Times New Roman"/>
                <w:sz w:val="24"/>
              </w:rPr>
              <w:t>К</w:t>
            </w:r>
            <w:r w:rsidRPr="005B2F6F">
              <w:rPr>
                <w:rFonts w:ascii="Times New Roman" w:hAnsi="Times New Roman"/>
                <w:vertAlign w:val="subscript"/>
              </w:rPr>
              <w:t>ф</w:t>
            </w:r>
            <w:proofErr w:type="spellEnd"/>
            <w:r w:rsidRPr="005B2F6F">
              <w:rPr>
                <w:rFonts w:ascii="Times New Roman" w:hAnsi="Times New Roman"/>
                <w:vertAlign w:val="subscript"/>
              </w:rPr>
              <w:t xml:space="preserve"> ПСО і</w:t>
            </w:r>
            <w:r w:rsidRPr="005B2F6F">
              <w:rPr>
                <w:rFonts w:ascii="Times New Roman" w:hAnsi="Times New Roman"/>
                <w:sz w:val="24"/>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14:paraId="4884F107" w14:textId="77777777" w:rsidR="005B2F6F" w:rsidRPr="005B2F6F" w:rsidRDefault="005B2F6F" w:rsidP="005B2F6F">
            <w:pPr>
              <w:spacing w:after="75"/>
              <w:ind w:firstLine="240"/>
              <w:jc w:val="both"/>
            </w:pPr>
            <w:r w:rsidRPr="005B2F6F">
              <w:rPr>
                <w:rFonts w:ascii="Times New Roman" w:hAnsi="Times New Roman"/>
                <w:sz w:val="24"/>
              </w:rPr>
              <w:t>у липні - серпні 2019 року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2593"/>
              <w:gridCol w:w="1658"/>
            </w:tblGrid>
            <w:tr w:rsidR="005B2F6F" w:rsidRPr="005B2F6F" w14:paraId="2154DBE3" w14:textId="77777777" w:rsidTr="0084161E">
              <w:trPr>
                <w:trHeight w:val="22"/>
                <w:tblCellSpacing w:w="0" w:type="auto"/>
              </w:trPr>
              <w:tc>
                <w:tcPr>
                  <w:tcW w:w="2593" w:type="dxa"/>
                  <w:vAlign w:val="center"/>
                </w:tcPr>
                <w:p w14:paraId="2F1F7AE0" w14:textId="77777777" w:rsidR="005B2F6F" w:rsidRPr="005B2F6F" w:rsidRDefault="005B2F6F" w:rsidP="005B2F6F">
                  <w:pPr>
                    <w:spacing w:after="75"/>
                  </w:pPr>
                  <w:r w:rsidRPr="005B2F6F">
                    <w:rPr>
                      <w:noProof/>
                    </w:rPr>
                    <w:drawing>
                      <wp:inline distT="0" distB="0" distL="0" distR="0" wp14:anchorId="66DDF61C" wp14:editId="6C377373">
                        <wp:extent cx="1438275" cy="352609"/>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60321" cy="358014"/>
                                </a:xfrm>
                                <a:prstGeom prst="rect">
                                  <a:avLst/>
                                </a:prstGeom>
                              </pic:spPr>
                            </pic:pic>
                          </a:graphicData>
                        </a:graphic>
                      </wp:inline>
                    </w:drawing>
                  </w:r>
                </w:p>
              </w:tc>
              <w:tc>
                <w:tcPr>
                  <w:tcW w:w="1658" w:type="dxa"/>
                  <w:vAlign w:val="center"/>
                </w:tcPr>
                <w:p w14:paraId="65B9BB57" w14:textId="77777777" w:rsidR="005B2F6F" w:rsidRPr="005B2F6F" w:rsidRDefault="005B2F6F" w:rsidP="005B2F6F">
                  <w:pPr>
                    <w:spacing w:after="75"/>
                  </w:pPr>
                  <w:r w:rsidRPr="005B2F6F">
                    <w:rPr>
                      <w:rFonts w:ascii="Times New Roman" w:hAnsi="Times New Roman"/>
                      <w:sz w:val="15"/>
                    </w:rPr>
                    <w:t>,</w:t>
                  </w:r>
                </w:p>
              </w:tc>
            </w:tr>
          </w:tbl>
          <w:p w14:paraId="4F8460CA" w14:textId="77777777" w:rsidR="005B2F6F" w:rsidRPr="005B2F6F" w:rsidRDefault="005B2F6F" w:rsidP="005B2F6F">
            <w:pPr>
              <w:spacing w:after="75"/>
              <w:ind w:firstLine="240"/>
              <w:jc w:val="both"/>
            </w:pPr>
            <w:r w:rsidRPr="005B2F6F">
              <w:rPr>
                <w:rFonts w:ascii="Times New Roman" w:hAnsi="Times New Roman"/>
                <w:sz w:val="24"/>
              </w:rPr>
              <w:t>де О</w:t>
            </w:r>
            <w:r w:rsidRPr="005B2F6F">
              <w:rPr>
                <w:rFonts w:ascii="Times New Roman" w:hAnsi="Times New Roman"/>
                <w:vertAlign w:val="subscript"/>
              </w:rPr>
              <w:t>ТВЕ ПСО ф і</w:t>
            </w:r>
            <w:r w:rsidRPr="005B2F6F">
              <w:rPr>
                <w:rFonts w:ascii="Times New Roman" w:hAnsi="Times New Roman"/>
                <w:sz w:val="24"/>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2482109B" w14:textId="77777777" w:rsidR="005B2F6F" w:rsidRPr="005B2F6F" w:rsidRDefault="005B2F6F" w:rsidP="005B2F6F">
            <w:pPr>
              <w:spacing w:after="75"/>
              <w:ind w:firstLine="240"/>
              <w:jc w:val="both"/>
            </w:pPr>
            <w:r w:rsidRPr="005B2F6F">
              <w:rPr>
                <w:rFonts w:ascii="Times New Roman" w:hAnsi="Times New Roman"/>
                <w:sz w:val="24"/>
              </w:rPr>
              <w:t xml:space="preserve">у вересні - грудні 2019 року </w:t>
            </w:r>
            <w:proofErr w:type="spellStart"/>
            <w:r w:rsidRPr="005B2F6F">
              <w:rPr>
                <w:rFonts w:ascii="Times New Roman" w:hAnsi="Times New Roman"/>
                <w:sz w:val="24"/>
              </w:rPr>
              <w:t>К</w:t>
            </w:r>
            <w:r w:rsidRPr="005B2F6F">
              <w:rPr>
                <w:rFonts w:ascii="Times New Roman" w:hAnsi="Times New Roman"/>
                <w:vertAlign w:val="subscript"/>
              </w:rPr>
              <w:t>ф</w:t>
            </w:r>
            <w:proofErr w:type="spellEnd"/>
            <w:r w:rsidRPr="005B2F6F">
              <w:rPr>
                <w:rFonts w:ascii="Times New Roman" w:hAnsi="Times New Roman"/>
                <w:vertAlign w:val="subscript"/>
              </w:rPr>
              <w:t xml:space="preserve"> ПСО і</w:t>
            </w:r>
            <w:r w:rsidRPr="005B2F6F">
              <w:rPr>
                <w:rFonts w:ascii="Times New Roman" w:hAnsi="Times New Roman"/>
                <w:sz w:val="24"/>
              </w:rPr>
              <w:t xml:space="preserve"> дорівнює 0,8;</w:t>
            </w:r>
          </w:p>
          <w:p w14:paraId="2CC3E160" w14:textId="77777777" w:rsidR="005B2F6F" w:rsidRPr="005B2F6F" w:rsidRDefault="005B2F6F" w:rsidP="005B2F6F">
            <w:pPr>
              <w:spacing w:after="75"/>
              <w:ind w:firstLine="240"/>
              <w:jc w:val="both"/>
            </w:pPr>
            <w:r w:rsidRPr="005B2F6F">
              <w:rPr>
                <w:rFonts w:ascii="Times New Roman" w:hAnsi="Times New Roman"/>
                <w:sz w:val="24"/>
              </w:rPr>
              <w:t xml:space="preserve">Ц </w:t>
            </w:r>
            <w:r w:rsidRPr="005B2F6F">
              <w:rPr>
                <w:rFonts w:ascii="Times New Roman" w:hAnsi="Times New Roman"/>
                <w:vertAlign w:val="subscript"/>
              </w:rPr>
              <w:t>ф і</w:t>
            </w:r>
            <w:r w:rsidRPr="005B2F6F">
              <w:rPr>
                <w:rFonts w:ascii="Times New Roman" w:hAnsi="Times New Roman"/>
                <w:sz w:val="24"/>
              </w:rPr>
              <w:t xml:space="preserve"> - фактична ціна електричної енергії, купованої згідно з Положенням N 483, в і-му місяці звітного року,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71A9FC42" w14:textId="77777777" w:rsidR="005B2F6F" w:rsidRPr="005B2F6F" w:rsidRDefault="005B2F6F" w:rsidP="005B2F6F">
            <w:pPr>
              <w:spacing w:after="75"/>
              <w:ind w:firstLine="240"/>
              <w:jc w:val="both"/>
            </w:pPr>
            <w:r w:rsidRPr="005B2F6F">
              <w:rPr>
                <w:rFonts w:ascii="Times New Roman" w:hAnsi="Times New Roman"/>
                <w:sz w:val="24"/>
              </w:rPr>
              <w:lastRenderedPageBreak/>
              <w:t>Ц</w:t>
            </w:r>
            <w:r w:rsidRPr="005B2F6F">
              <w:rPr>
                <w:rFonts w:ascii="Times New Roman" w:hAnsi="Times New Roman"/>
                <w:vertAlign w:val="subscript"/>
              </w:rPr>
              <w:t>РДН ф і</w:t>
            </w:r>
            <w:r w:rsidRPr="005B2F6F">
              <w:rPr>
                <w:rFonts w:ascii="Times New Roman" w:hAnsi="Times New Roman"/>
                <w:sz w:val="24"/>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213F6EC2" w14:textId="77777777" w:rsidR="005B2F6F" w:rsidRPr="005B2F6F" w:rsidRDefault="005B2F6F" w:rsidP="005B2F6F">
            <w:pPr>
              <w:spacing w:after="75"/>
              <w:ind w:firstLine="240"/>
              <w:jc w:val="both"/>
            </w:pPr>
            <w:r w:rsidRPr="005B2F6F">
              <w:rPr>
                <w:rFonts w:ascii="Times New Roman" w:hAnsi="Times New Roman"/>
                <w:sz w:val="24"/>
              </w:rPr>
              <w:t>Д</w:t>
            </w:r>
            <w:r w:rsidRPr="005B2F6F">
              <w:rPr>
                <w:rFonts w:ascii="Times New Roman" w:hAnsi="Times New Roman"/>
                <w:vertAlign w:val="subscript"/>
              </w:rPr>
              <w:t>ТВЕ ф і</w:t>
            </w:r>
            <w:r w:rsidRPr="005B2F6F">
              <w:rPr>
                <w:rFonts w:ascii="Times New Roman" w:hAnsi="Times New Roman"/>
                <w:sz w:val="24"/>
              </w:rPr>
              <w:t xml:space="preserve">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5584"/>
              <w:gridCol w:w="620"/>
            </w:tblGrid>
            <w:tr w:rsidR="005B2F6F" w:rsidRPr="005B2F6F" w14:paraId="6B4E68A5" w14:textId="77777777" w:rsidTr="0084161E">
              <w:trPr>
                <w:trHeight w:val="24"/>
                <w:tblCellSpacing w:w="0" w:type="auto"/>
              </w:trPr>
              <w:tc>
                <w:tcPr>
                  <w:tcW w:w="5584" w:type="dxa"/>
                  <w:vAlign w:val="center"/>
                </w:tcPr>
                <w:p w14:paraId="1988C8D8" w14:textId="77777777" w:rsidR="005B2F6F" w:rsidRPr="005B2F6F" w:rsidRDefault="005B2F6F" w:rsidP="005B2F6F">
                  <w:pPr>
                    <w:spacing w:after="75"/>
                  </w:pPr>
                  <w:r w:rsidRPr="005B2F6F">
                    <w:rPr>
                      <w:noProof/>
                    </w:rPr>
                    <w:drawing>
                      <wp:inline distT="0" distB="0" distL="0" distR="0" wp14:anchorId="2654F678" wp14:editId="24801E74">
                        <wp:extent cx="3400425" cy="158023"/>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3568" cy="163746"/>
                                </a:xfrm>
                                <a:prstGeom prst="rect">
                                  <a:avLst/>
                                </a:prstGeom>
                              </pic:spPr>
                            </pic:pic>
                          </a:graphicData>
                        </a:graphic>
                      </wp:inline>
                    </w:drawing>
                  </w:r>
                </w:p>
              </w:tc>
              <w:tc>
                <w:tcPr>
                  <w:tcW w:w="620" w:type="dxa"/>
                  <w:vAlign w:val="center"/>
                </w:tcPr>
                <w:p w14:paraId="2F8DBB12" w14:textId="77777777" w:rsidR="005B2F6F" w:rsidRPr="005B2F6F" w:rsidRDefault="005B2F6F" w:rsidP="005B2F6F">
                  <w:pPr>
                    <w:spacing w:after="75"/>
                  </w:pPr>
                  <w:r w:rsidRPr="005B2F6F">
                    <w:rPr>
                      <w:rFonts w:ascii="Times New Roman" w:hAnsi="Times New Roman"/>
                      <w:sz w:val="15"/>
                    </w:rPr>
                    <w:t>,</w:t>
                  </w:r>
                </w:p>
              </w:tc>
            </w:tr>
          </w:tbl>
          <w:p w14:paraId="3A116A3E" w14:textId="77777777" w:rsidR="005B2F6F" w:rsidRPr="005B2F6F" w:rsidRDefault="005B2F6F" w:rsidP="005B2F6F">
            <w:pPr>
              <w:spacing w:after="75"/>
              <w:ind w:firstLine="240"/>
              <w:jc w:val="both"/>
            </w:pPr>
            <w:r w:rsidRPr="005B2F6F">
              <w:rPr>
                <w:rFonts w:ascii="Times New Roman" w:hAnsi="Times New Roman"/>
                <w:sz w:val="24"/>
              </w:rPr>
              <w:t>З 01 січня 2021 року Д</w:t>
            </w:r>
            <w:r w:rsidRPr="005B2F6F">
              <w:rPr>
                <w:rFonts w:ascii="Times New Roman" w:hAnsi="Times New Roman"/>
                <w:vertAlign w:val="subscript"/>
              </w:rPr>
              <w:t>ТВЕ</w:t>
            </w:r>
            <w:r w:rsidRPr="005B2F6F">
              <w:rPr>
                <w:rFonts w:ascii="Times New Roman" w:hAnsi="Times New Roman"/>
                <w:sz w:val="24"/>
              </w:rPr>
              <w:t xml:space="preserve"> </w:t>
            </w:r>
            <w:proofErr w:type="spellStart"/>
            <w:r w:rsidRPr="005B2F6F">
              <w:rPr>
                <w:rFonts w:ascii="Times New Roman" w:hAnsi="Times New Roman"/>
                <w:vertAlign w:val="subscript"/>
              </w:rPr>
              <w:t>нф</w:t>
            </w:r>
            <w:proofErr w:type="spellEnd"/>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розраховується за формулою</w:t>
            </w:r>
          </w:p>
          <w:p w14:paraId="4925A05E" w14:textId="77777777" w:rsidR="005B2F6F" w:rsidRPr="005B2F6F" w:rsidRDefault="005B2F6F" w:rsidP="005B2F6F">
            <w:pPr>
              <w:spacing w:after="75"/>
              <w:jc w:val="center"/>
            </w:pPr>
            <w:r w:rsidRPr="005B2F6F">
              <w:rPr>
                <w:rFonts w:ascii="Times New Roman" w:hAnsi="Times New Roman"/>
                <w:sz w:val="24"/>
              </w:rPr>
              <w:t>Д</w:t>
            </w:r>
            <w:r w:rsidRPr="005B2F6F">
              <w:rPr>
                <w:rFonts w:ascii="Times New Roman" w:hAnsi="Times New Roman"/>
                <w:vertAlign w:val="subscript"/>
              </w:rPr>
              <w:t>ТВЕ</w:t>
            </w:r>
            <w:r w:rsidRPr="005B2F6F">
              <w:rPr>
                <w:rFonts w:ascii="Times New Roman" w:hAnsi="Times New Roman"/>
                <w:sz w:val="24"/>
              </w:rPr>
              <w:t xml:space="preserve"> </w:t>
            </w:r>
            <w:proofErr w:type="spellStart"/>
            <w:r w:rsidRPr="005B2F6F">
              <w:rPr>
                <w:rFonts w:ascii="Times New Roman" w:hAnsi="Times New Roman"/>
                <w:vertAlign w:val="subscript"/>
              </w:rPr>
              <w:t>нф</w:t>
            </w:r>
            <w:proofErr w:type="spellEnd"/>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 О</w:t>
            </w:r>
            <w:r w:rsidRPr="005B2F6F">
              <w:rPr>
                <w:rFonts w:ascii="Times New Roman" w:hAnsi="Times New Roman"/>
                <w:vertAlign w:val="subscript"/>
              </w:rPr>
              <w:t>ТВЕ</w:t>
            </w:r>
            <w:r w:rsidRPr="005B2F6F">
              <w:rPr>
                <w:rFonts w:ascii="Times New Roman" w:hAnsi="Times New Roman"/>
                <w:sz w:val="24"/>
              </w:rPr>
              <w:t xml:space="preserve"> </w:t>
            </w:r>
            <w:proofErr w:type="spellStart"/>
            <w:r w:rsidRPr="005B2F6F">
              <w:rPr>
                <w:rFonts w:ascii="Times New Roman" w:hAnsi="Times New Roman"/>
                <w:vertAlign w:val="subscript"/>
              </w:rPr>
              <w:t>нф</w:t>
            </w:r>
            <w:proofErr w:type="spellEnd"/>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Ц</w:t>
            </w:r>
            <w:r w:rsidRPr="005B2F6F">
              <w:rPr>
                <w:rFonts w:ascii="Times New Roman" w:hAnsi="Times New Roman"/>
                <w:vertAlign w:val="subscript"/>
              </w:rPr>
              <w:t>ТВЕ</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w:t>
            </w:r>
          </w:p>
          <w:p w14:paraId="438619CE" w14:textId="77777777" w:rsidR="005B2F6F" w:rsidRPr="005B2F6F" w:rsidRDefault="005B2F6F" w:rsidP="005B2F6F">
            <w:pPr>
              <w:spacing w:after="75"/>
              <w:ind w:firstLine="240"/>
              <w:jc w:val="both"/>
            </w:pPr>
            <w:r w:rsidRPr="005B2F6F">
              <w:rPr>
                <w:rFonts w:ascii="Times New Roman" w:hAnsi="Times New Roman"/>
                <w:sz w:val="24"/>
              </w:rPr>
              <w:t>де Ц</w:t>
            </w:r>
            <w:r w:rsidRPr="005B2F6F">
              <w:rPr>
                <w:rFonts w:ascii="Times New Roman" w:hAnsi="Times New Roman"/>
                <w:vertAlign w:val="subscript"/>
              </w:rPr>
              <w:t>ТВЕ</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5B2F6F">
              <w:rPr>
                <w:rFonts w:ascii="Times New Roman" w:hAnsi="Times New Roman"/>
                <w:sz w:val="24"/>
              </w:rPr>
              <w:t>МВт·год</w:t>
            </w:r>
            <w:proofErr w:type="spellEnd"/>
            <w:r w:rsidRPr="005B2F6F">
              <w:rPr>
                <w:rFonts w:ascii="Times New Roman" w:hAnsi="Times New Roman"/>
                <w:sz w:val="24"/>
              </w:rPr>
              <w:t>, та розраховується за формулою</w:t>
            </w:r>
          </w:p>
          <w:p w14:paraId="0A98BDA5" w14:textId="77777777" w:rsidR="005B2F6F" w:rsidRPr="005B2F6F" w:rsidRDefault="005B2F6F" w:rsidP="005B2F6F">
            <w:pPr>
              <w:spacing w:after="75"/>
              <w:ind w:firstLine="240"/>
              <w:jc w:val="both"/>
            </w:pPr>
            <w:r w:rsidRPr="005B2F6F">
              <w:rPr>
                <w:rFonts w:ascii="Times New Roman" w:hAnsi="Times New Roman"/>
                <w:sz w:val="24"/>
              </w:rPr>
              <w:t>Ц</w:t>
            </w:r>
            <w:r w:rsidRPr="005B2F6F">
              <w:rPr>
                <w:rFonts w:ascii="Times New Roman" w:hAnsi="Times New Roman"/>
                <w:vertAlign w:val="subscript"/>
              </w:rPr>
              <w:t>ТВЕ</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w:t>
            </w:r>
            <w:r w:rsidRPr="005B2F6F">
              <w:rPr>
                <w:rFonts w:ascii="Times New Roman" w:hAnsi="Times New Roman"/>
                <w:vertAlign w:val="subscript"/>
              </w:rPr>
              <w:t>=</w:t>
            </w:r>
            <w:r w:rsidRPr="005B2F6F">
              <w:rPr>
                <w:rFonts w:ascii="Times New Roman" w:hAnsi="Times New Roman"/>
                <w:sz w:val="24"/>
              </w:rPr>
              <w:t xml:space="preserve"> Ц </w:t>
            </w:r>
            <w:r w:rsidRPr="005B2F6F">
              <w:rPr>
                <w:rFonts w:ascii="Times New Roman" w:hAnsi="Times New Roman"/>
                <w:vertAlign w:val="subscript"/>
              </w:rPr>
              <w:t>РДН</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(1 -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РДН</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(1 + К</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х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РДД</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х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w:t>
            </w:r>
          </w:p>
          <w:p w14:paraId="20B01333" w14:textId="77777777" w:rsidR="005B2F6F" w:rsidRPr="005B2F6F" w:rsidRDefault="005B2F6F" w:rsidP="005B2F6F">
            <w:pPr>
              <w:spacing w:after="75"/>
              <w:ind w:firstLine="240"/>
              <w:jc w:val="both"/>
            </w:pPr>
            <w:r w:rsidRPr="005B2F6F">
              <w:rPr>
                <w:rFonts w:ascii="Times New Roman" w:hAnsi="Times New Roman"/>
                <w:sz w:val="24"/>
              </w:rPr>
              <w:t>де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1DDD3E1B" w14:textId="77777777" w:rsidR="005B2F6F" w:rsidRPr="005B2F6F" w:rsidRDefault="005B2F6F" w:rsidP="005B2F6F">
            <w:pPr>
              <w:spacing w:after="75"/>
              <w:ind w:firstLine="240"/>
              <w:jc w:val="both"/>
            </w:pPr>
            <w:r w:rsidRPr="005B2F6F">
              <w:rPr>
                <w:rFonts w:ascii="Times New Roman" w:hAnsi="Times New Roman"/>
                <w:sz w:val="24"/>
              </w:rPr>
              <w:t>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4BA45C96" w14:textId="77777777" w:rsidR="005B2F6F" w:rsidRPr="005B2F6F" w:rsidRDefault="005B2F6F" w:rsidP="005B2F6F">
            <w:pPr>
              <w:spacing w:after="75"/>
              <w:ind w:firstLine="240"/>
              <w:jc w:val="both"/>
            </w:pPr>
            <w:r w:rsidRPr="005B2F6F">
              <w:rPr>
                <w:rFonts w:ascii="Times New Roman" w:hAnsi="Times New Roman"/>
                <w:sz w:val="24"/>
              </w:rPr>
              <w:t>К</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7B80CAF8" w14:textId="77777777" w:rsidR="005B2F6F" w:rsidRPr="005B2F6F" w:rsidRDefault="005B2F6F" w:rsidP="005B2F6F">
            <w:pPr>
              <w:spacing w:after="75"/>
              <w:ind w:firstLine="240"/>
              <w:jc w:val="both"/>
            </w:pPr>
            <w:r w:rsidRPr="005B2F6F">
              <w:rPr>
                <w:rFonts w:ascii="Times New Roman" w:hAnsi="Times New Roman"/>
                <w:sz w:val="24"/>
              </w:rPr>
              <w:lastRenderedPageBreak/>
              <w:t>Ц</w:t>
            </w:r>
            <w:r w:rsidRPr="005B2F6F">
              <w:rPr>
                <w:rFonts w:ascii="Times New Roman" w:hAnsi="Times New Roman"/>
                <w:vertAlign w:val="subscript"/>
              </w:rPr>
              <w:t>РДД</w:t>
            </w:r>
            <w:r w:rsidRPr="005B2F6F">
              <w:rPr>
                <w:rFonts w:ascii="Times New Roman" w:hAnsi="Times New Roman"/>
                <w:sz w:val="24"/>
              </w:rPr>
              <w:t xml:space="preserve"> </w:t>
            </w:r>
            <w:r w:rsidRPr="005B2F6F">
              <w:rPr>
                <w:rFonts w:ascii="Times New Roman" w:hAnsi="Times New Roman"/>
                <w:vertAlign w:val="subscript"/>
              </w:rPr>
              <w:t>ф</w:t>
            </w:r>
            <w:r w:rsidRPr="005B2F6F">
              <w:rPr>
                <w:rFonts w:ascii="Times New Roman" w:hAnsi="Times New Roman"/>
                <w:sz w:val="24"/>
              </w:rPr>
              <w:t xml:space="preserve"> </w:t>
            </w:r>
            <w:r w:rsidRPr="005B2F6F">
              <w:rPr>
                <w:rFonts w:ascii="Times New Roman" w:hAnsi="Times New Roman"/>
                <w:vertAlign w:val="subscript"/>
              </w:rPr>
              <w:t>i</w:t>
            </w:r>
            <w:r w:rsidRPr="005B2F6F">
              <w:rPr>
                <w:rFonts w:ascii="Times New Roman" w:hAnsi="Times New Roman"/>
                <w:sz w:val="24"/>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16F77C30" w14:textId="77777777" w:rsidR="005B2F6F" w:rsidRPr="005B2F6F" w:rsidRDefault="005B2F6F" w:rsidP="005B2F6F">
            <w:pPr>
              <w:spacing w:after="75"/>
              <w:ind w:firstLine="240"/>
              <w:jc w:val="both"/>
            </w:pPr>
            <w:r w:rsidRPr="005B2F6F">
              <w:rPr>
                <w:rFonts w:ascii="Times New Roman" w:hAnsi="Times New Roman"/>
                <w:sz w:val="24"/>
              </w:rPr>
              <w:t>Для цілей розрахунку складова (1 -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приймається рівною нулю у разі, якщо її значення менше нуля.</w:t>
            </w:r>
          </w:p>
          <w:p w14:paraId="2F640D16" w14:textId="77777777" w:rsidR="005B2F6F" w:rsidRPr="005B2F6F" w:rsidRDefault="005B2F6F" w:rsidP="005B2F6F">
            <w:pPr>
              <w:spacing w:after="75"/>
              <w:ind w:firstLine="240"/>
              <w:jc w:val="both"/>
            </w:pPr>
            <w:r w:rsidRPr="005B2F6F">
              <w:rPr>
                <w:rFonts w:ascii="Times New Roman" w:hAnsi="Times New Roman"/>
                <w:sz w:val="24"/>
              </w:rPr>
              <w:t xml:space="preserve">Починаючи з 2023 року Ц </w:t>
            </w:r>
            <w:r w:rsidRPr="005B2F6F">
              <w:rPr>
                <w:rFonts w:ascii="Times New Roman" w:hAnsi="Times New Roman"/>
                <w:vertAlign w:val="subscript"/>
              </w:rPr>
              <w:t>ТВЕ і</w:t>
            </w:r>
            <w:r w:rsidRPr="005B2F6F">
              <w:rPr>
                <w:rFonts w:ascii="Times New Roman" w:hAnsi="Times New Roman"/>
                <w:sz w:val="24"/>
              </w:rPr>
              <w:t xml:space="preserve"> визначається за формулою</w:t>
            </w:r>
          </w:p>
          <w:p w14:paraId="2C56E20E" w14:textId="77777777" w:rsidR="005B2F6F" w:rsidRPr="005B2F6F" w:rsidRDefault="005B2F6F" w:rsidP="005B2F6F">
            <w:pPr>
              <w:spacing w:after="75"/>
              <w:ind w:firstLine="240"/>
              <w:jc w:val="both"/>
            </w:pPr>
            <w:r w:rsidRPr="005B2F6F">
              <w:rPr>
                <w:rFonts w:ascii="Times New Roman" w:hAnsi="Times New Roman"/>
                <w:sz w:val="24"/>
              </w:rPr>
              <w:t xml:space="preserve">Ц </w:t>
            </w:r>
            <w:r w:rsidRPr="005B2F6F">
              <w:rPr>
                <w:rFonts w:ascii="Times New Roman" w:hAnsi="Times New Roman"/>
                <w:vertAlign w:val="subscript"/>
              </w:rPr>
              <w:t>ТВЕ і</w:t>
            </w:r>
            <w:r w:rsidRPr="005B2F6F">
              <w:rPr>
                <w:rFonts w:ascii="Times New Roman" w:hAnsi="Times New Roman"/>
                <w:sz w:val="24"/>
              </w:rPr>
              <w:t xml:space="preserve"> = Ц </w:t>
            </w:r>
            <w:r w:rsidRPr="005B2F6F">
              <w:rPr>
                <w:rFonts w:ascii="Times New Roman" w:hAnsi="Times New Roman"/>
                <w:vertAlign w:val="subscript"/>
              </w:rPr>
              <w:t>РДН ф і</w:t>
            </w:r>
            <w:r w:rsidRPr="005B2F6F">
              <w:rPr>
                <w:rFonts w:ascii="Times New Roman" w:hAnsi="Times New Roman"/>
                <w:sz w:val="24"/>
              </w:rPr>
              <w:t xml:space="preserve"> × (1 -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РДН ф і</w:t>
            </w:r>
            <w:r w:rsidRPr="005B2F6F">
              <w:rPr>
                <w:rFonts w:ascii="Times New Roman" w:hAnsi="Times New Roman"/>
                <w:sz w:val="24"/>
              </w:rPr>
              <w:t xml:space="preserve"> × (1 + К </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xml:space="preserve"> + Ц </w:t>
            </w:r>
            <w:r w:rsidRPr="005B2F6F">
              <w:rPr>
                <w:rFonts w:ascii="Times New Roman" w:hAnsi="Times New Roman"/>
                <w:vertAlign w:val="subscript"/>
              </w:rPr>
              <w:t>РДД ф і</w:t>
            </w:r>
            <w:r w:rsidRPr="005B2F6F">
              <w:rPr>
                <w:rFonts w:ascii="Times New Roman" w:hAnsi="Times New Roman"/>
                <w:sz w:val="24"/>
              </w:rPr>
              <w:t xml:space="preserve"> × К ×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w:t>
            </w:r>
          </w:p>
          <w:p w14:paraId="1C2AFD7E" w14:textId="77777777" w:rsidR="005B2F6F" w:rsidRPr="005B2F6F" w:rsidRDefault="005B2F6F" w:rsidP="005B2F6F">
            <w:pPr>
              <w:spacing w:after="75"/>
              <w:ind w:firstLine="240"/>
              <w:jc w:val="both"/>
            </w:pPr>
            <w:r w:rsidRPr="005B2F6F">
              <w:rPr>
                <w:rFonts w:ascii="Times New Roman" w:hAnsi="Times New Roman"/>
                <w:sz w:val="24"/>
              </w:rPr>
              <w:t>де К</w:t>
            </w:r>
            <w:r w:rsidRPr="005B2F6F">
              <w:rPr>
                <w:rFonts w:ascii="Times New Roman" w:hAnsi="Times New Roman"/>
                <w:vertAlign w:val="superscript"/>
              </w:rPr>
              <w:t>БР</w:t>
            </w:r>
            <w:r w:rsidRPr="005B2F6F">
              <w:rPr>
                <w:rFonts w:ascii="Times New Roman" w:hAnsi="Times New Roman"/>
                <w:vertAlign w:val="subscript"/>
              </w:rPr>
              <w:t>W</w:t>
            </w:r>
            <w:r w:rsidRPr="005B2F6F">
              <w:rPr>
                <w:rFonts w:ascii="Times New Roman" w:hAnsi="Times New Roman"/>
                <w:sz w:val="24"/>
              </w:rPr>
              <w:t>, К</w:t>
            </w:r>
            <w:r w:rsidRPr="005B2F6F">
              <w:rPr>
                <w:rFonts w:ascii="Times New Roman" w:hAnsi="Times New Roman"/>
                <w:vertAlign w:val="superscript"/>
              </w:rPr>
              <w:t>ДД</w:t>
            </w:r>
            <w:r w:rsidRPr="005B2F6F">
              <w:rPr>
                <w:rFonts w:ascii="Times New Roman" w:hAnsi="Times New Roman"/>
                <w:vertAlign w:val="subscript"/>
              </w:rPr>
              <w:t>W</w:t>
            </w:r>
            <w:r w:rsidRPr="005B2F6F">
              <w:rPr>
                <w:rFonts w:ascii="Times New Roman" w:hAnsi="Times New Roman"/>
                <w:sz w:val="24"/>
              </w:rPr>
              <w:t xml:space="preserve"> та К</w:t>
            </w:r>
            <w:r w:rsidRPr="005B2F6F">
              <w:rPr>
                <w:rFonts w:ascii="Times New Roman" w:hAnsi="Times New Roman"/>
                <w:vertAlign w:val="superscript"/>
              </w:rPr>
              <w:t>БР</w:t>
            </w:r>
            <w:r w:rsidRPr="005B2F6F">
              <w:rPr>
                <w:rFonts w:ascii="Times New Roman" w:hAnsi="Times New Roman"/>
                <w:vertAlign w:val="subscript"/>
              </w:rPr>
              <w:t>Ц</w:t>
            </w:r>
            <w:r w:rsidRPr="005B2F6F">
              <w:rPr>
                <w:rFonts w:ascii="Times New Roman" w:hAnsi="Times New Roman"/>
                <w:sz w:val="24"/>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384B8C69" w14:textId="76FD21FC" w:rsidR="005B2F6F" w:rsidRPr="005B2F6F" w:rsidRDefault="005B2F6F" w:rsidP="005B2F6F">
            <w:pPr>
              <w:spacing w:after="75"/>
              <w:ind w:firstLine="240"/>
              <w:jc w:val="both"/>
            </w:pPr>
            <w:r w:rsidRPr="005B2F6F">
              <w:rPr>
                <w:rFonts w:ascii="Times New Roman" w:hAnsi="Times New Roman"/>
                <w:sz w:val="24"/>
              </w:rPr>
              <w:t xml:space="preserve">Ц </w:t>
            </w:r>
            <w:r w:rsidRPr="005B2F6F">
              <w:rPr>
                <w:rFonts w:ascii="Times New Roman" w:hAnsi="Times New Roman"/>
                <w:vertAlign w:val="subscript"/>
              </w:rPr>
              <w:t>РДД ф і</w:t>
            </w:r>
            <w:r w:rsidRPr="005B2F6F">
              <w:rPr>
                <w:rFonts w:ascii="Times New Roman" w:hAnsi="Times New Roman"/>
                <w:sz w:val="24"/>
              </w:rPr>
              <w:t xml:space="preserve"> - місячний індекс базового навантаження на ринку двосторонніх договорів в і-му місяці звітного року, </w:t>
            </w:r>
            <w:r w:rsidR="00D945CE" w:rsidRPr="00D945CE">
              <w:rPr>
                <w:rFonts w:ascii="Times New Roman" w:hAnsi="Times New Roman"/>
                <w:b/>
                <w:sz w:val="24"/>
              </w:rPr>
              <w:t xml:space="preserve">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w:t>
            </w:r>
            <w:proofErr w:type="spellStart"/>
            <w:r w:rsidR="00D945CE" w:rsidRPr="00D945CE">
              <w:rPr>
                <w:rFonts w:ascii="Times New Roman" w:hAnsi="Times New Roman"/>
                <w:b/>
                <w:sz w:val="24"/>
              </w:rPr>
              <w:t>вебсайті</w:t>
            </w:r>
            <w:proofErr w:type="spellEnd"/>
            <w:r w:rsidR="00D945CE" w:rsidRPr="00D945CE">
              <w:rPr>
                <w:rFonts w:ascii="Times New Roman" w:hAnsi="Times New Roman"/>
                <w:b/>
                <w:sz w:val="24"/>
              </w:rPr>
              <w:t xml:space="preserve"> в мережі Інтернет, та декадних фактичних обсягів технологічних витрат електричної енергії на її розподіл в і-му місяці звітного року купівлі на РДД</w:t>
            </w:r>
            <w:r w:rsidRPr="005B2F6F">
              <w:rPr>
                <w:rFonts w:ascii="Times New Roman" w:hAnsi="Times New Roman"/>
                <w:sz w:val="24"/>
              </w:rPr>
              <w:t>, грн/</w:t>
            </w:r>
            <w:proofErr w:type="spellStart"/>
            <w:r w:rsidRPr="005B2F6F">
              <w:rPr>
                <w:rFonts w:ascii="Times New Roman" w:hAnsi="Times New Roman"/>
                <w:sz w:val="24"/>
              </w:rPr>
              <w:t>МВт·год</w:t>
            </w:r>
            <w:proofErr w:type="spellEnd"/>
            <w:r w:rsidRPr="005B2F6F">
              <w:rPr>
                <w:rFonts w:ascii="Times New Roman" w:hAnsi="Times New Roman"/>
                <w:sz w:val="24"/>
              </w:rPr>
              <w:t>;</w:t>
            </w:r>
          </w:p>
          <w:p w14:paraId="4556767B" w14:textId="77777777" w:rsidR="005B2F6F" w:rsidRPr="005B2F6F" w:rsidRDefault="005B2F6F" w:rsidP="005B2F6F">
            <w:pPr>
              <w:spacing w:after="75"/>
              <w:ind w:firstLine="240"/>
              <w:jc w:val="both"/>
            </w:pPr>
            <w:r w:rsidRPr="005B2F6F">
              <w:rPr>
                <w:rFonts w:ascii="Times New Roman" w:hAnsi="Times New Roman"/>
                <w:sz w:val="24"/>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210C1A76" w14:textId="77777777" w:rsidR="005B2F6F" w:rsidRPr="005B2F6F" w:rsidRDefault="005B2F6F" w:rsidP="005B2F6F">
            <w:pPr>
              <w:spacing w:after="75"/>
              <w:ind w:firstLine="240"/>
              <w:jc w:val="both"/>
            </w:pPr>
            <w:r w:rsidRPr="005B2F6F">
              <w:rPr>
                <w:rFonts w:ascii="Times New Roman" w:hAnsi="Times New Roman"/>
                <w:sz w:val="24"/>
              </w:rPr>
              <w:t xml:space="preserve">К= Ц </w:t>
            </w:r>
            <w:r w:rsidRPr="005B2F6F">
              <w:rPr>
                <w:rFonts w:ascii="Times New Roman" w:hAnsi="Times New Roman"/>
                <w:vertAlign w:val="subscript"/>
              </w:rPr>
              <w:t>РДН ф і</w:t>
            </w:r>
            <w:r w:rsidRPr="005B2F6F">
              <w:rPr>
                <w:rFonts w:ascii="Times New Roman" w:hAnsi="Times New Roman"/>
                <w:sz w:val="24"/>
              </w:rPr>
              <w:t xml:space="preserve"> / Ц </w:t>
            </w:r>
            <w:r w:rsidRPr="005B2F6F">
              <w:rPr>
                <w:rFonts w:ascii="Times New Roman" w:hAnsi="Times New Roman"/>
                <w:vertAlign w:val="subscript"/>
              </w:rPr>
              <w:t>база і</w:t>
            </w:r>
            <w:r w:rsidRPr="005B2F6F">
              <w:rPr>
                <w:rFonts w:ascii="Times New Roman" w:hAnsi="Times New Roman"/>
                <w:sz w:val="24"/>
              </w:rPr>
              <w:t>;</w:t>
            </w:r>
          </w:p>
          <w:p w14:paraId="685FE92C" w14:textId="2FBB3123" w:rsidR="005B2F6F" w:rsidRDefault="005B2F6F" w:rsidP="005B2F6F">
            <w:pPr>
              <w:spacing w:after="75"/>
              <w:ind w:firstLine="240"/>
              <w:jc w:val="both"/>
              <w:rPr>
                <w:rFonts w:ascii="Times New Roman" w:hAnsi="Times New Roman"/>
                <w:sz w:val="24"/>
              </w:rPr>
            </w:pPr>
            <w:r w:rsidRPr="005B2F6F">
              <w:rPr>
                <w:rFonts w:ascii="Times New Roman" w:hAnsi="Times New Roman"/>
                <w:sz w:val="24"/>
              </w:rPr>
              <w:t xml:space="preserve">де Ц </w:t>
            </w:r>
            <w:r w:rsidRPr="005B2F6F">
              <w:rPr>
                <w:rFonts w:ascii="Times New Roman" w:hAnsi="Times New Roman"/>
                <w:vertAlign w:val="subscript"/>
              </w:rPr>
              <w:t>база і</w:t>
            </w:r>
            <w:r w:rsidRPr="005B2F6F">
              <w:rPr>
                <w:rFonts w:ascii="Times New Roman" w:hAnsi="Times New Roman"/>
                <w:sz w:val="24"/>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5B2F6F">
              <w:rPr>
                <w:rFonts w:ascii="Times New Roman" w:hAnsi="Times New Roman"/>
                <w:sz w:val="24"/>
              </w:rPr>
              <w:t>вебсайті</w:t>
            </w:r>
            <w:proofErr w:type="spellEnd"/>
            <w:r w:rsidRPr="005B2F6F">
              <w:rPr>
                <w:rFonts w:ascii="Times New Roman" w:hAnsi="Times New Roman"/>
                <w:sz w:val="24"/>
              </w:rPr>
              <w:t xml:space="preserve"> в мережі Інтернет, грн/МВт.</w:t>
            </w:r>
          </w:p>
          <w:p w14:paraId="3B58E927" w14:textId="77777777" w:rsidR="00386ECF" w:rsidRPr="005B2F6F" w:rsidRDefault="00386ECF" w:rsidP="005B2F6F">
            <w:pPr>
              <w:spacing w:after="75"/>
              <w:ind w:firstLine="240"/>
              <w:jc w:val="both"/>
            </w:pPr>
          </w:p>
          <w:p w14:paraId="428121B0" w14:textId="77777777" w:rsidR="005B2F6F" w:rsidRPr="005B2F6F" w:rsidRDefault="005B2F6F" w:rsidP="005B2F6F">
            <w:pPr>
              <w:spacing w:after="75"/>
              <w:ind w:firstLine="240"/>
              <w:jc w:val="both"/>
            </w:pPr>
            <w:r w:rsidRPr="005B2F6F">
              <w:rPr>
                <w:rFonts w:ascii="Times New Roman" w:hAnsi="Times New Roman"/>
                <w:sz w:val="24"/>
              </w:rPr>
              <w:lastRenderedPageBreak/>
              <w:t xml:space="preserve">Д </w:t>
            </w:r>
            <w:r w:rsidRPr="005B2F6F">
              <w:rPr>
                <w:rFonts w:ascii="Times New Roman" w:hAnsi="Times New Roman"/>
                <w:vertAlign w:val="subscript"/>
              </w:rPr>
              <w:t>ТВЕ ф i</w:t>
            </w:r>
            <w:r w:rsidRPr="005B2F6F">
              <w:rPr>
                <w:rFonts w:ascii="Times New Roman" w:hAnsi="Times New Roman"/>
                <w:sz w:val="24"/>
              </w:rPr>
              <w:t xml:space="preserve"> розраховується за формулою</w:t>
            </w:r>
          </w:p>
          <w:p w14:paraId="15C56BE6" w14:textId="6EF63B92" w:rsidR="00D55D1A" w:rsidRDefault="005B2F6F" w:rsidP="005B2F6F">
            <w:pPr>
              <w:ind w:firstLine="308"/>
              <w:jc w:val="both"/>
              <w:rPr>
                <w:rFonts w:ascii="Times New Roman" w:hAnsi="Times New Roman" w:cs="Times New Roman"/>
                <w:shd w:val="clear" w:color="auto" w:fill="FFFFFF"/>
              </w:rPr>
            </w:pPr>
            <w:r w:rsidRPr="005B2F6F">
              <w:rPr>
                <w:rFonts w:ascii="Times New Roman" w:hAnsi="Times New Roman"/>
                <w:sz w:val="24"/>
              </w:rPr>
              <w:t xml:space="preserve">Д </w:t>
            </w:r>
            <w:r w:rsidRPr="005B2F6F">
              <w:rPr>
                <w:rFonts w:ascii="Times New Roman" w:hAnsi="Times New Roman"/>
                <w:vertAlign w:val="subscript"/>
              </w:rPr>
              <w:t>ТВЕ ф i</w:t>
            </w:r>
            <w:r w:rsidRPr="005B2F6F">
              <w:rPr>
                <w:rFonts w:ascii="Times New Roman" w:hAnsi="Times New Roman"/>
                <w:sz w:val="24"/>
              </w:rPr>
              <w:t xml:space="preserve"> = О </w:t>
            </w:r>
            <w:r w:rsidRPr="005B2F6F">
              <w:rPr>
                <w:rFonts w:ascii="Times New Roman" w:hAnsi="Times New Roman"/>
                <w:vertAlign w:val="subscript"/>
              </w:rPr>
              <w:t>ТВЕ ф i</w:t>
            </w:r>
            <w:r w:rsidRPr="005B2F6F">
              <w:rPr>
                <w:rFonts w:ascii="Times New Roman" w:hAnsi="Times New Roman"/>
                <w:sz w:val="24"/>
              </w:rPr>
              <w:t xml:space="preserve"> х Ц</w:t>
            </w:r>
            <w:r w:rsidRPr="005B2F6F">
              <w:rPr>
                <w:rFonts w:ascii="Times New Roman" w:hAnsi="Times New Roman"/>
                <w:vertAlign w:val="subscript"/>
              </w:rPr>
              <w:t>ТВЕ i</w:t>
            </w:r>
          </w:p>
          <w:p w14:paraId="174F94CE" w14:textId="77777777" w:rsidR="00D945CE" w:rsidRPr="00D945CE" w:rsidRDefault="00D945CE" w:rsidP="00D945CE">
            <w:pPr>
              <w:ind w:firstLine="308"/>
              <w:jc w:val="both"/>
              <w:rPr>
                <w:rFonts w:ascii="Times New Roman" w:hAnsi="Times New Roman" w:cs="Times New Roman"/>
                <w:shd w:val="clear" w:color="auto" w:fill="FFFFFF"/>
              </w:rPr>
            </w:pPr>
          </w:p>
          <w:p w14:paraId="630C569C" w14:textId="77777777" w:rsidR="00D945CE" w:rsidRP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&lt;…&gt;</w:t>
            </w:r>
          </w:p>
          <w:p w14:paraId="6B638C37" w14:textId="77777777" w:rsidR="00D945CE" w:rsidRDefault="00D945CE" w:rsidP="00D945CE">
            <w:pPr>
              <w:ind w:firstLine="308"/>
              <w:jc w:val="both"/>
              <w:rPr>
                <w:rFonts w:ascii="Times New Roman" w:hAnsi="Times New Roman" w:cs="Times New Roman"/>
                <w:shd w:val="clear" w:color="auto" w:fill="FFFFFF"/>
              </w:rPr>
            </w:pPr>
          </w:p>
          <w:p w14:paraId="6507093F" w14:textId="73758887" w:rsidR="00D945CE" w:rsidRP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b/>
                <w:shd w:val="clear" w:color="auto" w:fill="FFFFFF"/>
                <w:lang w:val="en-US"/>
              </w:rPr>
              <w:t>32</w:t>
            </w:r>
            <w:r w:rsidRPr="00D945CE">
              <w:rPr>
                <w:rFonts w:ascii="Times New Roman" w:hAnsi="Times New Roman" w:cs="Times New Roman"/>
                <w:b/>
                <w:shd w:val="clear" w:color="auto" w:fill="FFFFFF"/>
              </w:rPr>
              <w:t>)</w:t>
            </w:r>
            <w:r w:rsidRPr="00D945CE">
              <w:rPr>
                <w:rFonts w:ascii="Times New Roman" w:hAnsi="Times New Roman" w:cs="Times New Roman"/>
                <w:shd w:val="clear" w:color="auto" w:fill="FFFFFF"/>
              </w:rPr>
              <w:t xml:space="preserve"> фактичні витрати, понесені ліцензіатом у звітному році відповідно до постанов НКРЕКП:</w:t>
            </w:r>
          </w:p>
          <w:p w14:paraId="59FAAC0C" w14:textId="77777777" w:rsidR="00D945CE" w:rsidRP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від 17 березня 2022 року N 345 "Щодо врахування при проведенні перевірок сум видатків ліцензіатів НКРЕКП, здійснених під час запровадження воєнного стану в Україні" (далі - постанова N 345);</w:t>
            </w:r>
          </w:p>
          <w:p w14:paraId="00A7335C" w14:textId="77777777" w:rsidR="00D945CE" w:rsidRDefault="00D945CE" w:rsidP="00D945CE">
            <w:pPr>
              <w:ind w:firstLine="308"/>
              <w:jc w:val="both"/>
              <w:rPr>
                <w:rFonts w:ascii="Times New Roman" w:hAnsi="Times New Roman" w:cs="Times New Roman"/>
                <w:shd w:val="clear" w:color="auto" w:fill="FFFFFF"/>
              </w:rPr>
            </w:pPr>
            <w:r w:rsidRPr="00D945CE">
              <w:rPr>
                <w:rFonts w:ascii="Times New Roman" w:hAnsi="Times New Roman" w:cs="Times New Roman"/>
                <w:shd w:val="clear" w:color="auto" w:fill="FFFFFF"/>
              </w:rPr>
              <w:t>від 20 квітня 2022 року N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постанова N 386)</w:t>
            </w:r>
          </w:p>
          <w:p w14:paraId="3F572D5A" w14:textId="3554A9C2" w:rsidR="00D55D1A" w:rsidRPr="000B295D" w:rsidRDefault="00D945CE" w:rsidP="001E1705">
            <w:pPr>
              <w:ind w:firstLine="308"/>
              <w:jc w:val="both"/>
              <w:rPr>
                <w:rFonts w:ascii="Times New Roman" w:hAnsi="Times New Roman" w:cs="Times New Roman"/>
                <w:shd w:val="clear" w:color="auto" w:fill="FFFFFF"/>
              </w:rPr>
            </w:pPr>
            <w:r w:rsidRPr="00D945CE">
              <w:rPr>
                <w:rFonts w:ascii="Times New Roman" w:hAnsi="Times New Roman" w:cs="Times New Roman"/>
                <w:b/>
                <w:shd w:val="clear" w:color="auto" w:fill="FFFFFF"/>
              </w:rPr>
              <w:t>до фактичних витрат, понесених ліцензіатом у звітному році відповідно до постанови № 345, не враховуються витрати, що понесені відповідно до постанови № 386 та визнані обґрунтованими;</w:t>
            </w:r>
          </w:p>
        </w:tc>
      </w:tr>
      <w:tr w:rsidR="004756A2" w:rsidRPr="00EC3012" w14:paraId="09E85077" w14:textId="77777777" w:rsidTr="002A4A73">
        <w:trPr>
          <w:trHeight w:val="610"/>
        </w:trPr>
        <w:tc>
          <w:tcPr>
            <w:tcW w:w="7724" w:type="dxa"/>
          </w:tcPr>
          <w:p w14:paraId="303E7D65" w14:textId="2F9DC898" w:rsidR="004756A2" w:rsidRPr="00492E3F" w:rsidRDefault="004756A2" w:rsidP="002A4A73">
            <w:pPr>
              <w:ind w:firstLine="308"/>
              <w:jc w:val="both"/>
              <w:rPr>
                <w:rFonts w:ascii="Times New Roman" w:hAnsi="Times New Roman" w:cs="Times New Roman"/>
                <w:shd w:val="clear" w:color="auto" w:fill="FFFFFF"/>
              </w:rPr>
            </w:pPr>
            <w:r w:rsidRPr="00492E3F">
              <w:rPr>
                <w:rFonts w:ascii="Times New Roman" w:hAnsi="Times New Roman" w:cs="Times New Roman"/>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05AD79B" w14:textId="08206F8A" w:rsidR="004756A2" w:rsidRPr="00492E3F" w:rsidRDefault="004756A2" w:rsidP="002A4A73">
            <w:pPr>
              <w:ind w:firstLine="308"/>
              <w:jc w:val="both"/>
              <w:rPr>
                <w:rFonts w:ascii="Times New Roman" w:hAnsi="Times New Roman" w:cs="Times New Roman"/>
                <w:shd w:val="clear" w:color="auto" w:fill="FFFFFF"/>
              </w:rPr>
            </w:pPr>
            <w:r w:rsidRPr="00492E3F">
              <w:rPr>
                <w:rFonts w:ascii="Times New Roman" w:hAnsi="Times New Roman" w:cs="Times New Roman"/>
                <w:shd w:val="clear" w:color="auto" w:fill="FFFFFF"/>
              </w:rPr>
              <w:t xml:space="preserve">1) </w:t>
            </w:r>
            <w:r w:rsidR="002A4A73" w:rsidRPr="00492E3F">
              <w:rPr>
                <w:rFonts w:ascii="Times New Roman" w:hAnsi="Times New Roman" w:cs="Times New Roman"/>
                <w:shd w:val="clear" w:color="auto" w:fill="FFFFFF"/>
              </w:rPr>
              <w:t>сума невиконання інвестиційної програми на звітний рік. Сума невиконання інвестиційної програми на звітний рік за результатами діяльності 2022 - 2024 років визначається з урахуванням постанови N 406</w:t>
            </w:r>
            <w:r w:rsidRPr="00492E3F">
              <w:rPr>
                <w:rFonts w:ascii="Times New Roman" w:hAnsi="Times New Roman" w:cs="Times New Roman"/>
                <w:shd w:val="clear" w:color="auto" w:fill="FFFFFF"/>
              </w:rPr>
              <w:t>;</w:t>
            </w:r>
          </w:p>
          <w:p w14:paraId="47FBF779" w14:textId="62492310" w:rsidR="004756A2" w:rsidRPr="00492E3F" w:rsidRDefault="00492E3F" w:rsidP="002A4A73">
            <w:pPr>
              <w:ind w:firstLine="308"/>
              <w:jc w:val="both"/>
              <w:rPr>
                <w:rFonts w:ascii="Times New Roman" w:hAnsi="Times New Roman" w:cs="Times New Roman"/>
                <w:shd w:val="clear" w:color="auto" w:fill="FFFFFF"/>
              </w:rPr>
            </w:pPr>
            <w:r w:rsidRPr="00492E3F">
              <w:rPr>
                <w:rFonts w:ascii="Times New Roman" w:hAnsi="Times New Roman" w:cs="Times New Roman"/>
                <w:shd w:val="clear" w:color="auto" w:fill="FFFFFF"/>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2AD312E7" w14:textId="7E88E595" w:rsidR="00492E3F" w:rsidRPr="00492E3F" w:rsidRDefault="00492E3F" w:rsidP="002A4A73">
            <w:pPr>
              <w:ind w:firstLine="308"/>
              <w:jc w:val="both"/>
              <w:rPr>
                <w:rFonts w:ascii="Times New Roman" w:hAnsi="Times New Roman" w:cs="Times New Roman"/>
                <w:shd w:val="clear" w:color="auto" w:fill="FFFFFF"/>
              </w:rPr>
            </w:pPr>
          </w:p>
          <w:p w14:paraId="64DC71C6" w14:textId="7805A174" w:rsidR="00492E3F" w:rsidRPr="00492E3F" w:rsidRDefault="00492E3F" w:rsidP="002A4A73">
            <w:pPr>
              <w:ind w:firstLine="308"/>
              <w:jc w:val="both"/>
              <w:rPr>
                <w:rFonts w:ascii="Times New Roman" w:hAnsi="Times New Roman" w:cs="Times New Roman"/>
                <w:shd w:val="clear" w:color="auto" w:fill="FFFFFF"/>
              </w:rPr>
            </w:pPr>
          </w:p>
          <w:p w14:paraId="0B0FC7E5" w14:textId="77744D44" w:rsidR="00492E3F" w:rsidRPr="00492E3F" w:rsidRDefault="00492E3F" w:rsidP="002A4A73">
            <w:pPr>
              <w:ind w:firstLine="308"/>
              <w:jc w:val="both"/>
              <w:rPr>
                <w:rFonts w:ascii="Times New Roman" w:hAnsi="Times New Roman" w:cs="Times New Roman"/>
                <w:shd w:val="clear" w:color="auto" w:fill="FFFFFF"/>
              </w:rPr>
            </w:pPr>
          </w:p>
          <w:p w14:paraId="43C528EE" w14:textId="7DC01CC8" w:rsidR="00492E3F" w:rsidRPr="00492E3F" w:rsidRDefault="00492E3F" w:rsidP="002A4A73">
            <w:pPr>
              <w:ind w:firstLine="308"/>
              <w:jc w:val="both"/>
              <w:rPr>
                <w:rFonts w:ascii="Times New Roman" w:hAnsi="Times New Roman" w:cs="Times New Roman"/>
                <w:shd w:val="clear" w:color="auto" w:fill="FFFFFF"/>
              </w:rPr>
            </w:pPr>
          </w:p>
          <w:p w14:paraId="4E1D1B31" w14:textId="4DA90E6D" w:rsidR="00492E3F" w:rsidRPr="00492E3F" w:rsidRDefault="00492E3F" w:rsidP="002A4A73">
            <w:pPr>
              <w:ind w:firstLine="308"/>
              <w:jc w:val="both"/>
              <w:rPr>
                <w:rFonts w:ascii="Times New Roman" w:hAnsi="Times New Roman" w:cs="Times New Roman"/>
                <w:shd w:val="clear" w:color="auto" w:fill="FFFFFF"/>
              </w:rPr>
            </w:pPr>
          </w:p>
          <w:p w14:paraId="699B4D74" w14:textId="05F73D86" w:rsidR="00492E3F" w:rsidRPr="00492E3F" w:rsidRDefault="00492E3F" w:rsidP="002A4A73">
            <w:pPr>
              <w:ind w:firstLine="308"/>
              <w:jc w:val="both"/>
              <w:rPr>
                <w:rFonts w:ascii="Times New Roman" w:hAnsi="Times New Roman" w:cs="Times New Roman"/>
                <w:shd w:val="clear" w:color="auto" w:fill="FFFFFF"/>
              </w:rPr>
            </w:pPr>
          </w:p>
          <w:p w14:paraId="7900041C" w14:textId="10AA9C7D" w:rsidR="00492E3F" w:rsidRPr="00492E3F" w:rsidRDefault="00492E3F" w:rsidP="002A4A73">
            <w:pPr>
              <w:ind w:firstLine="308"/>
              <w:jc w:val="both"/>
              <w:rPr>
                <w:rFonts w:ascii="Times New Roman" w:hAnsi="Times New Roman" w:cs="Times New Roman"/>
                <w:shd w:val="clear" w:color="auto" w:fill="FFFFFF"/>
              </w:rPr>
            </w:pPr>
          </w:p>
          <w:p w14:paraId="7C4213B0" w14:textId="0DFA548E" w:rsidR="00492E3F" w:rsidRPr="00492E3F" w:rsidRDefault="00492E3F" w:rsidP="002A4A73">
            <w:pPr>
              <w:ind w:firstLine="308"/>
              <w:jc w:val="both"/>
              <w:rPr>
                <w:rFonts w:ascii="Times New Roman" w:hAnsi="Times New Roman" w:cs="Times New Roman"/>
                <w:shd w:val="clear" w:color="auto" w:fill="FFFFFF"/>
              </w:rPr>
            </w:pPr>
          </w:p>
          <w:p w14:paraId="578A8AC0" w14:textId="78F9C64E" w:rsidR="00492E3F" w:rsidRPr="00492E3F" w:rsidRDefault="00492E3F" w:rsidP="002A4A73">
            <w:pPr>
              <w:ind w:firstLine="308"/>
              <w:jc w:val="both"/>
              <w:rPr>
                <w:rFonts w:ascii="Times New Roman" w:hAnsi="Times New Roman" w:cs="Times New Roman"/>
                <w:shd w:val="clear" w:color="auto" w:fill="FFFFFF"/>
              </w:rPr>
            </w:pPr>
          </w:p>
          <w:p w14:paraId="2139A762" w14:textId="3BD7169F" w:rsidR="00492E3F" w:rsidRPr="00492E3F" w:rsidRDefault="00492E3F" w:rsidP="002A4A73">
            <w:pPr>
              <w:ind w:firstLine="308"/>
              <w:jc w:val="both"/>
              <w:rPr>
                <w:rFonts w:ascii="Times New Roman" w:hAnsi="Times New Roman" w:cs="Times New Roman"/>
                <w:shd w:val="clear" w:color="auto" w:fill="FFFFFF"/>
              </w:rPr>
            </w:pPr>
          </w:p>
          <w:p w14:paraId="458B9832" w14:textId="175A861E" w:rsidR="00492E3F" w:rsidRPr="00492E3F" w:rsidRDefault="00492E3F" w:rsidP="002A4A73">
            <w:pPr>
              <w:ind w:firstLine="308"/>
              <w:jc w:val="both"/>
              <w:rPr>
                <w:rFonts w:ascii="Times New Roman" w:hAnsi="Times New Roman" w:cs="Times New Roman"/>
                <w:shd w:val="clear" w:color="auto" w:fill="FFFFFF"/>
              </w:rPr>
            </w:pPr>
          </w:p>
          <w:p w14:paraId="06D7D91C" w14:textId="21B0C118" w:rsidR="00492E3F" w:rsidRPr="00492E3F" w:rsidRDefault="00492E3F" w:rsidP="002A4A73">
            <w:pPr>
              <w:ind w:firstLine="308"/>
              <w:jc w:val="both"/>
              <w:rPr>
                <w:rFonts w:ascii="Times New Roman" w:hAnsi="Times New Roman" w:cs="Times New Roman"/>
                <w:shd w:val="clear" w:color="auto" w:fill="FFFFFF"/>
              </w:rPr>
            </w:pPr>
          </w:p>
          <w:p w14:paraId="14EC78DC" w14:textId="4EE539CE" w:rsidR="00492E3F" w:rsidRPr="00492E3F" w:rsidRDefault="00492E3F" w:rsidP="002A4A73">
            <w:pPr>
              <w:ind w:firstLine="308"/>
              <w:jc w:val="both"/>
              <w:rPr>
                <w:rFonts w:ascii="Times New Roman" w:hAnsi="Times New Roman" w:cs="Times New Roman"/>
                <w:shd w:val="clear" w:color="auto" w:fill="FFFFFF"/>
              </w:rPr>
            </w:pPr>
          </w:p>
          <w:p w14:paraId="4AE78248" w14:textId="2E7DD3F5" w:rsidR="00492E3F" w:rsidRPr="00492E3F" w:rsidRDefault="00492E3F" w:rsidP="002A4A73">
            <w:pPr>
              <w:ind w:firstLine="308"/>
              <w:jc w:val="both"/>
              <w:rPr>
                <w:rFonts w:ascii="Times New Roman" w:hAnsi="Times New Roman" w:cs="Times New Roman"/>
                <w:shd w:val="clear" w:color="auto" w:fill="FFFFFF"/>
              </w:rPr>
            </w:pPr>
          </w:p>
          <w:p w14:paraId="2C3922A4" w14:textId="26F2AFBE" w:rsidR="00492E3F" w:rsidRPr="00492E3F" w:rsidRDefault="00492E3F" w:rsidP="002A4A73">
            <w:pPr>
              <w:ind w:firstLine="308"/>
              <w:jc w:val="both"/>
              <w:rPr>
                <w:rFonts w:ascii="Times New Roman" w:hAnsi="Times New Roman" w:cs="Times New Roman"/>
                <w:shd w:val="clear" w:color="auto" w:fill="FFFFFF"/>
              </w:rPr>
            </w:pPr>
          </w:p>
          <w:p w14:paraId="474CCE69" w14:textId="6897696F" w:rsidR="00492E3F" w:rsidRPr="00492E3F" w:rsidRDefault="00492E3F" w:rsidP="002A4A73">
            <w:pPr>
              <w:ind w:firstLine="308"/>
              <w:jc w:val="both"/>
              <w:rPr>
                <w:rFonts w:ascii="Times New Roman" w:hAnsi="Times New Roman" w:cs="Times New Roman"/>
                <w:shd w:val="clear" w:color="auto" w:fill="FFFFFF"/>
              </w:rPr>
            </w:pPr>
          </w:p>
          <w:p w14:paraId="13B4B89E" w14:textId="171B5174" w:rsidR="00492E3F" w:rsidRPr="00492E3F" w:rsidRDefault="00492E3F" w:rsidP="002A4A73">
            <w:pPr>
              <w:ind w:firstLine="308"/>
              <w:jc w:val="both"/>
              <w:rPr>
                <w:rFonts w:ascii="Times New Roman" w:hAnsi="Times New Roman" w:cs="Times New Roman"/>
                <w:shd w:val="clear" w:color="auto" w:fill="FFFFFF"/>
              </w:rPr>
            </w:pPr>
          </w:p>
          <w:p w14:paraId="0E1090A2" w14:textId="2C8940E3" w:rsidR="00492E3F" w:rsidRPr="00492E3F" w:rsidRDefault="00492E3F" w:rsidP="002A4A73">
            <w:pPr>
              <w:ind w:firstLine="308"/>
              <w:jc w:val="both"/>
              <w:rPr>
                <w:rFonts w:ascii="Times New Roman" w:hAnsi="Times New Roman" w:cs="Times New Roman"/>
                <w:shd w:val="clear" w:color="auto" w:fill="FFFFFF"/>
              </w:rPr>
            </w:pPr>
          </w:p>
          <w:p w14:paraId="288B1A7C" w14:textId="7B83CE9A" w:rsidR="00492E3F" w:rsidRPr="00492E3F" w:rsidRDefault="00492E3F" w:rsidP="002A4A73">
            <w:pPr>
              <w:ind w:firstLine="308"/>
              <w:jc w:val="both"/>
              <w:rPr>
                <w:rFonts w:ascii="Times New Roman" w:hAnsi="Times New Roman" w:cs="Times New Roman"/>
                <w:shd w:val="clear" w:color="auto" w:fill="FFFFFF"/>
              </w:rPr>
            </w:pPr>
          </w:p>
          <w:p w14:paraId="0A99D5B2" w14:textId="4AA7C8EF" w:rsidR="00492E3F" w:rsidRPr="00492E3F" w:rsidRDefault="00492E3F" w:rsidP="002A4A73">
            <w:pPr>
              <w:ind w:firstLine="308"/>
              <w:jc w:val="both"/>
              <w:rPr>
                <w:rFonts w:ascii="Times New Roman" w:hAnsi="Times New Roman" w:cs="Times New Roman"/>
                <w:shd w:val="clear" w:color="auto" w:fill="FFFFFF"/>
              </w:rPr>
            </w:pPr>
          </w:p>
          <w:p w14:paraId="21D4464D" w14:textId="6799CAC4" w:rsidR="00492E3F" w:rsidRPr="00492E3F" w:rsidRDefault="00492E3F" w:rsidP="002A4A73">
            <w:pPr>
              <w:ind w:firstLine="308"/>
              <w:jc w:val="both"/>
              <w:rPr>
                <w:rFonts w:ascii="Times New Roman" w:hAnsi="Times New Roman" w:cs="Times New Roman"/>
                <w:shd w:val="clear" w:color="auto" w:fill="FFFFFF"/>
              </w:rPr>
            </w:pPr>
          </w:p>
          <w:p w14:paraId="1204B665" w14:textId="59D5F776" w:rsidR="00492E3F" w:rsidRPr="00492E3F" w:rsidRDefault="00492E3F" w:rsidP="002A4A73">
            <w:pPr>
              <w:ind w:firstLine="308"/>
              <w:jc w:val="both"/>
              <w:rPr>
                <w:rFonts w:ascii="Times New Roman" w:hAnsi="Times New Roman" w:cs="Times New Roman"/>
                <w:shd w:val="clear" w:color="auto" w:fill="FFFFFF"/>
              </w:rPr>
            </w:pPr>
          </w:p>
          <w:p w14:paraId="0083619B" w14:textId="4B4434D3" w:rsidR="00492E3F" w:rsidRPr="00492E3F" w:rsidRDefault="00492E3F" w:rsidP="002A4A73">
            <w:pPr>
              <w:ind w:firstLine="308"/>
              <w:jc w:val="both"/>
              <w:rPr>
                <w:rFonts w:ascii="Times New Roman" w:hAnsi="Times New Roman" w:cs="Times New Roman"/>
                <w:shd w:val="clear" w:color="auto" w:fill="FFFFFF"/>
              </w:rPr>
            </w:pPr>
          </w:p>
          <w:p w14:paraId="12AB615E" w14:textId="53C30281" w:rsidR="00492E3F" w:rsidRPr="00492E3F" w:rsidRDefault="00492E3F" w:rsidP="002A4A73">
            <w:pPr>
              <w:ind w:firstLine="308"/>
              <w:jc w:val="both"/>
              <w:rPr>
                <w:rFonts w:ascii="Times New Roman" w:hAnsi="Times New Roman" w:cs="Times New Roman"/>
                <w:shd w:val="clear" w:color="auto" w:fill="FFFFFF"/>
              </w:rPr>
            </w:pPr>
          </w:p>
          <w:p w14:paraId="7B43E0E8" w14:textId="3260ED5A" w:rsidR="00492E3F" w:rsidRPr="00492E3F" w:rsidRDefault="00492E3F" w:rsidP="002A4A73">
            <w:pPr>
              <w:ind w:firstLine="308"/>
              <w:jc w:val="both"/>
              <w:rPr>
                <w:rFonts w:ascii="Times New Roman" w:hAnsi="Times New Roman" w:cs="Times New Roman"/>
                <w:shd w:val="clear" w:color="auto" w:fill="FFFFFF"/>
              </w:rPr>
            </w:pPr>
          </w:p>
          <w:p w14:paraId="4B7E65DE" w14:textId="77777777" w:rsidR="00492E3F" w:rsidRPr="00492E3F" w:rsidRDefault="00492E3F" w:rsidP="002A4A73">
            <w:pPr>
              <w:ind w:firstLine="308"/>
              <w:jc w:val="both"/>
              <w:rPr>
                <w:rFonts w:ascii="Times New Roman" w:hAnsi="Times New Roman" w:cs="Times New Roman"/>
                <w:shd w:val="clear" w:color="auto" w:fill="FFFFFF"/>
              </w:rPr>
            </w:pPr>
          </w:p>
          <w:p w14:paraId="16A421BA" w14:textId="77777777" w:rsidR="00492E3F" w:rsidRPr="00492E3F" w:rsidRDefault="00492E3F" w:rsidP="002A4A73">
            <w:pPr>
              <w:ind w:firstLine="308"/>
              <w:jc w:val="both"/>
              <w:rPr>
                <w:rFonts w:ascii="Times New Roman" w:hAnsi="Times New Roman" w:cs="Times New Roman"/>
                <w:shd w:val="clear" w:color="auto" w:fill="FFFFFF"/>
              </w:rPr>
            </w:pPr>
          </w:p>
          <w:p w14:paraId="180E372B" w14:textId="77777777" w:rsidR="004756A2" w:rsidRPr="00492E3F" w:rsidRDefault="004756A2" w:rsidP="002A4A73">
            <w:pPr>
              <w:ind w:firstLine="308"/>
              <w:jc w:val="both"/>
              <w:rPr>
                <w:rFonts w:ascii="Times New Roman" w:hAnsi="Times New Roman" w:cs="Times New Roman"/>
                <w:shd w:val="clear" w:color="auto" w:fill="FFFFFF"/>
              </w:rPr>
            </w:pPr>
            <w:r w:rsidRPr="00492E3F">
              <w:rPr>
                <w:rFonts w:ascii="Times New Roman" w:hAnsi="Times New Roman" w:cs="Times New Roman"/>
                <w:shd w:val="clear" w:color="auto" w:fill="FFFFFF"/>
              </w:rPr>
              <w:t>&lt;…&gt;</w:t>
            </w:r>
          </w:p>
          <w:p w14:paraId="5B04B049" w14:textId="77777777" w:rsidR="004756A2" w:rsidRPr="00492E3F" w:rsidRDefault="004756A2" w:rsidP="002A4A73">
            <w:pPr>
              <w:ind w:firstLine="308"/>
              <w:jc w:val="both"/>
              <w:rPr>
                <w:rFonts w:ascii="Times New Roman" w:hAnsi="Times New Roman" w:cs="Times New Roman"/>
                <w:shd w:val="clear" w:color="auto" w:fill="FFFFFF"/>
              </w:rPr>
            </w:pPr>
          </w:p>
          <w:p w14:paraId="61025EA2" w14:textId="77777777" w:rsidR="00492E3F" w:rsidRPr="00492E3F" w:rsidRDefault="00492E3F" w:rsidP="00492E3F">
            <w:pPr>
              <w:spacing w:after="75"/>
              <w:ind w:firstLine="240"/>
              <w:jc w:val="both"/>
            </w:pPr>
            <w:bookmarkStart w:id="53" w:name="14505"/>
            <w:r w:rsidRPr="00492E3F">
              <w:rPr>
                <w:rFonts w:ascii="Times New Roman" w:hAnsi="Times New Roman"/>
                <w:sz w:val="24"/>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492E3F">
              <w:rPr>
                <w:rFonts w:ascii="Symbol" w:hAnsi="Symbol"/>
                <w:sz w:val="24"/>
              </w:rPr>
              <w:t></w:t>
            </w:r>
            <w:proofErr w:type="spellStart"/>
            <w:r w:rsidRPr="00492E3F">
              <w:rPr>
                <w:rFonts w:ascii="Times New Roman" w:hAnsi="Times New Roman"/>
                <w:sz w:val="24"/>
              </w:rPr>
              <w:t>Д</w:t>
            </w:r>
            <w:r w:rsidRPr="00492E3F">
              <w:rPr>
                <w:rFonts w:ascii="Times New Roman" w:hAnsi="Times New Roman"/>
                <w:vertAlign w:val="superscript"/>
              </w:rPr>
              <w:t>н</w:t>
            </w:r>
            <w:r w:rsidRPr="00492E3F">
              <w:rPr>
                <w:rFonts w:ascii="Times New Roman" w:hAnsi="Times New Roman"/>
                <w:vertAlign w:val="subscript"/>
              </w:rPr>
              <w:t>ТВЕ</w:t>
            </w:r>
            <w:proofErr w:type="spellEnd"/>
            <w:r w:rsidRPr="00492E3F">
              <w:rPr>
                <w:rFonts w:ascii="Times New Roman" w:hAnsi="Times New Roman"/>
                <w:sz w:val="24"/>
              </w:rPr>
              <w:t>), тис. грн, що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3291"/>
              <w:gridCol w:w="1771"/>
            </w:tblGrid>
            <w:tr w:rsidR="00492E3F" w:rsidRPr="00492E3F" w14:paraId="6D62DC94" w14:textId="77777777" w:rsidTr="00492E3F">
              <w:trPr>
                <w:trHeight w:val="24"/>
                <w:tblCellSpacing w:w="0" w:type="auto"/>
              </w:trPr>
              <w:tc>
                <w:tcPr>
                  <w:tcW w:w="3291" w:type="dxa"/>
                  <w:vAlign w:val="center"/>
                </w:tcPr>
                <w:p w14:paraId="32F5499D" w14:textId="77777777" w:rsidR="00492E3F" w:rsidRPr="00492E3F" w:rsidRDefault="00492E3F" w:rsidP="00492E3F">
                  <w:pPr>
                    <w:spacing w:after="75"/>
                  </w:pPr>
                  <w:bookmarkStart w:id="54" w:name="14506"/>
                  <w:bookmarkEnd w:id="53"/>
                  <w:r w:rsidRPr="00492E3F">
                    <w:rPr>
                      <w:noProof/>
                    </w:rPr>
                    <w:drawing>
                      <wp:inline distT="0" distB="0" distL="0" distR="0" wp14:anchorId="26ACA5FD" wp14:editId="197DC34D">
                        <wp:extent cx="1914525" cy="482722"/>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8054" cy="488654"/>
                                </a:xfrm>
                                <a:prstGeom prst="rect">
                                  <a:avLst/>
                                </a:prstGeom>
                              </pic:spPr>
                            </pic:pic>
                          </a:graphicData>
                        </a:graphic>
                      </wp:inline>
                    </w:drawing>
                  </w:r>
                </w:p>
              </w:tc>
              <w:tc>
                <w:tcPr>
                  <w:tcW w:w="1771" w:type="dxa"/>
                  <w:vAlign w:val="center"/>
                </w:tcPr>
                <w:p w14:paraId="0715E0EF" w14:textId="77777777" w:rsidR="00492E3F" w:rsidRPr="00492E3F" w:rsidRDefault="00492E3F" w:rsidP="00492E3F">
                  <w:pPr>
                    <w:spacing w:after="75"/>
                  </w:pPr>
                  <w:bookmarkStart w:id="55" w:name="14507"/>
                  <w:bookmarkEnd w:id="54"/>
                  <w:r w:rsidRPr="00492E3F">
                    <w:rPr>
                      <w:rFonts w:ascii="Times New Roman" w:hAnsi="Times New Roman"/>
                      <w:sz w:val="15"/>
                    </w:rPr>
                    <w:t>,</w:t>
                  </w:r>
                </w:p>
              </w:tc>
              <w:bookmarkEnd w:id="55"/>
            </w:tr>
          </w:tbl>
          <w:p w14:paraId="04B51CF8" w14:textId="77777777" w:rsidR="00492E3F" w:rsidRPr="00492E3F" w:rsidRDefault="00492E3F" w:rsidP="00492E3F">
            <w:pPr>
              <w:spacing w:after="75"/>
              <w:ind w:firstLine="240"/>
              <w:jc w:val="both"/>
            </w:pPr>
            <w:bookmarkStart w:id="56" w:name="14508"/>
            <w:r w:rsidRPr="00492E3F">
              <w:rPr>
                <w:rFonts w:ascii="Times New Roman" w:hAnsi="Times New Roman"/>
                <w:sz w:val="24"/>
              </w:rPr>
              <w:t>де і - місяць;</w:t>
            </w:r>
          </w:p>
          <w:p w14:paraId="33250BAB" w14:textId="77777777" w:rsidR="00492E3F" w:rsidRPr="00492E3F" w:rsidRDefault="00492E3F" w:rsidP="00492E3F">
            <w:pPr>
              <w:spacing w:after="75"/>
              <w:ind w:firstLine="240"/>
              <w:jc w:val="both"/>
            </w:pPr>
            <w:bookmarkStart w:id="57" w:name="14509"/>
            <w:bookmarkEnd w:id="56"/>
            <w:r w:rsidRPr="00492E3F">
              <w:rPr>
                <w:rFonts w:ascii="Times New Roman" w:hAnsi="Times New Roman"/>
                <w:sz w:val="24"/>
              </w:rPr>
              <w:t>n - кількість місяців;</w:t>
            </w:r>
          </w:p>
          <w:p w14:paraId="2F3D7417" w14:textId="77777777" w:rsidR="00492E3F" w:rsidRPr="00492E3F" w:rsidRDefault="00492E3F" w:rsidP="00492E3F">
            <w:pPr>
              <w:spacing w:after="75"/>
              <w:ind w:firstLine="240"/>
              <w:jc w:val="both"/>
            </w:pPr>
            <w:bookmarkStart w:id="58" w:name="14510"/>
            <w:bookmarkEnd w:id="57"/>
            <w:r w:rsidRPr="00492E3F">
              <w:rPr>
                <w:rFonts w:ascii="Times New Roman" w:hAnsi="Times New Roman"/>
                <w:sz w:val="24"/>
              </w:rPr>
              <w:t>Д</w:t>
            </w:r>
            <w:r w:rsidRPr="00492E3F">
              <w:rPr>
                <w:rFonts w:ascii="Times New Roman" w:hAnsi="Times New Roman"/>
                <w:vertAlign w:val="subscript"/>
              </w:rPr>
              <w:t>ТВЕ т</w:t>
            </w:r>
            <w:r w:rsidRPr="00492E3F">
              <w:rPr>
                <w:rFonts w:ascii="Times New Roman" w:hAnsi="Times New Roman"/>
                <w:sz w:val="24"/>
              </w:rPr>
              <w:t xml:space="preserve"> - вартість технологічних витрат електричної енергії, урахована в тарифах на звітний рік, тис. грн.</w:t>
            </w:r>
          </w:p>
          <w:p w14:paraId="639B6F72" w14:textId="77777777" w:rsidR="00492E3F" w:rsidRPr="00492E3F" w:rsidRDefault="00492E3F" w:rsidP="00492E3F">
            <w:pPr>
              <w:spacing w:after="75"/>
              <w:ind w:firstLine="240"/>
              <w:jc w:val="both"/>
            </w:pPr>
            <w:bookmarkStart w:id="59" w:name="14511"/>
            <w:bookmarkEnd w:id="58"/>
            <w:r w:rsidRPr="00492E3F">
              <w:rPr>
                <w:rFonts w:ascii="Times New Roman" w:hAnsi="Times New Roman"/>
                <w:sz w:val="24"/>
              </w:rPr>
              <w:t>Д</w:t>
            </w:r>
            <w:r w:rsidRPr="00492E3F">
              <w:rPr>
                <w:rFonts w:ascii="Times New Roman" w:hAnsi="Times New Roman"/>
                <w:vertAlign w:val="subscript"/>
              </w:rPr>
              <w:t>ТВЕ</w:t>
            </w:r>
            <w:r w:rsidRPr="00492E3F">
              <w:rPr>
                <w:rFonts w:ascii="Times New Roman" w:hAnsi="Times New Roman"/>
                <w:sz w:val="24"/>
              </w:rPr>
              <w:t xml:space="preserve"> </w:t>
            </w:r>
            <w:proofErr w:type="spellStart"/>
            <w:r w:rsidRPr="00492E3F">
              <w:rPr>
                <w:rFonts w:ascii="Times New Roman" w:hAnsi="Times New Roman"/>
                <w:vertAlign w:val="subscript"/>
              </w:rPr>
              <w:t>нф</w:t>
            </w:r>
            <w:proofErr w:type="spellEnd"/>
            <w:r w:rsidRPr="00492E3F">
              <w:rPr>
                <w:rFonts w:ascii="Times New Roman" w:hAnsi="Times New Roman"/>
                <w:vertAlign w:val="subscript"/>
              </w:rPr>
              <w:t xml:space="preserve"> і</w:t>
            </w:r>
            <w:r w:rsidRPr="00492E3F">
              <w:rPr>
                <w:rFonts w:ascii="Times New Roman" w:hAnsi="Times New Roman"/>
                <w:sz w:val="24"/>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5D0F4121" w14:textId="77777777" w:rsidR="00492E3F" w:rsidRPr="00492E3F" w:rsidRDefault="00492E3F" w:rsidP="00492E3F">
            <w:pPr>
              <w:spacing w:after="75"/>
              <w:ind w:firstLine="240"/>
              <w:jc w:val="both"/>
            </w:pPr>
            <w:bookmarkStart w:id="60" w:name="19188"/>
            <w:bookmarkEnd w:id="59"/>
            <w:r w:rsidRPr="00492E3F">
              <w:rPr>
                <w:rFonts w:ascii="Times New Roman" w:hAnsi="Times New Roman"/>
                <w:sz w:val="24"/>
              </w:rPr>
              <w:lastRenderedPageBreak/>
              <w:t>Якщо порушена схема нормального режиму роботи системи розподілу / змінені обсяги розподілу/надходження/віддачі/транзиту електричної енергії тощо внаслідок введення воєнного стану та/або бойових дій в Україні та за умови, що</w:t>
            </w:r>
          </w:p>
          <w:p w14:paraId="68185A8C" w14:textId="09CCEEC0" w:rsidR="00492E3F" w:rsidRPr="00492E3F" w:rsidRDefault="00492E3F" w:rsidP="00492E3F">
            <w:pPr>
              <w:spacing w:after="75"/>
              <w:jc w:val="center"/>
            </w:pPr>
            <w:bookmarkStart w:id="61" w:name="19190"/>
            <w:bookmarkEnd w:id="60"/>
            <w:r w:rsidRPr="00492E3F">
              <w:rPr>
                <w:noProof/>
              </w:rPr>
              <w:drawing>
                <wp:inline distT="0" distB="0" distL="0" distR="0" wp14:anchorId="70D47EFC" wp14:editId="0D9A3E81">
                  <wp:extent cx="2619375" cy="278869"/>
                  <wp:effectExtent l="0" t="0" r="0" b="698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99507" cy="287400"/>
                          </a:xfrm>
                          <a:prstGeom prst="rect">
                            <a:avLst/>
                          </a:prstGeom>
                        </pic:spPr>
                      </pic:pic>
                    </a:graphicData>
                  </a:graphic>
                </wp:inline>
              </w:drawing>
            </w:r>
            <w:r w:rsidRPr="00492E3F">
              <w:rPr>
                <w:rFonts w:ascii="Times New Roman" w:hAnsi="Times New Roman"/>
                <w:sz w:val="24"/>
              </w:rPr>
              <w:t>,</w:t>
            </w:r>
          </w:p>
          <w:p w14:paraId="5AA4EE3A" w14:textId="77777777" w:rsidR="00492E3F" w:rsidRPr="00492E3F" w:rsidRDefault="00492E3F" w:rsidP="00492E3F">
            <w:pPr>
              <w:spacing w:after="75"/>
              <w:ind w:firstLine="240"/>
              <w:jc w:val="both"/>
            </w:pPr>
            <w:bookmarkStart w:id="62" w:name="19192"/>
            <w:bookmarkEnd w:id="61"/>
            <w:r w:rsidRPr="00492E3F">
              <w:rPr>
                <w:rFonts w:ascii="Times New Roman" w:hAnsi="Times New Roman"/>
                <w:sz w:val="24"/>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04541B96" w14:textId="77777777" w:rsidR="00492E3F" w:rsidRPr="00492E3F" w:rsidRDefault="00492E3F" w:rsidP="00492E3F">
            <w:pPr>
              <w:spacing w:after="75"/>
              <w:ind w:firstLine="240"/>
              <w:jc w:val="both"/>
            </w:pPr>
            <w:bookmarkStart w:id="63" w:name="19193"/>
            <w:bookmarkEnd w:id="62"/>
            <w:r w:rsidRPr="00492E3F">
              <w:rPr>
                <w:rFonts w:ascii="Times New Roman" w:hAnsi="Times New Roman"/>
                <w:sz w:val="24"/>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29B30E47" w14:textId="77777777" w:rsidR="00492E3F" w:rsidRPr="00492E3F" w:rsidRDefault="00492E3F" w:rsidP="006F35EB">
            <w:pPr>
              <w:ind w:firstLine="240"/>
              <w:jc w:val="both"/>
            </w:pPr>
            <w:bookmarkStart w:id="64" w:name="19194"/>
            <w:bookmarkEnd w:id="63"/>
            <w:r w:rsidRPr="00492E3F">
              <w:rPr>
                <w:rFonts w:ascii="Times New Roman" w:hAnsi="Times New Roman"/>
                <w:sz w:val="24"/>
              </w:rPr>
              <w:t xml:space="preserve">належним чином оформлених розрахунків витрат електричної енергії за 2022 - 2024 роки згідно із фактичними схемами роботи системи розподілу/обсягами розподілу/надходження/віддачі/транзиту електричної енергії тощо за 2022 - 2024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величина загального обсягу віддачі електричної енергії (у тис. </w:t>
            </w:r>
            <w:proofErr w:type="spellStart"/>
            <w:r w:rsidRPr="00492E3F">
              <w:rPr>
                <w:rFonts w:ascii="Times New Roman" w:hAnsi="Times New Roman"/>
                <w:sz w:val="24"/>
              </w:rPr>
              <w:t>кВт·год</w:t>
            </w:r>
            <w:proofErr w:type="spellEnd"/>
            <w:r w:rsidRPr="00492E3F">
              <w:rPr>
                <w:rFonts w:ascii="Times New Roman" w:hAnsi="Times New Roman"/>
                <w:sz w:val="24"/>
              </w:rPr>
              <w:t xml:space="preserve">), що визначена за фактичними показами розрахункових засобів обліку електроенергії за звітний рік, складає не менше ніж 97 % від суми величин загального обсягу віддачі електричної енергії (у тис. </w:t>
            </w:r>
            <w:proofErr w:type="spellStart"/>
            <w:r w:rsidRPr="00492E3F">
              <w:rPr>
                <w:rFonts w:ascii="Times New Roman" w:hAnsi="Times New Roman"/>
                <w:sz w:val="24"/>
              </w:rPr>
              <w:t>кВт·год</w:t>
            </w:r>
            <w:proofErr w:type="spellEnd"/>
            <w:r w:rsidRPr="00492E3F">
              <w:rPr>
                <w:rFonts w:ascii="Times New Roman" w:hAnsi="Times New Roman"/>
                <w:sz w:val="24"/>
              </w:rPr>
              <w:t xml:space="preserve">), що наведені у формі звітності N 5 НКРЕКП-моніторинг-розподіл (місячна) за відповідний звітний рік). Для операторів систем розподілу, частина основних фондів яких знаходиться на територіях, на яких ведуться (велися) бойові дії або тимчасово окупованих російською федерацією, перелік яких наведено в додатку 30 до Порядку N 1175, за </w:t>
            </w:r>
            <w:r w:rsidRPr="00492E3F">
              <w:rPr>
                <w:rFonts w:ascii="Times New Roman" w:hAnsi="Times New Roman"/>
                <w:sz w:val="24"/>
              </w:rPr>
              <w:lastRenderedPageBreak/>
              <w:t>умови належного обґрунтування може бути застосований інший відсоток фактичних показів розрахункових засобів обліку електроенергії.).</w:t>
            </w:r>
          </w:p>
          <w:p w14:paraId="75D29F27" w14:textId="77777777" w:rsidR="006F35EB" w:rsidRDefault="006F35EB" w:rsidP="006F35EB">
            <w:pPr>
              <w:jc w:val="center"/>
              <w:rPr>
                <w:rFonts w:ascii="Times New Roman" w:hAnsi="Times New Roman"/>
                <w:sz w:val="24"/>
              </w:rPr>
            </w:pPr>
            <w:bookmarkStart w:id="65" w:name="19196"/>
            <w:bookmarkEnd w:id="64"/>
          </w:p>
          <w:p w14:paraId="5D7DD76F" w14:textId="73251473" w:rsidR="006F35EB" w:rsidRDefault="006F35EB" w:rsidP="006F35EB">
            <w:pPr>
              <w:jc w:val="center"/>
              <w:rPr>
                <w:rFonts w:ascii="Times New Roman" w:hAnsi="Times New Roman"/>
                <w:sz w:val="24"/>
              </w:rPr>
            </w:pPr>
          </w:p>
          <w:p w14:paraId="708E82C0" w14:textId="77777777" w:rsidR="006F35EB" w:rsidRDefault="006F35EB" w:rsidP="006F35EB">
            <w:pPr>
              <w:jc w:val="center"/>
              <w:rPr>
                <w:rFonts w:ascii="Times New Roman" w:hAnsi="Times New Roman"/>
                <w:sz w:val="24"/>
              </w:rPr>
            </w:pPr>
          </w:p>
          <w:p w14:paraId="124BE34C" w14:textId="642C2743" w:rsidR="006F35EB" w:rsidRDefault="006F35EB" w:rsidP="006F35EB">
            <w:pPr>
              <w:jc w:val="center"/>
              <w:rPr>
                <w:rFonts w:ascii="Times New Roman" w:hAnsi="Times New Roman"/>
                <w:sz w:val="24"/>
              </w:rPr>
            </w:pPr>
          </w:p>
          <w:p w14:paraId="0CEB10E8" w14:textId="77777777" w:rsidR="001E1705" w:rsidRDefault="001E1705" w:rsidP="006F35EB">
            <w:pPr>
              <w:jc w:val="center"/>
              <w:rPr>
                <w:rFonts w:ascii="Times New Roman" w:hAnsi="Times New Roman"/>
                <w:sz w:val="24"/>
              </w:rPr>
            </w:pPr>
          </w:p>
          <w:p w14:paraId="553789E4" w14:textId="3FBEB5A9" w:rsidR="00492E3F" w:rsidRPr="00492E3F" w:rsidRDefault="00492E3F" w:rsidP="006F35EB">
            <w:pPr>
              <w:jc w:val="center"/>
            </w:pPr>
            <w:r w:rsidRPr="00492E3F">
              <w:rPr>
                <w:rFonts w:ascii="Times New Roman" w:hAnsi="Times New Roman"/>
                <w:sz w:val="24"/>
              </w:rPr>
              <w:t>Д</w:t>
            </w:r>
            <w:r w:rsidRPr="00492E3F">
              <w:rPr>
                <w:rFonts w:ascii="Times New Roman" w:hAnsi="Times New Roman"/>
                <w:vertAlign w:val="subscript"/>
              </w:rPr>
              <w:t xml:space="preserve">ТВЕ </w:t>
            </w:r>
            <w:proofErr w:type="spellStart"/>
            <w:r w:rsidRPr="00492E3F">
              <w:rPr>
                <w:rFonts w:ascii="Times New Roman" w:hAnsi="Times New Roman"/>
                <w:vertAlign w:val="subscript"/>
              </w:rPr>
              <w:t>нф</w:t>
            </w:r>
            <w:proofErr w:type="spellEnd"/>
            <w:r w:rsidRPr="00492E3F">
              <w:rPr>
                <w:rFonts w:ascii="Times New Roman" w:hAnsi="Times New Roman"/>
                <w:vertAlign w:val="subscript"/>
              </w:rPr>
              <w:t xml:space="preserve"> і</w:t>
            </w:r>
            <w:r w:rsidRPr="00492E3F">
              <w:rPr>
                <w:rFonts w:ascii="Times New Roman" w:hAnsi="Times New Roman"/>
                <w:sz w:val="24"/>
              </w:rPr>
              <w:t xml:space="preserve"> за 2022 - 2024 роки визначається за формулою</w:t>
            </w:r>
          </w:p>
          <w:p w14:paraId="4EB1D056" w14:textId="77777777" w:rsidR="00492E3F" w:rsidRPr="00492E3F" w:rsidRDefault="00492E3F" w:rsidP="00492E3F">
            <w:pPr>
              <w:spacing w:after="75"/>
              <w:jc w:val="center"/>
            </w:pPr>
            <w:bookmarkStart w:id="66" w:name="24400"/>
            <w:bookmarkEnd w:id="65"/>
            <w:r w:rsidRPr="00492E3F">
              <w:rPr>
                <w:rFonts w:ascii="Times New Roman" w:hAnsi="Times New Roman"/>
                <w:sz w:val="24"/>
              </w:rPr>
              <w:t>Д</w:t>
            </w:r>
            <w:r w:rsidRPr="00492E3F">
              <w:rPr>
                <w:rFonts w:ascii="Times New Roman" w:hAnsi="Times New Roman"/>
                <w:vertAlign w:val="subscript"/>
              </w:rPr>
              <w:t xml:space="preserve">ТВЕ </w:t>
            </w:r>
            <w:proofErr w:type="spellStart"/>
            <w:r w:rsidRPr="00492E3F">
              <w:rPr>
                <w:rFonts w:ascii="Times New Roman" w:hAnsi="Times New Roman"/>
                <w:vertAlign w:val="subscript"/>
              </w:rPr>
              <w:t>нф</w:t>
            </w:r>
            <w:proofErr w:type="spellEnd"/>
            <w:r w:rsidRPr="00492E3F">
              <w:rPr>
                <w:rFonts w:ascii="Times New Roman" w:hAnsi="Times New Roman"/>
                <w:vertAlign w:val="subscript"/>
              </w:rPr>
              <w:t xml:space="preserve"> і</w:t>
            </w:r>
            <w:r w:rsidRPr="00492E3F">
              <w:rPr>
                <w:rFonts w:ascii="Times New Roman" w:hAnsi="Times New Roman"/>
                <w:sz w:val="24"/>
              </w:rPr>
              <w:t xml:space="preserve"> = (О</w:t>
            </w:r>
            <w:r w:rsidRPr="00492E3F">
              <w:rPr>
                <w:rFonts w:ascii="Times New Roman" w:hAnsi="Times New Roman"/>
                <w:vertAlign w:val="subscript"/>
              </w:rPr>
              <w:t>ТВЕ ф і</w:t>
            </w:r>
            <w:r w:rsidRPr="00492E3F">
              <w:rPr>
                <w:rFonts w:ascii="Times New Roman" w:hAnsi="Times New Roman"/>
                <w:sz w:val="24"/>
              </w:rPr>
              <w:t xml:space="preserve"> - О</w:t>
            </w:r>
            <w:r w:rsidRPr="00492E3F">
              <w:rPr>
                <w:rFonts w:ascii="Times New Roman" w:hAnsi="Times New Roman"/>
                <w:vertAlign w:val="subscript"/>
              </w:rPr>
              <w:t>ТВЕ он і</w:t>
            </w:r>
            <w:r w:rsidRPr="00492E3F">
              <w:rPr>
                <w:rFonts w:ascii="Times New Roman" w:hAnsi="Times New Roman"/>
                <w:sz w:val="24"/>
              </w:rPr>
              <w:t>) x Ц</w:t>
            </w:r>
            <w:r w:rsidRPr="00492E3F">
              <w:rPr>
                <w:rFonts w:ascii="Times New Roman" w:hAnsi="Times New Roman"/>
                <w:vertAlign w:val="subscript"/>
              </w:rPr>
              <w:t>ТВЕ і</w:t>
            </w:r>
            <w:r w:rsidRPr="00492E3F">
              <w:rPr>
                <w:rFonts w:ascii="Times New Roman" w:hAnsi="Times New Roman"/>
                <w:sz w:val="24"/>
              </w:rPr>
              <w:t>,</w:t>
            </w:r>
          </w:p>
          <w:p w14:paraId="16924B49" w14:textId="77777777" w:rsidR="00492E3F" w:rsidRPr="00492E3F" w:rsidRDefault="00492E3F" w:rsidP="00492E3F">
            <w:pPr>
              <w:spacing w:after="75"/>
              <w:ind w:firstLine="240"/>
              <w:jc w:val="both"/>
            </w:pPr>
            <w:bookmarkStart w:id="67" w:name="19197"/>
            <w:bookmarkEnd w:id="66"/>
            <w:r w:rsidRPr="00492E3F">
              <w:rPr>
                <w:rFonts w:ascii="Times New Roman" w:hAnsi="Times New Roman"/>
                <w:sz w:val="24"/>
              </w:rPr>
              <w:t>де О</w:t>
            </w:r>
            <w:r w:rsidRPr="00492E3F">
              <w:rPr>
                <w:rFonts w:ascii="Times New Roman" w:hAnsi="Times New Roman"/>
                <w:vertAlign w:val="subscript"/>
              </w:rPr>
              <w:t>ТВЕ ф і</w:t>
            </w:r>
            <w:r w:rsidRPr="00492E3F">
              <w:rPr>
                <w:rFonts w:ascii="Times New Roman" w:hAnsi="Times New Roman"/>
                <w:sz w:val="24"/>
              </w:rPr>
              <w:t xml:space="preserve"> - фактичний обсяг технологічних витрат електричної енергії на її розподіл в і-му місяці звітного року, </w:t>
            </w:r>
            <w:proofErr w:type="spellStart"/>
            <w:r w:rsidRPr="00492E3F">
              <w:rPr>
                <w:rFonts w:ascii="Times New Roman" w:hAnsi="Times New Roman"/>
                <w:sz w:val="24"/>
              </w:rPr>
              <w:t>МВт·год</w:t>
            </w:r>
            <w:proofErr w:type="spellEnd"/>
            <w:r w:rsidRPr="00492E3F">
              <w:rPr>
                <w:rFonts w:ascii="Times New Roman" w:hAnsi="Times New Roman"/>
                <w:sz w:val="24"/>
              </w:rPr>
              <w:t>;</w:t>
            </w:r>
          </w:p>
          <w:bookmarkEnd w:id="67"/>
          <w:p w14:paraId="4EE0FA49" w14:textId="04E0274B" w:rsidR="004756A2" w:rsidRPr="00492E3F" w:rsidRDefault="00492E3F" w:rsidP="001E1705">
            <w:pPr>
              <w:ind w:firstLine="308"/>
              <w:jc w:val="both"/>
              <w:rPr>
                <w:rFonts w:ascii="Times New Roman" w:hAnsi="Times New Roman" w:cs="Times New Roman"/>
                <w:shd w:val="clear" w:color="auto" w:fill="FFFFFF"/>
              </w:rPr>
            </w:pPr>
            <w:r w:rsidRPr="00492E3F">
              <w:rPr>
                <w:rFonts w:ascii="Times New Roman" w:hAnsi="Times New Roman"/>
                <w:sz w:val="24"/>
              </w:rPr>
              <w:t>О</w:t>
            </w:r>
            <w:r w:rsidRPr="00492E3F">
              <w:rPr>
                <w:rFonts w:ascii="Times New Roman" w:hAnsi="Times New Roman"/>
                <w:vertAlign w:val="subscript"/>
              </w:rPr>
              <w:t>ТВЕ он і</w:t>
            </w:r>
            <w:r w:rsidRPr="00492E3F">
              <w:rPr>
                <w:rFonts w:ascii="Times New Roman" w:hAnsi="Times New Roman"/>
                <w:sz w:val="24"/>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розподілу/надходження/віддачі/транзиту електричної енергії тощо внаслідок введення воєнного стану та/або бойових дій в Україні, в і-му місяці звітного року, </w:t>
            </w:r>
            <w:proofErr w:type="spellStart"/>
            <w:r w:rsidRPr="00492E3F">
              <w:rPr>
                <w:rFonts w:ascii="Times New Roman" w:hAnsi="Times New Roman"/>
                <w:sz w:val="24"/>
              </w:rPr>
              <w:t>МВт·год</w:t>
            </w:r>
            <w:proofErr w:type="spellEnd"/>
            <w:r w:rsidRPr="00492E3F">
              <w:rPr>
                <w:rFonts w:ascii="Times New Roman" w:hAnsi="Times New Roman"/>
                <w:sz w:val="24"/>
              </w:rPr>
              <w:t>;</w:t>
            </w:r>
          </w:p>
        </w:tc>
        <w:tc>
          <w:tcPr>
            <w:tcW w:w="7725" w:type="dxa"/>
          </w:tcPr>
          <w:p w14:paraId="420A885B" w14:textId="5468A48C" w:rsidR="004756A2" w:rsidRPr="00EC3012" w:rsidRDefault="004756A2" w:rsidP="002A4A7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7F70C69E" w14:textId="14AA9173" w:rsidR="004756A2" w:rsidRPr="00EC3012" w:rsidRDefault="004756A2" w:rsidP="002A4A7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1) </w:t>
            </w:r>
            <w:r w:rsidR="002A4A73" w:rsidRPr="002A4A73">
              <w:rPr>
                <w:rFonts w:ascii="Times New Roman" w:hAnsi="Times New Roman" w:cs="Times New Roman"/>
                <w:shd w:val="clear" w:color="auto" w:fill="FFFFFF"/>
              </w:rPr>
              <w:t xml:space="preserve">сума невиконання інвестиційної програми на звітний рік. Сума невиконання інвестиційної програми на звітний рік за результатами діяльності 2022 - </w:t>
            </w:r>
            <w:r w:rsidR="002A4A73" w:rsidRPr="002A4A73">
              <w:rPr>
                <w:rFonts w:ascii="Times New Roman" w:hAnsi="Times New Roman" w:cs="Times New Roman"/>
                <w:b/>
                <w:shd w:val="clear" w:color="auto" w:fill="FFFFFF"/>
              </w:rPr>
              <w:t>202</w:t>
            </w:r>
            <w:r w:rsidR="002A4A73" w:rsidRPr="002A4A73">
              <w:rPr>
                <w:rFonts w:ascii="Times New Roman" w:hAnsi="Times New Roman" w:cs="Times New Roman"/>
                <w:b/>
                <w:shd w:val="clear" w:color="auto" w:fill="FFFFFF"/>
                <w:lang w:val="en-US"/>
              </w:rPr>
              <w:t>5</w:t>
            </w:r>
            <w:r w:rsidR="002A4A73" w:rsidRPr="002A4A73">
              <w:rPr>
                <w:rFonts w:ascii="Times New Roman" w:hAnsi="Times New Roman" w:cs="Times New Roman"/>
                <w:shd w:val="clear" w:color="auto" w:fill="FFFFFF"/>
              </w:rPr>
              <w:t xml:space="preserve"> років визначається з урахуванням постанови N 406</w:t>
            </w:r>
            <w:r w:rsidRPr="00EC3012">
              <w:rPr>
                <w:rFonts w:ascii="Times New Roman" w:hAnsi="Times New Roman" w:cs="Times New Roman"/>
                <w:shd w:val="clear" w:color="auto" w:fill="FFFFFF"/>
              </w:rPr>
              <w:t>;</w:t>
            </w:r>
          </w:p>
          <w:p w14:paraId="5084C9D6" w14:textId="1F66231D" w:rsidR="004756A2" w:rsidRDefault="00492E3F" w:rsidP="002A4A73">
            <w:pPr>
              <w:ind w:firstLine="308"/>
              <w:jc w:val="both"/>
              <w:rPr>
                <w:rFonts w:ascii="Times New Roman" w:hAnsi="Times New Roman" w:cs="Times New Roman"/>
                <w:shd w:val="clear" w:color="auto" w:fill="FFFFFF"/>
              </w:rPr>
            </w:pPr>
            <w:r w:rsidRPr="00492E3F">
              <w:rPr>
                <w:rFonts w:ascii="Times New Roman" w:hAnsi="Times New Roman" w:cs="Times New Roman"/>
                <w:shd w:val="clear" w:color="auto" w:fill="FFFFFF"/>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098B6FFB" w14:textId="77777777" w:rsidR="00492E3F" w:rsidRPr="00492E3F" w:rsidRDefault="00492E3F" w:rsidP="00492E3F">
            <w:pPr>
              <w:ind w:firstLine="308"/>
              <w:jc w:val="both"/>
              <w:rPr>
                <w:rFonts w:ascii="Times New Roman" w:hAnsi="Times New Roman" w:cs="Times New Roman"/>
                <w:b/>
                <w:shd w:val="clear" w:color="auto" w:fill="FFFFFF"/>
              </w:rPr>
            </w:pPr>
            <w:r w:rsidRPr="00492E3F">
              <w:rPr>
                <w:rFonts w:ascii="Times New Roman" w:hAnsi="Times New Roman" w:cs="Times New Roman"/>
                <w:b/>
                <w:shd w:val="clear" w:color="auto" w:fill="FFFFFF"/>
              </w:rPr>
              <w:t xml:space="preserve">Починаючи з 2025 року, для ліцензіатів, перелік яких наведено у додатку 30 до Порядку № 1175, додатково отриманий (недоотриманий) дохід ліцензіата внаслідок збільшення (зменшення) фактичних обсягів розподілу електричної енергії визначається як різниця між добутком фактичних помісячних обсягів розподілу електричної енергії і тарифів, що діяли у відповідному періоді, та сумою необхідного доходу, передбаченого встановленою річною структурою тарифів на 2025 рік із застосуванням </w:t>
            </w:r>
            <w:proofErr w:type="spellStart"/>
            <w:r w:rsidRPr="00492E3F">
              <w:rPr>
                <w:rFonts w:ascii="Times New Roman" w:hAnsi="Times New Roman" w:cs="Times New Roman"/>
                <w:b/>
                <w:shd w:val="clear" w:color="auto" w:fill="FFFFFF"/>
              </w:rPr>
              <w:t>КФУу</w:t>
            </w:r>
            <w:proofErr w:type="spellEnd"/>
            <w:r w:rsidRPr="00492E3F">
              <w:rPr>
                <w:rFonts w:ascii="Times New Roman" w:hAnsi="Times New Roman" w:cs="Times New Roman"/>
                <w:b/>
                <w:shd w:val="clear" w:color="auto" w:fill="FFFFFF"/>
              </w:rPr>
              <w:t>, за формулою</w:t>
            </w:r>
          </w:p>
          <w:p w14:paraId="4553B079" w14:textId="77777777" w:rsidR="00492E3F" w:rsidRPr="00492E3F" w:rsidRDefault="00492E3F" w:rsidP="00492E3F">
            <w:pPr>
              <w:ind w:firstLine="308"/>
              <w:jc w:val="both"/>
              <w:rPr>
                <w:rFonts w:ascii="Times New Roman" w:hAnsi="Times New Roman" w:cs="Times New Roman"/>
                <w:b/>
                <w:shd w:val="clear" w:color="auto" w:fill="FFFFFF"/>
              </w:rPr>
            </w:pPr>
            <w:r w:rsidRPr="00492E3F">
              <w:rPr>
                <w:rFonts w:ascii="Times New Roman" w:hAnsi="Times New Roman" w:cs="Times New Roman"/>
                <w:b/>
                <w:shd w:val="clear" w:color="auto" w:fill="FFFFFF"/>
              </w:rPr>
              <w:lastRenderedPageBreak/>
              <w:t>ДД</w:t>
            </w:r>
            <w:r w:rsidRPr="00492E3F">
              <w:rPr>
                <w:rFonts w:ascii="Times New Roman" w:hAnsi="Times New Roman" w:cs="Times New Roman"/>
                <w:b/>
                <w:shd w:val="clear" w:color="auto" w:fill="FFFFFF"/>
                <w:vertAlign w:val="subscript"/>
              </w:rPr>
              <w:t>О(Н)</w:t>
            </w:r>
            <w:r w:rsidRPr="00492E3F">
              <w:rPr>
                <w:rFonts w:ascii="Times New Roman" w:hAnsi="Times New Roman" w:cs="Times New Roman"/>
                <w:b/>
                <w:shd w:val="clear" w:color="auto" w:fill="FFFFFF"/>
              </w:rPr>
              <w:t xml:space="preserve"> =  ФД – (</w:t>
            </w:r>
            <w:proofErr w:type="spellStart"/>
            <w:r w:rsidRPr="00492E3F">
              <w:rPr>
                <w:rFonts w:ascii="Times New Roman" w:hAnsi="Times New Roman" w:cs="Times New Roman"/>
                <w:b/>
                <w:shd w:val="clear" w:color="auto" w:fill="FFFFFF"/>
              </w:rPr>
              <w:t>ЧНДт</w:t>
            </w:r>
            <w:proofErr w:type="spellEnd"/>
            <w:r w:rsidRPr="00492E3F">
              <w:rPr>
                <w:rFonts w:ascii="Times New Roman" w:hAnsi="Times New Roman" w:cs="Times New Roman"/>
                <w:b/>
                <w:shd w:val="clear" w:color="auto" w:fill="FFFFFF"/>
              </w:rPr>
              <w:t xml:space="preserve"> + (</w:t>
            </w:r>
            <w:proofErr w:type="spellStart"/>
            <w:r w:rsidRPr="00492E3F">
              <w:rPr>
                <w:rFonts w:ascii="Times New Roman" w:hAnsi="Times New Roman" w:cs="Times New Roman"/>
                <w:b/>
                <w:shd w:val="clear" w:color="auto" w:fill="FFFFFF"/>
              </w:rPr>
              <w:t>ОВт</w:t>
            </w:r>
            <w:proofErr w:type="spellEnd"/>
            <w:r w:rsidRPr="00492E3F">
              <w:rPr>
                <w:rFonts w:ascii="Times New Roman" w:hAnsi="Times New Roman" w:cs="Times New Roman"/>
                <w:b/>
                <w:shd w:val="clear" w:color="auto" w:fill="FFFFFF"/>
              </w:rPr>
              <w:t xml:space="preserve"> × </w:t>
            </w:r>
            <w:proofErr w:type="spellStart"/>
            <w:r w:rsidRPr="00492E3F">
              <w:rPr>
                <w:rFonts w:ascii="Times New Roman" w:hAnsi="Times New Roman" w:cs="Times New Roman"/>
                <w:b/>
                <w:shd w:val="clear" w:color="auto" w:fill="FFFFFF"/>
              </w:rPr>
              <w:t>КФУу</w:t>
            </w:r>
            <w:proofErr w:type="spellEnd"/>
            <w:r w:rsidRPr="00492E3F">
              <w:rPr>
                <w:rFonts w:ascii="Times New Roman" w:hAnsi="Times New Roman" w:cs="Times New Roman"/>
                <w:b/>
                <w:shd w:val="clear" w:color="auto" w:fill="FFFFFF"/>
              </w:rPr>
              <w:t>)), тис. грн,</w:t>
            </w:r>
          </w:p>
          <w:p w14:paraId="36A5E5F4" w14:textId="77777777" w:rsidR="00492E3F" w:rsidRPr="00492E3F" w:rsidRDefault="00492E3F" w:rsidP="00492E3F">
            <w:pPr>
              <w:ind w:firstLine="308"/>
              <w:jc w:val="both"/>
              <w:rPr>
                <w:rFonts w:ascii="Times New Roman" w:hAnsi="Times New Roman" w:cs="Times New Roman"/>
                <w:b/>
                <w:shd w:val="clear" w:color="auto" w:fill="FFFFFF"/>
              </w:rPr>
            </w:pPr>
            <w:r w:rsidRPr="00492E3F">
              <w:rPr>
                <w:rFonts w:ascii="Times New Roman" w:hAnsi="Times New Roman" w:cs="Times New Roman"/>
                <w:b/>
                <w:shd w:val="clear" w:color="auto" w:fill="FFFFFF"/>
              </w:rPr>
              <w:t>де ДД</w:t>
            </w:r>
            <w:r w:rsidRPr="00492E3F">
              <w:rPr>
                <w:rFonts w:ascii="Times New Roman" w:hAnsi="Times New Roman" w:cs="Times New Roman"/>
                <w:b/>
                <w:shd w:val="clear" w:color="auto" w:fill="FFFFFF"/>
                <w:vertAlign w:val="subscript"/>
              </w:rPr>
              <w:t>О(Н)</w:t>
            </w:r>
            <w:r w:rsidRPr="00492E3F">
              <w:rPr>
                <w:rFonts w:ascii="Times New Roman" w:hAnsi="Times New Roman" w:cs="Times New Roman"/>
                <w:b/>
                <w:shd w:val="clear" w:color="auto" w:fill="FFFFFF"/>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тис. грн;</w:t>
            </w:r>
          </w:p>
          <w:p w14:paraId="15738CDF" w14:textId="77777777" w:rsidR="00492E3F" w:rsidRPr="00492E3F" w:rsidRDefault="00492E3F" w:rsidP="00492E3F">
            <w:pPr>
              <w:ind w:firstLine="308"/>
              <w:jc w:val="both"/>
              <w:rPr>
                <w:rFonts w:ascii="Times New Roman" w:hAnsi="Times New Roman" w:cs="Times New Roman"/>
                <w:b/>
                <w:shd w:val="clear" w:color="auto" w:fill="FFFFFF"/>
              </w:rPr>
            </w:pPr>
            <w:r w:rsidRPr="00492E3F">
              <w:rPr>
                <w:rFonts w:ascii="Times New Roman" w:hAnsi="Times New Roman" w:cs="Times New Roman"/>
                <w:b/>
                <w:shd w:val="clear" w:color="auto" w:fill="FFFFFF"/>
              </w:rPr>
              <w:t xml:space="preserve">ФД – фактичний дохід ліцензіата, розрахований як добуток фактичних помісячних обсягів розподілу електричної енергії у відповідному періоді і тарифів, що діяли у відповідному періоді звітного року, тис. грн; </w:t>
            </w:r>
          </w:p>
          <w:p w14:paraId="0CF00894" w14:textId="77777777" w:rsidR="00492E3F" w:rsidRPr="00492E3F" w:rsidRDefault="00492E3F" w:rsidP="00492E3F">
            <w:pPr>
              <w:ind w:firstLine="308"/>
              <w:jc w:val="both"/>
              <w:rPr>
                <w:rFonts w:ascii="Times New Roman" w:hAnsi="Times New Roman" w:cs="Times New Roman"/>
                <w:b/>
                <w:shd w:val="clear" w:color="auto" w:fill="FFFFFF"/>
              </w:rPr>
            </w:pPr>
            <w:proofErr w:type="spellStart"/>
            <w:r w:rsidRPr="00492E3F">
              <w:rPr>
                <w:rFonts w:ascii="Times New Roman" w:hAnsi="Times New Roman" w:cs="Times New Roman"/>
                <w:b/>
                <w:shd w:val="clear" w:color="auto" w:fill="FFFFFF"/>
              </w:rPr>
              <w:t>ЧНДт</w:t>
            </w:r>
            <w:proofErr w:type="spellEnd"/>
            <w:r w:rsidRPr="00492E3F">
              <w:rPr>
                <w:rFonts w:ascii="Times New Roman" w:hAnsi="Times New Roman" w:cs="Times New Roman"/>
                <w:b/>
                <w:shd w:val="clear" w:color="auto" w:fill="FFFFFF"/>
              </w:rPr>
              <w:t xml:space="preserve"> – частина необхідного доходу, врахованого у встановлених структурах тарифів, які діяли у відповідні періоди звітного року, за вирахуванням операційних витрат, урахованих у тарифах на звітний рік, розрахунок яких здійснено із застосуванням КФУ, відповідно до Порядку № 1175, визначена за формулою</w:t>
            </w:r>
          </w:p>
          <w:p w14:paraId="6F85C6C4" w14:textId="77777777" w:rsidR="00492E3F" w:rsidRPr="00492E3F" w:rsidRDefault="00492E3F" w:rsidP="00492E3F">
            <w:pPr>
              <w:ind w:firstLine="308"/>
              <w:jc w:val="both"/>
              <w:rPr>
                <w:rFonts w:ascii="Times New Roman" w:hAnsi="Times New Roman" w:cs="Times New Roman"/>
                <w:b/>
                <w:shd w:val="clear" w:color="auto" w:fill="FFFFFF"/>
              </w:rPr>
            </w:pPr>
            <w:proofErr w:type="spellStart"/>
            <w:r w:rsidRPr="00492E3F">
              <w:rPr>
                <w:rFonts w:ascii="Times New Roman" w:hAnsi="Times New Roman" w:cs="Times New Roman"/>
                <w:b/>
                <w:shd w:val="clear" w:color="auto" w:fill="FFFFFF"/>
              </w:rPr>
              <w:t>ЧНДт</w:t>
            </w:r>
            <w:proofErr w:type="spellEnd"/>
            <w:r w:rsidRPr="00492E3F">
              <w:rPr>
                <w:rFonts w:ascii="Times New Roman" w:hAnsi="Times New Roman" w:cs="Times New Roman"/>
                <w:b/>
                <w:shd w:val="clear" w:color="auto" w:fill="FFFFFF"/>
              </w:rPr>
              <w:t xml:space="preserve"> = </w:t>
            </w:r>
            <w:proofErr w:type="spellStart"/>
            <w:r w:rsidRPr="00492E3F">
              <w:rPr>
                <w:rFonts w:ascii="Times New Roman" w:hAnsi="Times New Roman" w:cs="Times New Roman"/>
                <w:b/>
                <w:shd w:val="clear" w:color="auto" w:fill="FFFFFF"/>
              </w:rPr>
              <w:t>НДт</w:t>
            </w:r>
            <w:proofErr w:type="spellEnd"/>
            <w:r w:rsidRPr="00492E3F">
              <w:rPr>
                <w:rFonts w:ascii="Times New Roman" w:hAnsi="Times New Roman" w:cs="Times New Roman"/>
                <w:b/>
                <w:shd w:val="clear" w:color="auto" w:fill="FFFFFF"/>
              </w:rPr>
              <w:t xml:space="preserve"> – </w:t>
            </w:r>
            <w:proofErr w:type="spellStart"/>
            <w:r w:rsidRPr="00492E3F">
              <w:rPr>
                <w:rFonts w:ascii="Times New Roman" w:hAnsi="Times New Roman" w:cs="Times New Roman"/>
                <w:b/>
                <w:shd w:val="clear" w:color="auto" w:fill="FFFFFF"/>
              </w:rPr>
              <w:t>ОВт</w:t>
            </w:r>
            <w:proofErr w:type="spellEnd"/>
            <w:r w:rsidRPr="00492E3F">
              <w:rPr>
                <w:rFonts w:ascii="Times New Roman" w:hAnsi="Times New Roman" w:cs="Times New Roman"/>
                <w:b/>
                <w:shd w:val="clear" w:color="auto" w:fill="FFFFFF"/>
              </w:rPr>
              <w:t>, тис. грн,</w:t>
            </w:r>
          </w:p>
          <w:p w14:paraId="7A274576" w14:textId="77777777" w:rsidR="00492E3F" w:rsidRPr="00492E3F" w:rsidRDefault="00492E3F" w:rsidP="00492E3F">
            <w:pPr>
              <w:ind w:firstLine="308"/>
              <w:jc w:val="both"/>
              <w:rPr>
                <w:rFonts w:ascii="Times New Roman" w:hAnsi="Times New Roman" w:cs="Times New Roman"/>
                <w:b/>
                <w:shd w:val="clear" w:color="auto" w:fill="FFFFFF"/>
              </w:rPr>
            </w:pPr>
            <w:r w:rsidRPr="00492E3F">
              <w:rPr>
                <w:rFonts w:ascii="Times New Roman" w:hAnsi="Times New Roman" w:cs="Times New Roman"/>
                <w:b/>
                <w:shd w:val="clear" w:color="auto" w:fill="FFFFFF"/>
              </w:rPr>
              <w:t xml:space="preserve">де </w:t>
            </w:r>
            <w:proofErr w:type="spellStart"/>
            <w:r w:rsidRPr="00492E3F">
              <w:rPr>
                <w:rFonts w:ascii="Times New Roman" w:hAnsi="Times New Roman" w:cs="Times New Roman"/>
                <w:b/>
                <w:shd w:val="clear" w:color="auto" w:fill="FFFFFF"/>
              </w:rPr>
              <w:t>НДт</w:t>
            </w:r>
            <w:proofErr w:type="spellEnd"/>
            <w:r w:rsidRPr="00492E3F">
              <w:rPr>
                <w:rFonts w:ascii="Times New Roman" w:hAnsi="Times New Roman" w:cs="Times New Roman"/>
                <w:b/>
                <w:shd w:val="clear" w:color="auto" w:fill="FFFFFF"/>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2C5DC915" w14:textId="31AE91D8" w:rsidR="00492E3F" w:rsidRDefault="00492E3F" w:rsidP="00492E3F">
            <w:pPr>
              <w:ind w:firstLine="308"/>
              <w:jc w:val="both"/>
              <w:rPr>
                <w:rFonts w:ascii="Times New Roman" w:hAnsi="Times New Roman" w:cs="Times New Roman"/>
                <w:b/>
                <w:shd w:val="clear" w:color="auto" w:fill="FFFFFF"/>
              </w:rPr>
            </w:pPr>
            <w:proofErr w:type="spellStart"/>
            <w:r w:rsidRPr="00492E3F">
              <w:rPr>
                <w:rFonts w:ascii="Times New Roman" w:hAnsi="Times New Roman" w:cs="Times New Roman"/>
                <w:b/>
                <w:shd w:val="clear" w:color="auto" w:fill="FFFFFF"/>
              </w:rPr>
              <w:t>ОВт</w:t>
            </w:r>
            <w:proofErr w:type="spellEnd"/>
            <w:r w:rsidRPr="00492E3F">
              <w:rPr>
                <w:rFonts w:ascii="Times New Roman" w:hAnsi="Times New Roman" w:cs="Times New Roman"/>
                <w:b/>
                <w:shd w:val="clear" w:color="auto" w:fill="FFFFFF"/>
              </w:rPr>
              <w:t xml:space="preserve"> – операційні витрати, які враховані в тарифах на звітний рік, розрахунок яких здійснено із застосуванням КФУ відповідно до Порядку № 1175, тис. грн;</w:t>
            </w:r>
          </w:p>
          <w:p w14:paraId="111DEAEE" w14:textId="43CA6FAC" w:rsidR="00492E3F" w:rsidRDefault="00492E3F" w:rsidP="00492E3F">
            <w:pPr>
              <w:ind w:firstLine="308"/>
              <w:jc w:val="both"/>
              <w:rPr>
                <w:rFonts w:ascii="Times New Roman" w:hAnsi="Times New Roman" w:cs="Times New Roman"/>
                <w:shd w:val="clear" w:color="auto" w:fill="FFFFFF"/>
              </w:rPr>
            </w:pPr>
          </w:p>
          <w:p w14:paraId="24808A12" w14:textId="77777777" w:rsidR="004756A2" w:rsidRPr="00EC3012" w:rsidRDefault="004756A2" w:rsidP="002A4A7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7CDA5D0F" w14:textId="77777777" w:rsidR="004756A2" w:rsidRPr="002A4A73" w:rsidRDefault="004756A2" w:rsidP="002A4A73">
            <w:pPr>
              <w:ind w:firstLine="308"/>
              <w:jc w:val="both"/>
              <w:rPr>
                <w:rFonts w:ascii="Times New Roman" w:hAnsi="Times New Roman" w:cs="Times New Roman"/>
                <w:shd w:val="clear" w:color="auto" w:fill="FFFFFF"/>
              </w:rPr>
            </w:pPr>
          </w:p>
          <w:p w14:paraId="36870C2B" w14:textId="77777777" w:rsidR="00492E3F" w:rsidRPr="00492E3F" w:rsidRDefault="00492E3F" w:rsidP="00492E3F">
            <w:pPr>
              <w:spacing w:after="75"/>
              <w:ind w:firstLine="240"/>
              <w:jc w:val="both"/>
            </w:pPr>
            <w:r w:rsidRPr="00492E3F">
              <w:rPr>
                <w:rFonts w:ascii="Times New Roman" w:hAnsi="Times New Roman"/>
                <w:sz w:val="24"/>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492E3F">
              <w:rPr>
                <w:rFonts w:ascii="Symbol" w:hAnsi="Symbol"/>
                <w:sz w:val="24"/>
              </w:rPr>
              <w:t></w:t>
            </w:r>
            <w:proofErr w:type="spellStart"/>
            <w:r w:rsidRPr="00492E3F">
              <w:rPr>
                <w:rFonts w:ascii="Times New Roman" w:hAnsi="Times New Roman"/>
                <w:sz w:val="24"/>
              </w:rPr>
              <w:t>Д</w:t>
            </w:r>
            <w:r w:rsidRPr="00492E3F">
              <w:rPr>
                <w:rFonts w:ascii="Times New Roman" w:hAnsi="Times New Roman"/>
                <w:vertAlign w:val="superscript"/>
              </w:rPr>
              <w:t>н</w:t>
            </w:r>
            <w:r w:rsidRPr="00492E3F">
              <w:rPr>
                <w:rFonts w:ascii="Times New Roman" w:hAnsi="Times New Roman"/>
                <w:vertAlign w:val="subscript"/>
              </w:rPr>
              <w:t>ТВЕ</w:t>
            </w:r>
            <w:proofErr w:type="spellEnd"/>
            <w:r w:rsidRPr="00492E3F">
              <w:rPr>
                <w:rFonts w:ascii="Times New Roman" w:hAnsi="Times New Roman"/>
                <w:sz w:val="24"/>
              </w:rPr>
              <w:t>), тис. грн, що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3291"/>
              <w:gridCol w:w="1771"/>
            </w:tblGrid>
            <w:tr w:rsidR="00492E3F" w:rsidRPr="00492E3F" w14:paraId="20B8B10E" w14:textId="77777777" w:rsidTr="0084161E">
              <w:trPr>
                <w:trHeight w:val="24"/>
                <w:tblCellSpacing w:w="0" w:type="auto"/>
              </w:trPr>
              <w:tc>
                <w:tcPr>
                  <w:tcW w:w="3291" w:type="dxa"/>
                  <w:vAlign w:val="center"/>
                </w:tcPr>
                <w:p w14:paraId="75EAACA1" w14:textId="77777777" w:rsidR="00492E3F" w:rsidRPr="00492E3F" w:rsidRDefault="00492E3F" w:rsidP="00492E3F">
                  <w:pPr>
                    <w:spacing w:after="75"/>
                  </w:pPr>
                  <w:r w:rsidRPr="00492E3F">
                    <w:rPr>
                      <w:noProof/>
                    </w:rPr>
                    <w:drawing>
                      <wp:inline distT="0" distB="0" distL="0" distR="0" wp14:anchorId="12F7762F" wp14:editId="3A7DA46B">
                        <wp:extent cx="1914525" cy="482722"/>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8054" cy="488654"/>
                                </a:xfrm>
                                <a:prstGeom prst="rect">
                                  <a:avLst/>
                                </a:prstGeom>
                              </pic:spPr>
                            </pic:pic>
                          </a:graphicData>
                        </a:graphic>
                      </wp:inline>
                    </w:drawing>
                  </w:r>
                </w:p>
              </w:tc>
              <w:tc>
                <w:tcPr>
                  <w:tcW w:w="1771" w:type="dxa"/>
                  <w:vAlign w:val="center"/>
                </w:tcPr>
                <w:p w14:paraId="46ED829E" w14:textId="77777777" w:rsidR="00492E3F" w:rsidRPr="00492E3F" w:rsidRDefault="00492E3F" w:rsidP="00492E3F">
                  <w:pPr>
                    <w:spacing w:after="75"/>
                  </w:pPr>
                  <w:r w:rsidRPr="00492E3F">
                    <w:rPr>
                      <w:rFonts w:ascii="Times New Roman" w:hAnsi="Times New Roman"/>
                      <w:sz w:val="15"/>
                    </w:rPr>
                    <w:t>,</w:t>
                  </w:r>
                </w:p>
              </w:tc>
            </w:tr>
          </w:tbl>
          <w:p w14:paraId="686D2EC4" w14:textId="77777777" w:rsidR="00492E3F" w:rsidRPr="00492E3F" w:rsidRDefault="00492E3F" w:rsidP="00492E3F">
            <w:pPr>
              <w:spacing w:after="75"/>
              <w:ind w:firstLine="240"/>
              <w:jc w:val="both"/>
            </w:pPr>
            <w:r w:rsidRPr="00492E3F">
              <w:rPr>
                <w:rFonts w:ascii="Times New Roman" w:hAnsi="Times New Roman"/>
                <w:sz w:val="24"/>
              </w:rPr>
              <w:t>де і - місяць;</w:t>
            </w:r>
          </w:p>
          <w:p w14:paraId="3FA7F663" w14:textId="77777777" w:rsidR="00492E3F" w:rsidRPr="00492E3F" w:rsidRDefault="00492E3F" w:rsidP="00492E3F">
            <w:pPr>
              <w:spacing w:after="75"/>
              <w:ind w:firstLine="240"/>
              <w:jc w:val="both"/>
            </w:pPr>
            <w:r w:rsidRPr="00492E3F">
              <w:rPr>
                <w:rFonts w:ascii="Times New Roman" w:hAnsi="Times New Roman"/>
                <w:sz w:val="24"/>
              </w:rPr>
              <w:t>n - кількість місяців;</w:t>
            </w:r>
          </w:p>
          <w:p w14:paraId="29A3FDFF" w14:textId="77777777" w:rsidR="00492E3F" w:rsidRPr="00492E3F" w:rsidRDefault="00492E3F" w:rsidP="00492E3F">
            <w:pPr>
              <w:spacing w:after="75"/>
              <w:ind w:firstLine="240"/>
              <w:jc w:val="both"/>
            </w:pPr>
            <w:r w:rsidRPr="00492E3F">
              <w:rPr>
                <w:rFonts w:ascii="Times New Roman" w:hAnsi="Times New Roman"/>
                <w:sz w:val="24"/>
              </w:rPr>
              <w:t>Д</w:t>
            </w:r>
            <w:r w:rsidRPr="00492E3F">
              <w:rPr>
                <w:rFonts w:ascii="Times New Roman" w:hAnsi="Times New Roman"/>
                <w:vertAlign w:val="subscript"/>
              </w:rPr>
              <w:t>ТВЕ т</w:t>
            </w:r>
            <w:r w:rsidRPr="00492E3F">
              <w:rPr>
                <w:rFonts w:ascii="Times New Roman" w:hAnsi="Times New Roman"/>
                <w:sz w:val="24"/>
              </w:rPr>
              <w:t xml:space="preserve"> - вартість технологічних витрат електричної енергії, урахована в тарифах на звітний рік, тис. грн.</w:t>
            </w:r>
          </w:p>
          <w:p w14:paraId="1353E4CC" w14:textId="77777777" w:rsidR="00492E3F" w:rsidRPr="00492E3F" w:rsidRDefault="00492E3F" w:rsidP="00492E3F">
            <w:pPr>
              <w:spacing w:after="75"/>
              <w:ind w:firstLine="240"/>
              <w:jc w:val="both"/>
            </w:pPr>
            <w:r w:rsidRPr="00492E3F">
              <w:rPr>
                <w:rFonts w:ascii="Times New Roman" w:hAnsi="Times New Roman"/>
                <w:sz w:val="24"/>
              </w:rPr>
              <w:t>Д</w:t>
            </w:r>
            <w:r w:rsidRPr="00492E3F">
              <w:rPr>
                <w:rFonts w:ascii="Times New Roman" w:hAnsi="Times New Roman"/>
                <w:vertAlign w:val="subscript"/>
              </w:rPr>
              <w:t>ТВЕ</w:t>
            </w:r>
            <w:r w:rsidRPr="00492E3F">
              <w:rPr>
                <w:rFonts w:ascii="Times New Roman" w:hAnsi="Times New Roman"/>
                <w:sz w:val="24"/>
              </w:rPr>
              <w:t xml:space="preserve"> </w:t>
            </w:r>
            <w:proofErr w:type="spellStart"/>
            <w:r w:rsidRPr="00492E3F">
              <w:rPr>
                <w:rFonts w:ascii="Times New Roman" w:hAnsi="Times New Roman"/>
                <w:vertAlign w:val="subscript"/>
              </w:rPr>
              <w:t>нф</w:t>
            </w:r>
            <w:proofErr w:type="spellEnd"/>
            <w:r w:rsidRPr="00492E3F">
              <w:rPr>
                <w:rFonts w:ascii="Times New Roman" w:hAnsi="Times New Roman"/>
                <w:vertAlign w:val="subscript"/>
              </w:rPr>
              <w:t xml:space="preserve"> і</w:t>
            </w:r>
            <w:r w:rsidRPr="00492E3F">
              <w:rPr>
                <w:rFonts w:ascii="Times New Roman" w:hAnsi="Times New Roman"/>
                <w:sz w:val="24"/>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147D32B0" w14:textId="77777777" w:rsidR="00492E3F" w:rsidRPr="00492E3F" w:rsidRDefault="00492E3F" w:rsidP="00492E3F">
            <w:pPr>
              <w:spacing w:after="75"/>
              <w:ind w:firstLine="240"/>
              <w:jc w:val="both"/>
            </w:pPr>
            <w:r w:rsidRPr="00492E3F">
              <w:rPr>
                <w:rFonts w:ascii="Times New Roman" w:hAnsi="Times New Roman"/>
                <w:sz w:val="24"/>
              </w:rPr>
              <w:lastRenderedPageBreak/>
              <w:t>Якщо порушена схема нормального режиму роботи системи розподілу / змінені обсяги розподілу/надходження/віддачі/транзиту електричної енергії тощо внаслідок введення воєнного стану та/або бойових дій в Україні та за умови, що</w:t>
            </w:r>
          </w:p>
          <w:p w14:paraId="220E55D8" w14:textId="77777777" w:rsidR="00492E3F" w:rsidRPr="00492E3F" w:rsidRDefault="00492E3F" w:rsidP="00492E3F">
            <w:pPr>
              <w:spacing w:after="75"/>
              <w:jc w:val="center"/>
            </w:pPr>
            <w:r w:rsidRPr="00492E3F">
              <w:rPr>
                <w:noProof/>
              </w:rPr>
              <w:drawing>
                <wp:inline distT="0" distB="0" distL="0" distR="0" wp14:anchorId="01197152" wp14:editId="481CFF1A">
                  <wp:extent cx="2619375" cy="278869"/>
                  <wp:effectExtent l="0" t="0" r="0" b="698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99507" cy="287400"/>
                          </a:xfrm>
                          <a:prstGeom prst="rect">
                            <a:avLst/>
                          </a:prstGeom>
                        </pic:spPr>
                      </pic:pic>
                    </a:graphicData>
                  </a:graphic>
                </wp:inline>
              </w:drawing>
            </w:r>
            <w:r w:rsidRPr="00492E3F">
              <w:rPr>
                <w:rFonts w:ascii="Times New Roman" w:hAnsi="Times New Roman"/>
                <w:sz w:val="24"/>
              </w:rPr>
              <w:t>,</w:t>
            </w:r>
          </w:p>
          <w:p w14:paraId="1AFFF306" w14:textId="77777777" w:rsidR="00492E3F" w:rsidRPr="00492E3F" w:rsidRDefault="00492E3F" w:rsidP="00492E3F">
            <w:pPr>
              <w:spacing w:after="75"/>
              <w:ind w:firstLine="240"/>
              <w:jc w:val="both"/>
            </w:pPr>
            <w:r w:rsidRPr="00492E3F">
              <w:rPr>
                <w:rFonts w:ascii="Times New Roman" w:hAnsi="Times New Roman"/>
                <w:sz w:val="24"/>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681ADF74" w14:textId="77777777" w:rsidR="00492E3F" w:rsidRPr="00492E3F" w:rsidRDefault="00492E3F" w:rsidP="00492E3F">
            <w:pPr>
              <w:spacing w:after="75"/>
              <w:ind w:firstLine="240"/>
              <w:jc w:val="both"/>
            </w:pPr>
            <w:r w:rsidRPr="00492E3F">
              <w:rPr>
                <w:rFonts w:ascii="Times New Roman" w:hAnsi="Times New Roman"/>
                <w:sz w:val="24"/>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69FB60C5" w14:textId="0E66EDC8" w:rsidR="00492E3F" w:rsidRPr="00492E3F" w:rsidRDefault="009E7A7C" w:rsidP="00492E3F">
            <w:pPr>
              <w:spacing w:after="75"/>
              <w:ind w:firstLine="240"/>
              <w:jc w:val="both"/>
            </w:pPr>
            <w:r w:rsidRPr="006F35EB">
              <w:rPr>
                <w:rFonts w:ascii="Times New Roman" w:hAnsi="Times New Roman"/>
                <w:b/>
                <w:sz w:val="24"/>
              </w:rPr>
              <w:t xml:space="preserve">належним чином оформлених розрахунків витрат електричної енергії за 2022 – 2025 роки згідно із фактичними схемами роботи системи розподілу/обсягами розподілу/надходження/віддачі/транзиту електричної енергії тощо за 2022 – 2025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2025 роках (з 2024 року за умови, що величина загального обсягу відпуску електричної енергії побутовим та непобутовим споживачам (у тис. </w:t>
            </w:r>
            <w:proofErr w:type="spellStart"/>
            <w:r w:rsidRPr="006F35EB">
              <w:rPr>
                <w:rFonts w:ascii="Times New Roman" w:hAnsi="Times New Roman"/>
                <w:b/>
                <w:sz w:val="24"/>
              </w:rPr>
              <w:t>кВт·год</w:t>
            </w:r>
            <w:proofErr w:type="spellEnd"/>
            <w:r w:rsidRPr="006F35EB">
              <w:rPr>
                <w:rFonts w:ascii="Times New Roman" w:hAnsi="Times New Roman"/>
                <w:b/>
                <w:sz w:val="24"/>
              </w:rPr>
              <w:t xml:space="preserve">), визначена за фактичними показами розрахункових засобів обліку електроенергії (приймаються дані, зчитані автоматизованими системами або передані споживачами) за звітний рік, складає не менше ніж 97 % від суми величин загального обсягу відпуску таким споживачам (у тис. </w:t>
            </w:r>
            <w:proofErr w:type="spellStart"/>
            <w:r w:rsidRPr="006F35EB">
              <w:rPr>
                <w:rFonts w:ascii="Times New Roman" w:hAnsi="Times New Roman"/>
                <w:b/>
                <w:sz w:val="24"/>
              </w:rPr>
              <w:t>кВт·год</w:t>
            </w:r>
            <w:proofErr w:type="spellEnd"/>
            <w:r w:rsidRPr="006F35EB">
              <w:rPr>
                <w:rFonts w:ascii="Times New Roman" w:hAnsi="Times New Roman"/>
                <w:b/>
                <w:sz w:val="24"/>
              </w:rPr>
              <w:t xml:space="preserve">), що наведені у формі звітності № 5 НКРЕКП-моніторинг-розподіл (місячна) за відповідний звітний рік). Для операторів систем </w:t>
            </w:r>
            <w:r w:rsidRPr="006F35EB">
              <w:rPr>
                <w:rFonts w:ascii="Times New Roman" w:hAnsi="Times New Roman"/>
                <w:b/>
                <w:sz w:val="24"/>
              </w:rPr>
              <w:lastRenderedPageBreak/>
              <w:t>розподілу, частина основних фондів яких знаходиться на територіях, на яких ведуться (велися) бойові дії або тимчасово окупованих російською федерацією, перелік яких наведено в додатку 30 до Порядку № 1175, за умови належного обґрунтування може бути застосований інший відсоток фактичних показів розрахункових засобів обліку електроенергії</w:t>
            </w:r>
            <w:r w:rsidR="00492E3F" w:rsidRPr="00492E3F">
              <w:rPr>
                <w:rFonts w:ascii="Times New Roman" w:hAnsi="Times New Roman"/>
                <w:sz w:val="24"/>
              </w:rPr>
              <w:t>.</w:t>
            </w:r>
          </w:p>
          <w:p w14:paraId="6BBC5A87" w14:textId="6149630E" w:rsidR="00492E3F" w:rsidRPr="00492E3F" w:rsidRDefault="00492E3F" w:rsidP="00492E3F">
            <w:pPr>
              <w:spacing w:after="75"/>
              <w:jc w:val="center"/>
            </w:pPr>
            <w:r w:rsidRPr="00492E3F">
              <w:rPr>
                <w:rFonts w:ascii="Times New Roman" w:hAnsi="Times New Roman"/>
                <w:sz w:val="24"/>
              </w:rPr>
              <w:t>Д</w:t>
            </w:r>
            <w:r w:rsidRPr="00492E3F">
              <w:rPr>
                <w:rFonts w:ascii="Times New Roman" w:hAnsi="Times New Roman"/>
                <w:vertAlign w:val="subscript"/>
              </w:rPr>
              <w:t xml:space="preserve">ТВЕ </w:t>
            </w:r>
            <w:proofErr w:type="spellStart"/>
            <w:r w:rsidRPr="00492E3F">
              <w:rPr>
                <w:rFonts w:ascii="Times New Roman" w:hAnsi="Times New Roman"/>
                <w:vertAlign w:val="subscript"/>
              </w:rPr>
              <w:t>нф</w:t>
            </w:r>
            <w:proofErr w:type="spellEnd"/>
            <w:r w:rsidRPr="00492E3F">
              <w:rPr>
                <w:rFonts w:ascii="Times New Roman" w:hAnsi="Times New Roman"/>
                <w:vertAlign w:val="subscript"/>
              </w:rPr>
              <w:t xml:space="preserve"> і</w:t>
            </w:r>
            <w:r w:rsidRPr="00492E3F">
              <w:rPr>
                <w:rFonts w:ascii="Times New Roman" w:hAnsi="Times New Roman"/>
                <w:sz w:val="24"/>
              </w:rPr>
              <w:t xml:space="preserve"> за 2022 - </w:t>
            </w:r>
            <w:r w:rsidR="006F35EB" w:rsidRPr="006F35EB">
              <w:rPr>
                <w:rFonts w:ascii="Times New Roman" w:hAnsi="Times New Roman"/>
                <w:b/>
                <w:sz w:val="24"/>
                <w:lang w:val="en-US"/>
              </w:rPr>
              <w:t>2025</w:t>
            </w:r>
            <w:r w:rsidRPr="00492E3F">
              <w:rPr>
                <w:rFonts w:ascii="Times New Roman" w:hAnsi="Times New Roman"/>
                <w:sz w:val="24"/>
              </w:rPr>
              <w:t xml:space="preserve"> роки визначається за формулою</w:t>
            </w:r>
          </w:p>
          <w:p w14:paraId="33E9DBA3" w14:textId="77777777" w:rsidR="00492E3F" w:rsidRPr="00492E3F" w:rsidRDefault="00492E3F" w:rsidP="00492E3F">
            <w:pPr>
              <w:spacing w:after="75"/>
              <w:jc w:val="center"/>
            </w:pPr>
            <w:r w:rsidRPr="00492E3F">
              <w:rPr>
                <w:rFonts w:ascii="Times New Roman" w:hAnsi="Times New Roman"/>
                <w:sz w:val="24"/>
              </w:rPr>
              <w:t>Д</w:t>
            </w:r>
            <w:r w:rsidRPr="00492E3F">
              <w:rPr>
                <w:rFonts w:ascii="Times New Roman" w:hAnsi="Times New Roman"/>
                <w:vertAlign w:val="subscript"/>
              </w:rPr>
              <w:t xml:space="preserve">ТВЕ </w:t>
            </w:r>
            <w:proofErr w:type="spellStart"/>
            <w:r w:rsidRPr="00492E3F">
              <w:rPr>
                <w:rFonts w:ascii="Times New Roman" w:hAnsi="Times New Roman"/>
                <w:vertAlign w:val="subscript"/>
              </w:rPr>
              <w:t>нф</w:t>
            </w:r>
            <w:proofErr w:type="spellEnd"/>
            <w:r w:rsidRPr="00492E3F">
              <w:rPr>
                <w:rFonts w:ascii="Times New Roman" w:hAnsi="Times New Roman"/>
                <w:vertAlign w:val="subscript"/>
              </w:rPr>
              <w:t xml:space="preserve"> і</w:t>
            </w:r>
            <w:r w:rsidRPr="00492E3F">
              <w:rPr>
                <w:rFonts w:ascii="Times New Roman" w:hAnsi="Times New Roman"/>
                <w:sz w:val="24"/>
              </w:rPr>
              <w:t xml:space="preserve"> = (О</w:t>
            </w:r>
            <w:r w:rsidRPr="00492E3F">
              <w:rPr>
                <w:rFonts w:ascii="Times New Roman" w:hAnsi="Times New Roman"/>
                <w:vertAlign w:val="subscript"/>
              </w:rPr>
              <w:t>ТВЕ ф і</w:t>
            </w:r>
            <w:r w:rsidRPr="00492E3F">
              <w:rPr>
                <w:rFonts w:ascii="Times New Roman" w:hAnsi="Times New Roman"/>
                <w:sz w:val="24"/>
              </w:rPr>
              <w:t xml:space="preserve"> - О</w:t>
            </w:r>
            <w:r w:rsidRPr="00492E3F">
              <w:rPr>
                <w:rFonts w:ascii="Times New Roman" w:hAnsi="Times New Roman"/>
                <w:vertAlign w:val="subscript"/>
              </w:rPr>
              <w:t>ТВЕ он і</w:t>
            </w:r>
            <w:r w:rsidRPr="00492E3F">
              <w:rPr>
                <w:rFonts w:ascii="Times New Roman" w:hAnsi="Times New Roman"/>
                <w:sz w:val="24"/>
              </w:rPr>
              <w:t>) x Ц</w:t>
            </w:r>
            <w:r w:rsidRPr="00492E3F">
              <w:rPr>
                <w:rFonts w:ascii="Times New Roman" w:hAnsi="Times New Roman"/>
                <w:vertAlign w:val="subscript"/>
              </w:rPr>
              <w:t>ТВЕ і</w:t>
            </w:r>
            <w:r w:rsidRPr="00492E3F">
              <w:rPr>
                <w:rFonts w:ascii="Times New Roman" w:hAnsi="Times New Roman"/>
                <w:sz w:val="24"/>
              </w:rPr>
              <w:t>,</w:t>
            </w:r>
          </w:p>
          <w:p w14:paraId="2D9BD9F4" w14:textId="77777777" w:rsidR="00492E3F" w:rsidRPr="00492E3F" w:rsidRDefault="00492E3F" w:rsidP="00492E3F">
            <w:pPr>
              <w:spacing w:after="75"/>
              <w:ind w:firstLine="240"/>
              <w:jc w:val="both"/>
            </w:pPr>
            <w:r w:rsidRPr="00492E3F">
              <w:rPr>
                <w:rFonts w:ascii="Times New Roman" w:hAnsi="Times New Roman"/>
                <w:sz w:val="24"/>
              </w:rPr>
              <w:t>де О</w:t>
            </w:r>
            <w:r w:rsidRPr="00492E3F">
              <w:rPr>
                <w:rFonts w:ascii="Times New Roman" w:hAnsi="Times New Roman"/>
                <w:vertAlign w:val="subscript"/>
              </w:rPr>
              <w:t>ТВЕ ф і</w:t>
            </w:r>
            <w:r w:rsidRPr="00492E3F">
              <w:rPr>
                <w:rFonts w:ascii="Times New Roman" w:hAnsi="Times New Roman"/>
                <w:sz w:val="24"/>
              </w:rPr>
              <w:t xml:space="preserve"> - фактичний обсяг технологічних витрат електричної енергії на її розподіл в і-му місяці звітного року, </w:t>
            </w:r>
            <w:proofErr w:type="spellStart"/>
            <w:r w:rsidRPr="00492E3F">
              <w:rPr>
                <w:rFonts w:ascii="Times New Roman" w:hAnsi="Times New Roman"/>
                <w:sz w:val="24"/>
              </w:rPr>
              <w:t>МВт·год</w:t>
            </w:r>
            <w:proofErr w:type="spellEnd"/>
            <w:r w:rsidRPr="00492E3F">
              <w:rPr>
                <w:rFonts w:ascii="Times New Roman" w:hAnsi="Times New Roman"/>
                <w:sz w:val="24"/>
              </w:rPr>
              <w:t>;</w:t>
            </w:r>
          </w:p>
          <w:p w14:paraId="27EEA979" w14:textId="0736AA93" w:rsidR="002A4A73" w:rsidRPr="00EC3012" w:rsidRDefault="00492E3F" w:rsidP="001E1705">
            <w:pPr>
              <w:ind w:firstLine="308"/>
              <w:jc w:val="both"/>
              <w:rPr>
                <w:rFonts w:ascii="Times New Roman" w:hAnsi="Times New Roman" w:cs="Times New Roman"/>
                <w:b/>
                <w:shd w:val="clear" w:color="auto" w:fill="FFFFFF"/>
              </w:rPr>
            </w:pPr>
            <w:r w:rsidRPr="00492E3F">
              <w:rPr>
                <w:rFonts w:ascii="Times New Roman" w:hAnsi="Times New Roman"/>
                <w:sz w:val="24"/>
              </w:rPr>
              <w:t>О</w:t>
            </w:r>
            <w:r w:rsidRPr="00492E3F">
              <w:rPr>
                <w:rFonts w:ascii="Times New Roman" w:hAnsi="Times New Roman"/>
                <w:vertAlign w:val="subscript"/>
              </w:rPr>
              <w:t>ТВЕ он і</w:t>
            </w:r>
            <w:r w:rsidRPr="00492E3F">
              <w:rPr>
                <w:rFonts w:ascii="Times New Roman" w:hAnsi="Times New Roman"/>
                <w:sz w:val="24"/>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розподілу/надходження/віддачі/транзиту електричної енергії тощо внаслідок введення воєнного стану та/або бойових дій в Україні, в і-му місяці звітного року, </w:t>
            </w:r>
            <w:proofErr w:type="spellStart"/>
            <w:r w:rsidRPr="00492E3F">
              <w:rPr>
                <w:rFonts w:ascii="Times New Roman" w:hAnsi="Times New Roman"/>
                <w:sz w:val="24"/>
              </w:rPr>
              <w:t>МВт·год</w:t>
            </w:r>
            <w:proofErr w:type="spellEnd"/>
            <w:r w:rsidRPr="00492E3F">
              <w:rPr>
                <w:rFonts w:ascii="Times New Roman" w:hAnsi="Times New Roman"/>
                <w:sz w:val="24"/>
              </w:rPr>
              <w:t>;</w:t>
            </w:r>
          </w:p>
        </w:tc>
      </w:tr>
      <w:tr w:rsidR="004030C4" w:rsidRPr="00EC3012" w14:paraId="314E99AD" w14:textId="77777777" w:rsidTr="004030C4">
        <w:trPr>
          <w:trHeight w:val="610"/>
        </w:trPr>
        <w:tc>
          <w:tcPr>
            <w:tcW w:w="7724" w:type="dxa"/>
          </w:tcPr>
          <w:p w14:paraId="16E00AFC" w14:textId="77777777" w:rsidR="004030C4" w:rsidRDefault="001F249E" w:rsidP="004030C4">
            <w:pPr>
              <w:ind w:firstLine="308"/>
              <w:jc w:val="both"/>
              <w:rPr>
                <w:rFonts w:ascii="Times New Roman" w:hAnsi="Times New Roman" w:cs="Times New Roman"/>
                <w:shd w:val="clear" w:color="auto" w:fill="FFFFFF"/>
              </w:rPr>
            </w:pPr>
            <w:r w:rsidRPr="001F249E">
              <w:rPr>
                <w:rFonts w:ascii="Times New Roman" w:hAnsi="Times New Roman" w:cs="Times New Roman"/>
                <w:shd w:val="clear" w:color="auto" w:fill="FFFFFF"/>
              </w:rPr>
              <w:lastRenderedPageBreak/>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794E9DE9" w14:textId="77777777" w:rsidR="001E1705" w:rsidRPr="001E1705" w:rsidRDefault="001E1705" w:rsidP="001E1705">
            <w:pPr>
              <w:ind w:firstLine="308"/>
              <w:jc w:val="both"/>
              <w:rPr>
                <w:rFonts w:ascii="Times New Roman" w:hAnsi="Times New Roman" w:cs="Times New Roman"/>
                <w:shd w:val="clear" w:color="auto" w:fill="FFFFFF"/>
              </w:rPr>
            </w:pPr>
          </w:p>
          <w:p w14:paraId="580CDFEA" w14:textId="77777777" w:rsidR="001E1705" w:rsidRPr="001E1705" w:rsidRDefault="001E1705" w:rsidP="001E1705">
            <w:pPr>
              <w:ind w:firstLine="308"/>
              <w:jc w:val="both"/>
              <w:rPr>
                <w:rFonts w:ascii="Times New Roman" w:hAnsi="Times New Roman" w:cs="Times New Roman"/>
                <w:shd w:val="clear" w:color="auto" w:fill="FFFFFF"/>
              </w:rPr>
            </w:pPr>
            <w:r w:rsidRPr="001E1705">
              <w:rPr>
                <w:rFonts w:ascii="Times New Roman" w:hAnsi="Times New Roman" w:cs="Times New Roman"/>
                <w:shd w:val="clear" w:color="auto" w:fill="FFFFFF"/>
              </w:rPr>
              <w:t>&lt;…&gt;</w:t>
            </w:r>
          </w:p>
          <w:p w14:paraId="756A1053" w14:textId="77777777" w:rsidR="001F249E" w:rsidRDefault="001F249E" w:rsidP="004030C4">
            <w:pPr>
              <w:ind w:firstLine="308"/>
              <w:jc w:val="both"/>
              <w:rPr>
                <w:rFonts w:ascii="Times New Roman" w:hAnsi="Times New Roman" w:cs="Times New Roman"/>
                <w:shd w:val="clear" w:color="auto" w:fill="FFFFFF"/>
              </w:rPr>
            </w:pPr>
          </w:p>
          <w:p w14:paraId="25657388" w14:textId="18D90D6A" w:rsidR="001E1705" w:rsidRDefault="001E1705" w:rsidP="004030C4">
            <w:pPr>
              <w:ind w:firstLine="308"/>
              <w:jc w:val="both"/>
              <w:rPr>
                <w:rFonts w:ascii="Times New Roman" w:hAnsi="Times New Roman" w:cs="Times New Roman"/>
                <w:shd w:val="clear" w:color="auto" w:fill="FFFFFF"/>
              </w:rPr>
            </w:pPr>
            <w:r w:rsidRPr="001E1705">
              <w:rPr>
                <w:rFonts w:ascii="Times New Roman" w:hAnsi="Times New Roman" w:cs="Times New Roman"/>
                <w:shd w:val="clear" w:color="auto" w:fill="FFFFFF"/>
              </w:rPr>
              <w:t>3) сума обґрунтованих перевитрат статей витрат (крім статті "витрати, пов'язані з купівлею електричної енергії з метою компенсації технологічних витрат електричної енергії на її розподіл") структури тарифів у звітному році з урахуванням витрат, які були капіталізовані за бухгалтерським обліком;</w:t>
            </w:r>
          </w:p>
          <w:p w14:paraId="35710951" w14:textId="77777777" w:rsidR="001E1705" w:rsidRDefault="001E1705" w:rsidP="004030C4">
            <w:pPr>
              <w:ind w:firstLine="308"/>
              <w:jc w:val="both"/>
              <w:rPr>
                <w:rFonts w:ascii="Times New Roman" w:hAnsi="Times New Roman" w:cs="Times New Roman"/>
                <w:shd w:val="clear" w:color="auto" w:fill="FFFFFF"/>
              </w:rPr>
            </w:pPr>
          </w:p>
          <w:p w14:paraId="3BEB60A8" w14:textId="77777777" w:rsidR="001E1705" w:rsidRPr="001E1705" w:rsidRDefault="001E1705" w:rsidP="001E1705">
            <w:pPr>
              <w:ind w:firstLine="308"/>
              <w:jc w:val="both"/>
              <w:rPr>
                <w:rFonts w:ascii="Times New Roman" w:hAnsi="Times New Roman" w:cs="Times New Roman"/>
                <w:shd w:val="clear" w:color="auto" w:fill="FFFFFF"/>
              </w:rPr>
            </w:pPr>
          </w:p>
          <w:p w14:paraId="4FE7E991" w14:textId="77777777" w:rsidR="001E1705" w:rsidRPr="001E1705" w:rsidRDefault="001E1705" w:rsidP="001E1705">
            <w:pPr>
              <w:ind w:firstLine="308"/>
              <w:jc w:val="both"/>
              <w:rPr>
                <w:rFonts w:ascii="Times New Roman" w:hAnsi="Times New Roman" w:cs="Times New Roman"/>
                <w:shd w:val="clear" w:color="auto" w:fill="FFFFFF"/>
              </w:rPr>
            </w:pPr>
            <w:r w:rsidRPr="001E1705">
              <w:rPr>
                <w:rFonts w:ascii="Times New Roman" w:hAnsi="Times New Roman" w:cs="Times New Roman"/>
                <w:shd w:val="clear" w:color="auto" w:fill="FFFFFF"/>
              </w:rPr>
              <w:t>&lt;…&gt;</w:t>
            </w:r>
          </w:p>
          <w:p w14:paraId="0EF84608" w14:textId="77777777" w:rsidR="001E1705" w:rsidRDefault="001E1705" w:rsidP="001E1705">
            <w:pPr>
              <w:ind w:firstLine="308"/>
              <w:jc w:val="both"/>
              <w:rPr>
                <w:rFonts w:ascii="Times New Roman" w:hAnsi="Times New Roman" w:cs="Times New Roman"/>
                <w:shd w:val="clear" w:color="auto" w:fill="FFFFFF"/>
              </w:rPr>
            </w:pPr>
          </w:p>
          <w:p w14:paraId="46243EA5" w14:textId="2B8FE916" w:rsidR="001E1705" w:rsidRDefault="00F222E6" w:rsidP="004030C4">
            <w:pPr>
              <w:ind w:firstLine="308"/>
              <w:jc w:val="both"/>
              <w:rPr>
                <w:rFonts w:ascii="Times New Roman" w:hAnsi="Times New Roman" w:cs="Times New Roman"/>
                <w:shd w:val="clear" w:color="auto" w:fill="FFFFFF"/>
              </w:rPr>
            </w:pPr>
            <w:r w:rsidRPr="00F222E6">
              <w:rPr>
                <w:rFonts w:ascii="Times New Roman" w:hAnsi="Times New Roman" w:cs="Times New Roman"/>
                <w:shd w:val="clear" w:color="auto" w:fill="FFFFFF"/>
              </w:rPr>
              <w:t>6) фактичні витрати, понесені ліцензіатом у звітному році, які відповідно до постанов N 345 та N 386 визнано обґрунтованими.</w:t>
            </w:r>
          </w:p>
          <w:p w14:paraId="4F1675F0" w14:textId="4C7F2E69" w:rsidR="001E1705" w:rsidRPr="00EC3012" w:rsidRDefault="001E1705" w:rsidP="004030C4">
            <w:pPr>
              <w:ind w:firstLine="308"/>
              <w:jc w:val="both"/>
              <w:rPr>
                <w:rFonts w:ascii="Times New Roman" w:hAnsi="Times New Roman" w:cs="Times New Roman"/>
                <w:shd w:val="clear" w:color="auto" w:fill="FFFFFF"/>
              </w:rPr>
            </w:pPr>
          </w:p>
        </w:tc>
        <w:tc>
          <w:tcPr>
            <w:tcW w:w="7725" w:type="dxa"/>
          </w:tcPr>
          <w:p w14:paraId="72FF9F31" w14:textId="77777777" w:rsidR="004030C4" w:rsidRDefault="001F249E" w:rsidP="004030C4">
            <w:pPr>
              <w:ind w:firstLine="308"/>
              <w:jc w:val="both"/>
              <w:rPr>
                <w:rFonts w:ascii="Times New Roman" w:hAnsi="Times New Roman" w:cs="Times New Roman"/>
                <w:shd w:val="clear" w:color="auto" w:fill="FFFFFF"/>
              </w:rPr>
            </w:pPr>
            <w:r w:rsidRPr="001F249E">
              <w:rPr>
                <w:rFonts w:ascii="Times New Roman" w:hAnsi="Times New Roman" w:cs="Times New Roman"/>
                <w:shd w:val="clear" w:color="auto" w:fill="FFFFFF"/>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1AF3C2F9" w14:textId="77777777" w:rsidR="001F249E" w:rsidRDefault="001F249E" w:rsidP="004030C4">
            <w:pPr>
              <w:ind w:firstLine="308"/>
              <w:jc w:val="both"/>
              <w:rPr>
                <w:rFonts w:ascii="Times New Roman" w:hAnsi="Times New Roman" w:cs="Times New Roman"/>
                <w:shd w:val="clear" w:color="auto" w:fill="FFFFFF"/>
              </w:rPr>
            </w:pPr>
          </w:p>
          <w:p w14:paraId="6B01D089" w14:textId="77777777" w:rsidR="001E1705" w:rsidRPr="001E1705" w:rsidRDefault="001E1705" w:rsidP="001E1705">
            <w:pPr>
              <w:ind w:firstLine="308"/>
              <w:jc w:val="both"/>
              <w:rPr>
                <w:rFonts w:ascii="Times New Roman" w:hAnsi="Times New Roman" w:cs="Times New Roman"/>
                <w:shd w:val="clear" w:color="auto" w:fill="FFFFFF"/>
              </w:rPr>
            </w:pPr>
            <w:r w:rsidRPr="001E1705">
              <w:rPr>
                <w:rFonts w:ascii="Times New Roman" w:hAnsi="Times New Roman" w:cs="Times New Roman"/>
                <w:shd w:val="clear" w:color="auto" w:fill="FFFFFF"/>
              </w:rPr>
              <w:t>&lt;…&gt;</w:t>
            </w:r>
          </w:p>
          <w:p w14:paraId="3FAA19FF" w14:textId="77777777" w:rsidR="001E1705" w:rsidRDefault="001E1705" w:rsidP="001E1705">
            <w:pPr>
              <w:ind w:firstLine="308"/>
              <w:jc w:val="both"/>
              <w:rPr>
                <w:rFonts w:ascii="Times New Roman" w:hAnsi="Times New Roman" w:cs="Times New Roman"/>
                <w:shd w:val="clear" w:color="auto" w:fill="FFFFFF"/>
              </w:rPr>
            </w:pPr>
          </w:p>
          <w:p w14:paraId="7BB419C9" w14:textId="24801484" w:rsidR="001E1705" w:rsidRDefault="001E1705" w:rsidP="001E1705">
            <w:pPr>
              <w:ind w:firstLine="308"/>
              <w:jc w:val="both"/>
              <w:rPr>
                <w:rFonts w:ascii="Times New Roman" w:hAnsi="Times New Roman" w:cs="Times New Roman"/>
                <w:shd w:val="clear" w:color="auto" w:fill="FFFFFF"/>
              </w:rPr>
            </w:pPr>
            <w:r w:rsidRPr="001E1705">
              <w:rPr>
                <w:rFonts w:ascii="Times New Roman" w:hAnsi="Times New Roman" w:cs="Times New Roman"/>
                <w:shd w:val="clear" w:color="auto" w:fill="FFFFFF"/>
              </w:rPr>
              <w:t>3) сума обґрунтованих перевитрат статей витрат (крім статті "витрати, пов'язані з купівлею електричної енергії з метою компенсації технологічних витрат електричної енергії на її розподіл") структури тарифів у звітному році з урахуванням витрат, які були капіталізовані за бухгалтерським обліком</w:t>
            </w:r>
            <w:r>
              <w:rPr>
                <w:rFonts w:ascii="Times New Roman" w:hAnsi="Times New Roman" w:cs="Times New Roman"/>
                <w:shd w:val="clear" w:color="auto" w:fill="FFFFFF"/>
                <w:lang w:val="en-US"/>
              </w:rPr>
              <w:t xml:space="preserve">. </w:t>
            </w:r>
            <w:r w:rsidRPr="001E1705">
              <w:rPr>
                <w:rFonts w:ascii="Times New Roman" w:hAnsi="Times New Roman" w:cs="Times New Roman"/>
                <w:b/>
                <w:shd w:val="clear" w:color="auto" w:fill="FFFFFF"/>
              </w:rPr>
              <w:t>Такі витрати підтверджуються копіями первинних документів</w:t>
            </w:r>
            <w:r w:rsidRPr="001E1705">
              <w:rPr>
                <w:rFonts w:ascii="Times New Roman" w:hAnsi="Times New Roman" w:cs="Times New Roman"/>
                <w:shd w:val="clear" w:color="auto" w:fill="FFFFFF"/>
              </w:rPr>
              <w:t>;</w:t>
            </w:r>
          </w:p>
          <w:p w14:paraId="65A35907" w14:textId="77777777" w:rsidR="001E1705" w:rsidRPr="001E1705" w:rsidRDefault="001E1705" w:rsidP="001E1705">
            <w:pPr>
              <w:ind w:firstLine="308"/>
              <w:jc w:val="both"/>
              <w:rPr>
                <w:rFonts w:ascii="Times New Roman" w:hAnsi="Times New Roman" w:cs="Times New Roman"/>
                <w:shd w:val="clear" w:color="auto" w:fill="FFFFFF"/>
              </w:rPr>
            </w:pPr>
          </w:p>
          <w:p w14:paraId="469B3D41" w14:textId="77777777" w:rsidR="001E1705" w:rsidRPr="001E1705" w:rsidRDefault="001E1705" w:rsidP="001E1705">
            <w:pPr>
              <w:ind w:firstLine="308"/>
              <w:jc w:val="both"/>
              <w:rPr>
                <w:rFonts w:ascii="Times New Roman" w:hAnsi="Times New Roman" w:cs="Times New Roman"/>
                <w:shd w:val="clear" w:color="auto" w:fill="FFFFFF"/>
              </w:rPr>
            </w:pPr>
            <w:r w:rsidRPr="001E1705">
              <w:rPr>
                <w:rFonts w:ascii="Times New Roman" w:hAnsi="Times New Roman" w:cs="Times New Roman"/>
                <w:shd w:val="clear" w:color="auto" w:fill="FFFFFF"/>
              </w:rPr>
              <w:t>&lt;…&gt;</w:t>
            </w:r>
          </w:p>
          <w:p w14:paraId="4C89CD0A" w14:textId="77777777" w:rsidR="001E1705" w:rsidRDefault="001E1705" w:rsidP="001E1705">
            <w:pPr>
              <w:ind w:firstLine="308"/>
              <w:jc w:val="both"/>
              <w:rPr>
                <w:rFonts w:ascii="Times New Roman" w:hAnsi="Times New Roman" w:cs="Times New Roman"/>
                <w:shd w:val="clear" w:color="auto" w:fill="FFFFFF"/>
              </w:rPr>
            </w:pPr>
          </w:p>
          <w:p w14:paraId="2BB747EA" w14:textId="7B3766A5" w:rsidR="001F249E" w:rsidRPr="00EC3012" w:rsidRDefault="00F222E6" w:rsidP="004030C4">
            <w:pPr>
              <w:ind w:firstLine="308"/>
              <w:jc w:val="both"/>
              <w:rPr>
                <w:rFonts w:ascii="Times New Roman" w:hAnsi="Times New Roman" w:cs="Times New Roman"/>
                <w:shd w:val="clear" w:color="auto" w:fill="FFFFFF"/>
              </w:rPr>
            </w:pPr>
            <w:r w:rsidRPr="00F222E6">
              <w:rPr>
                <w:rFonts w:ascii="Times New Roman" w:hAnsi="Times New Roman" w:cs="Times New Roman"/>
                <w:shd w:val="clear" w:color="auto" w:fill="FFFFFF"/>
              </w:rPr>
              <w:t>6) фактичні витрати, понесені ліцензіатом у звітному році, які відповідно до постанов N 345 та N 386 визнано обґрунтованими</w:t>
            </w:r>
            <w:r w:rsidRPr="00F222E6">
              <w:rPr>
                <w:rFonts w:ascii="Times New Roman" w:hAnsi="Times New Roman" w:cs="Times New Roman"/>
                <w:b/>
                <w:shd w:val="clear" w:color="auto" w:fill="FFFFFF"/>
              </w:rPr>
              <w:t xml:space="preserve">, за винятком витрат, понесених ліцензіатом у звітному році, які відповідно до постанови № 386 </w:t>
            </w:r>
            <w:r w:rsidRPr="00F222E6">
              <w:rPr>
                <w:rFonts w:ascii="Times New Roman" w:hAnsi="Times New Roman" w:cs="Times New Roman"/>
                <w:b/>
                <w:shd w:val="clear" w:color="auto" w:fill="FFFFFF"/>
              </w:rPr>
              <w:lastRenderedPageBreak/>
              <w:t>визнано обґрунтованими, визначених відповідно до пунктів 12 та 13 цієї Методики</w:t>
            </w:r>
            <w:r>
              <w:rPr>
                <w:rFonts w:ascii="Times New Roman" w:hAnsi="Times New Roman" w:cs="Times New Roman"/>
                <w:shd w:val="clear" w:color="auto" w:fill="FFFFFF"/>
              </w:rPr>
              <w:t>.</w:t>
            </w:r>
          </w:p>
        </w:tc>
      </w:tr>
      <w:tr w:rsidR="004756A2" w:rsidRPr="00EC3012" w14:paraId="202C2801" w14:textId="77777777" w:rsidTr="00E90E00">
        <w:trPr>
          <w:trHeight w:val="610"/>
        </w:trPr>
        <w:tc>
          <w:tcPr>
            <w:tcW w:w="7724" w:type="dxa"/>
          </w:tcPr>
          <w:p w14:paraId="1C7E3362" w14:textId="47461A9C" w:rsidR="004756A2" w:rsidRPr="00EC3012" w:rsidRDefault="004756A2" w:rsidP="00E90E00">
            <w:pPr>
              <w:ind w:firstLine="308"/>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 xml:space="preserve">10. </w:t>
            </w:r>
            <w:r w:rsidR="00E90E00" w:rsidRPr="00E90E00">
              <w:rPr>
                <w:rFonts w:ascii="Times New Roman" w:hAnsi="Times New Roman" w:cs="Times New Roman"/>
                <w:shd w:val="clear" w:color="auto" w:fill="FFFFFF"/>
              </w:rPr>
              <w:t>При здійсненні заходів контролю за результатами діяльності з розподілу електричної енергії у 2022 - 2024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sidRPr="00EC3012">
              <w:rPr>
                <w:rFonts w:ascii="Times New Roman" w:hAnsi="Times New Roman" w:cs="Times New Roman"/>
                <w:shd w:val="clear" w:color="auto" w:fill="FFFFFF"/>
              </w:rPr>
              <w:t>.</w:t>
            </w:r>
          </w:p>
        </w:tc>
        <w:tc>
          <w:tcPr>
            <w:tcW w:w="7725" w:type="dxa"/>
          </w:tcPr>
          <w:p w14:paraId="308602F4" w14:textId="7DC91C32" w:rsidR="004756A2" w:rsidRPr="00EC3012" w:rsidRDefault="00E90E00" w:rsidP="00E90E00">
            <w:pPr>
              <w:ind w:firstLine="308"/>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10. </w:t>
            </w:r>
            <w:r w:rsidRPr="00E90E00">
              <w:rPr>
                <w:rFonts w:ascii="Times New Roman" w:hAnsi="Times New Roman" w:cs="Times New Roman"/>
                <w:shd w:val="clear" w:color="auto" w:fill="FFFFFF"/>
              </w:rPr>
              <w:t xml:space="preserve">При здійсненні заходів контролю за результатами діяльності з розподілу електричної енергії у 2022 - </w:t>
            </w:r>
            <w:r w:rsidRPr="00E90E00">
              <w:rPr>
                <w:rFonts w:ascii="Times New Roman" w:hAnsi="Times New Roman" w:cs="Times New Roman"/>
                <w:b/>
                <w:shd w:val="clear" w:color="auto" w:fill="FFFFFF"/>
              </w:rPr>
              <w:t>2025</w:t>
            </w:r>
            <w:r w:rsidRPr="00E90E00">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sidRPr="00EC3012">
              <w:rPr>
                <w:rFonts w:ascii="Times New Roman" w:hAnsi="Times New Roman" w:cs="Times New Roman"/>
                <w:shd w:val="clear" w:color="auto" w:fill="FFFFFF"/>
              </w:rPr>
              <w:t>.</w:t>
            </w:r>
          </w:p>
        </w:tc>
      </w:tr>
      <w:tr w:rsidR="0091434F" w:rsidRPr="00EC3012" w14:paraId="32E96563" w14:textId="77777777" w:rsidTr="00E90E00">
        <w:trPr>
          <w:trHeight w:val="610"/>
        </w:trPr>
        <w:tc>
          <w:tcPr>
            <w:tcW w:w="7724" w:type="dxa"/>
          </w:tcPr>
          <w:p w14:paraId="3B323FD5" w14:textId="7E504C04" w:rsidR="0091434F" w:rsidRPr="00EC3012" w:rsidRDefault="0091434F" w:rsidP="0091434F">
            <w:pPr>
              <w:ind w:firstLine="308"/>
              <w:jc w:val="both"/>
              <w:rPr>
                <w:rFonts w:ascii="Times New Roman" w:hAnsi="Times New Roman" w:cs="Times New Roman"/>
                <w:shd w:val="clear" w:color="auto" w:fill="FFFFFF"/>
              </w:rPr>
            </w:pPr>
            <w:r w:rsidRPr="0091434F">
              <w:rPr>
                <w:rFonts w:ascii="Times New Roman" w:hAnsi="Times New Roman" w:cs="Times New Roman"/>
                <w:shd w:val="clear" w:color="auto" w:fill="FFFFFF"/>
              </w:rPr>
              <w:t>12.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об'єкта в експлуатацію), зменшену на суму об'єктивного перевищення вартості заходів (до 5 %), у розрізі заходів інвестиційної програми із наданням відповідних обґрунтувань згідно з установленим порядком.</w:t>
            </w:r>
          </w:p>
        </w:tc>
        <w:tc>
          <w:tcPr>
            <w:tcW w:w="7725" w:type="dxa"/>
          </w:tcPr>
          <w:p w14:paraId="11C7A3F3" w14:textId="6BC2B980" w:rsidR="0091434F" w:rsidRPr="00EC3012" w:rsidRDefault="0091434F" w:rsidP="0091434F">
            <w:pPr>
              <w:ind w:firstLine="308"/>
              <w:jc w:val="both"/>
              <w:rPr>
                <w:rFonts w:ascii="Times New Roman" w:hAnsi="Times New Roman" w:cs="Times New Roman"/>
                <w:shd w:val="clear" w:color="auto" w:fill="FFFFFF"/>
              </w:rPr>
            </w:pPr>
            <w:r w:rsidRPr="0091434F">
              <w:rPr>
                <w:rFonts w:ascii="Times New Roman" w:hAnsi="Times New Roman" w:cs="Times New Roman"/>
                <w:shd w:val="clear" w:color="auto" w:fill="FFFFFF"/>
              </w:rPr>
              <w:t>12.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об'єкта в експлуатацію), зменшену на суму об'єктивного перевищення вартості заходів (до 5 %), у розрізі заходів інвестиційної програми із наданням відповідних обґрунтувань згідно з установленим порядком</w:t>
            </w:r>
            <w:r w:rsidRPr="0091434F">
              <w:rPr>
                <w:rFonts w:ascii="Times New Roman" w:hAnsi="Times New Roman" w:cs="Times New Roman"/>
                <w:b/>
                <w:shd w:val="clear" w:color="auto" w:fill="FFFFFF"/>
              </w:rPr>
              <w:t>, а також зменшену на суму фактичних витрат, понесених ліцензіатом у звітному році за рахунок зекономлених коштів, які відповідно до постанови № 386 визнано обґрунтованими</w:t>
            </w:r>
            <w:r w:rsidRPr="0091434F">
              <w:rPr>
                <w:rFonts w:ascii="Times New Roman" w:hAnsi="Times New Roman" w:cs="Times New Roman"/>
                <w:shd w:val="clear" w:color="auto" w:fill="FFFFFF"/>
              </w:rPr>
              <w:t>.</w:t>
            </w:r>
          </w:p>
        </w:tc>
      </w:tr>
      <w:tr w:rsidR="00B01840" w:rsidRPr="00EC3012" w14:paraId="3E792CE9" w14:textId="77777777" w:rsidTr="00E90E00">
        <w:trPr>
          <w:trHeight w:val="610"/>
        </w:trPr>
        <w:tc>
          <w:tcPr>
            <w:tcW w:w="7724" w:type="dxa"/>
          </w:tcPr>
          <w:p w14:paraId="3BDF847E" w14:textId="77777777" w:rsidR="00B01840" w:rsidRPr="005D4486" w:rsidRDefault="00B01840" w:rsidP="00B01840">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13. Обсяг фінансування інвестиційної програми на рік, що є наступним за звітним роком, збільшується в такому порядку:</w:t>
            </w:r>
          </w:p>
          <w:p w14:paraId="08EAB9CE" w14:textId="77777777" w:rsidR="00B01840" w:rsidRPr="005D4486" w:rsidRDefault="00B01840" w:rsidP="00B01840">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діяльної ліцензіата;</w:t>
            </w:r>
          </w:p>
          <w:p w14:paraId="2FE6DA1F" w14:textId="77777777" w:rsidR="00B01840" w:rsidRPr="005D4486" w:rsidRDefault="00B01840" w:rsidP="00B01840">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на 50 % суми додатково отриманого доходу, отриманого у звітному році від плати за доступ до елементів інфраструктури об'єктів електроенергетики;</w:t>
            </w:r>
          </w:p>
          <w:p w14:paraId="62333862" w14:textId="464A9946" w:rsidR="00B01840" w:rsidRPr="00EC3012" w:rsidRDefault="00B01840" w:rsidP="00B01840">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tc>
        <w:tc>
          <w:tcPr>
            <w:tcW w:w="7725" w:type="dxa"/>
          </w:tcPr>
          <w:p w14:paraId="5CB558C1" w14:textId="77777777" w:rsidR="00B01840" w:rsidRPr="005D4486" w:rsidRDefault="00B01840" w:rsidP="00367F18">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13. Обсяг фінансування інвестиційної програми на рік, що є наступним за звітним роком, збільшується в такому порядку:</w:t>
            </w:r>
          </w:p>
          <w:p w14:paraId="341AC4FF" w14:textId="1F09224E" w:rsidR="00B01840" w:rsidRPr="005D4486" w:rsidRDefault="00B01840" w:rsidP="00367F18">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діяльної ліцензіата</w:t>
            </w:r>
            <w:r w:rsidR="00367F18" w:rsidRPr="00367F18">
              <w:rPr>
                <w:rFonts w:ascii="Times New Roman" w:hAnsi="Times New Roman" w:cs="Times New Roman"/>
                <w:b/>
                <w:shd w:val="clear" w:color="auto" w:fill="FFFFFF"/>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Pr="005D4486">
              <w:rPr>
                <w:rFonts w:ascii="Times New Roman" w:hAnsi="Times New Roman" w:cs="Times New Roman"/>
                <w:shd w:val="clear" w:color="auto" w:fill="FFFFFF"/>
              </w:rPr>
              <w:t>;</w:t>
            </w:r>
          </w:p>
          <w:p w14:paraId="02043F29" w14:textId="04D52F9E" w:rsidR="00B01840" w:rsidRPr="005D4486" w:rsidRDefault="00B01840" w:rsidP="00367F18">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на 50 % суми додатково отриманого доходу, отриманого у звітному році від плати за доступ до елементів інфраструктури об'єктів електроенергетики</w:t>
            </w:r>
            <w:r w:rsidR="00367F18" w:rsidRPr="00367F18">
              <w:rPr>
                <w:rFonts w:ascii="Times New Roman" w:hAnsi="Times New Roman" w:cs="Times New Roman"/>
                <w:b/>
                <w:shd w:val="clear" w:color="auto" w:fill="FFFFFF"/>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Pr="005D4486">
              <w:rPr>
                <w:rFonts w:ascii="Times New Roman" w:hAnsi="Times New Roman" w:cs="Times New Roman"/>
                <w:shd w:val="clear" w:color="auto" w:fill="FFFFFF"/>
              </w:rPr>
              <w:t>;</w:t>
            </w:r>
          </w:p>
          <w:p w14:paraId="6206EB2E" w14:textId="20498C90" w:rsidR="00B01840" w:rsidRPr="00EC3012" w:rsidRDefault="00B01840" w:rsidP="00367F18">
            <w:pPr>
              <w:ind w:firstLine="308"/>
              <w:jc w:val="both"/>
              <w:rPr>
                <w:rFonts w:ascii="Times New Roman" w:hAnsi="Times New Roman" w:cs="Times New Roman"/>
                <w:shd w:val="clear" w:color="auto" w:fill="FFFFFF"/>
              </w:rPr>
            </w:pPr>
            <w:r w:rsidRPr="005D4486">
              <w:rPr>
                <w:rFonts w:ascii="Times New Roman" w:hAnsi="Times New Roman" w:cs="Times New Roman"/>
                <w:shd w:val="clear" w:color="auto" w:fill="FFFFFF"/>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r w:rsidR="00367F18" w:rsidRPr="00367F18">
              <w:rPr>
                <w:rFonts w:ascii="Times New Roman" w:hAnsi="Times New Roman" w:cs="Times New Roman"/>
                <w:b/>
                <w:shd w:val="clear" w:color="auto" w:fill="FFFFFF"/>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00367F18">
              <w:rPr>
                <w:rFonts w:ascii="Times New Roman" w:hAnsi="Times New Roman" w:cs="Times New Roman"/>
                <w:b/>
                <w:shd w:val="clear" w:color="auto" w:fill="FFFFFF"/>
              </w:rPr>
              <w:t>.</w:t>
            </w:r>
          </w:p>
        </w:tc>
      </w:tr>
      <w:tr w:rsidR="00B01840" w:rsidRPr="00EC3012" w14:paraId="6264577A" w14:textId="77777777" w:rsidTr="00B63F7B">
        <w:trPr>
          <w:trHeight w:val="610"/>
        </w:trPr>
        <w:tc>
          <w:tcPr>
            <w:tcW w:w="15449" w:type="dxa"/>
            <w:gridSpan w:val="2"/>
            <w:shd w:val="clear" w:color="auto" w:fill="A8D08D" w:themeFill="accent6" w:themeFillTint="99"/>
            <w:vAlign w:val="center"/>
          </w:tcPr>
          <w:p w14:paraId="1B379CDC" w14:textId="28038472" w:rsidR="00B01840" w:rsidRPr="00EC3012" w:rsidRDefault="00B01840" w:rsidP="00B01840">
            <w:pPr>
              <w:jc w:val="center"/>
              <w:rPr>
                <w:rFonts w:ascii="Times New Roman" w:hAnsi="Times New Roman" w:cs="Times New Roman"/>
                <w:b/>
              </w:rPr>
            </w:pPr>
            <w:r w:rsidRPr="00EC3012">
              <w:rPr>
                <w:rFonts w:ascii="Times New Roman" w:hAnsi="Times New Roman" w:cs="Times New Roman"/>
                <w:b/>
              </w:rPr>
              <w:t>Додаток 25</w:t>
            </w:r>
          </w:p>
          <w:p w14:paraId="33731E76" w14:textId="34F3D375" w:rsidR="00B01840" w:rsidRPr="00EC3012" w:rsidRDefault="00B01840" w:rsidP="00B01840">
            <w:pPr>
              <w:jc w:val="center"/>
              <w:rPr>
                <w:rFonts w:ascii="Times New Roman" w:hAnsi="Times New Roman" w:cs="Times New Roman"/>
                <w:b/>
              </w:rPr>
            </w:pPr>
            <w:r w:rsidRPr="00EC3012">
              <w:rPr>
                <w:rFonts w:ascii="Times New Roman" w:hAnsi="Times New Roman" w:cs="Times New Roman"/>
                <w:b/>
              </w:rPr>
              <w:t>Методика 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p>
        </w:tc>
      </w:tr>
      <w:tr w:rsidR="00B01840" w:rsidRPr="00EC3012" w14:paraId="3DD459A6" w14:textId="77777777" w:rsidTr="00AD1642">
        <w:trPr>
          <w:trHeight w:val="610"/>
        </w:trPr>
        <w:tc>
          <w:tcPr>
            <w:tcW w:w="7724" w:type="dxa"/>
          </w:tcPr>
          <w:p w14:paraId="47727232" w14:textId="77777777"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C93CDC5" w14:textId="77777777" w:rsidR="00B01840" w:rsidRPr="00EC3012" w:rsidRDefault="00B01840" w:rsidP="00B01840">
            <w:pPr>
              <w:ind w:firstLine="308"/>
              <w:jc w:val="both"/>
              <w:rPr>
                <w:rFonts w:ascii="Times New Roman" w:hAnsi="Times New Roman" w:cs="Times New Roman"/>
                <w:shd w:val="clear" w:color="auto" w:fill="FFFFFF"/>
              </w:rPr>
            </w:pPr>
          </w:p>
          <w:p w14:paraId="1D49BDBC" w14:textId="77777777"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2B4394C5" w14:textId="77777777" w:rsidR="00F03711" w:rsidRPr="00EC3012" w:rsidRDefault="00F03711" w:rsidP="00F03711">
            <w:pPr>
              <w:ind w:firstLine="308"/>
              <w:jc w:val="both"/>
              <w:rPr>
                <w:rFonts w:ascii="Times New Roman" w:hAnsi="Times New Roman" w:cs="Times New Roman"/>
                <w:shd w:val="clear" w:color="auto" w:fill="FFFFFF"/>
              </w:rPr>
            </w:pPr>
          </w:p>
          <w:p w14:paraId="3FCEE76D" w14:textId="1CFBE443" w:rsidR="00F03711" w:rsidRDefault="00F03711" w:rsidP="00F03711">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p w14:paraId="7ACA4236" w14:textId="77777777" w:rsidR="00F03711" w:rsidRDefault="00F03711" w:rsidP="00F03711">
            <w:pPr>
              <w:ind w:firstLine="308"/>
              <w:jc w:val="both"/>
              <w:rPr>
                <w:rFonts w:ascii="Times New Roman" w:hAnsi="Times New Roman" w:cs="Times New Roman"/>
                <w:shd w:val="clear" w:color="auto" w:fill="FFFFFF"/>
              </w:rPr>
            </w:pPr>
          </w:p>
          <w:p w14:paraId="0D9C2D78" w14:textId="77777777" w:rsidR="00F03711" w:rsidRDefault="00F03711" w:rsidP="00F03711">
            <w:pPr>
              <w:ind w:firstLine="308"/>
              <w:jc w:val="both"/>
              <w:rPr>
                <w:rFonts w:ascii="Times New Roman" w:hAnsi="Times New Roman" w:cs="Times New Roman"/>
                <w:shd w:val="clear" w:color="auto" w:fill="FFFFFF"/>
              </w:rPr>
            </w:pPr>
          </w:p>
          <w:p w14:paraId="144C3D9A" w14:textId="77777777" w:rsidR="00F03711" w:rsidRDefault="00F03711" w:rsidP="00F03711">
            <w:pPr>
              <w:ind w:firstLine="308"/>
              <w:jc w:val="both"/>
              <w:rPr>
                <w:rFonts w:ascii="Times New Roman" w:hAnsi="Times New Roman" w:cs="Times New Roman"/>
                <w:shd w:val="clear" w:color="auto" w:fill="FFFFFF"/>
              </w:rPr>
            </w:pPr>
          </w:p>
          <w:p w14:paraId="01ADDADE" w14:textId="77777777" w:rsidR="00F03711" w:rsidRDefault="00F03711" w:rsidP="00F03711">
            <w:pPr>
              <w:ind w:firstLine="308"/>
              <w:jc w:val="both"/>
              <w:rPr>
                <w:rFonts w:ascii="Times New Roman" w:hAnsi="Times New Roman" w:cs="Times New Roman"/>
                <w:shd w:val="clear" w:color="auto" w:fill="FFFFFF"/>
              </w:rPr>
            </w:pPr>
          </w:p>
          <w:p w14:paraId="1608D585" w14:textId="77777777" w:rsidR="00F03711" w:rsidRDefault="00F03711" w:rsidP="00F03711">
            <w:pPr>
              <w:ind w:firstLine="308"/>
              <w:jc w:val="both"/>
              <w:rPr>
                <w:rFonts w:ascii="Times New Roman" w:hAnsi="Times New Roman" w:cs="Times New Roman"/>
                <w:shd w:val="clear" w:color="auto" w:fill="FFFFFF"/>
              </w:rPr>
            </w:pPr>
          </w:p>
          <w:p w14:paraId="6BF40214" w14:textId="77777777" w:rsidR="00F03711" w:rsidRPr="00EC3012" w:rsidRDefault="00F03711" w:rsidP="00F03711">
            <w:pPr>
              <w:ind w:firstLine="308"/>
              <w:jc w:val="both"/>
              <w:rPr>
                <w:rFonts w:ascii="Times New Roman" w:hAnsi="Times New Roman" w:cs="Times New Roman"/>
                <w:shd w:val="clear" w:color="auto" w:fill="FFFFFF"/>
              </w:rPr>
            </w:pPr>
          </w:p>
          <w:p w14:paraId="6E2B95FD" w14:textId="77777777" w:rsidR="00F03711" w:rsidRDefault="00F03711" w:rsidP="00F03711">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p w14:paraId="61184537" w14:textId="77777777" w:rsidR="00F03711" w:rsidRDefault="00F03711" w:rsidP="00F03711">
            <w:pPr>
              <w:ind w:firstLine="308"/>
              <w:jc w:val="both"/>
              <w:rPr>
                <w:rFonts w:ascii="Times New Roman" w:hAnsi="Times New Roman" w:cs="Times New Roman"/>
                <w:shd w:val="clear" w:color="auto" w:fill="FFFFFF"/>
              </w:rPr>
            </w:pPr>
          </w:p>
          <w:p w14:paraId="3763D943" w14:textId="77777777" w:rsidR="00F03711" w:rsidRDefault="00F03711" w:rsidP="00F03711">
            <w:pPr>
              <w:ind w:firstLine="308"/>
              <w:jc w:val="both"/>
              <w:rPr>
                <w:rFonts w:ascii="Times New Roman" w:hAnsi="Times New Roman" w:cs="Times New Roman"/>
                <w:shd w:val="clear" w:color="auto" w:fill="FFFFFF"/>
              </w:rPr>
            </w:pPr>
          </w:p>
          <w:p w14:paraId="70CECE4C" w14:textId="77777777" w:rsidR="00F03711" w:rsidRDefault="00F03711" w:rsidP="00F03711">
            <w:pPr>
              <w:ind w:firstLine="308"/>
              <w:jc w:val="both"/>
              <w:rPr>
                <w:rFonts w:ascii="Times New Roman" w:hAnsi="Times New Roman" w:cs="Times New Roman"/>
                <w:shd w:val="clear" w:color="auto" w:fill="FFFFFF"/>
              </w:rPr>
            </w:pPr>
          </w:p>
          <w:p w14:paraId="7F460DDC" w14:textId="2684267E" w:rsidR="00F03711" w:rsidRDefault="00F03711" w:rsidP="00F03711">
            <w:pPr>
              <w:ind w:firstLine="308"/>
              <w:jc w:val="both"/>
              <w:rPr>
                <w:rFonts w:ascii="Times New Roman" w:hAnsi="Times New Roman" w:cs="Times New Roman"/>
                <w:shd w:val="clear" w:color="auto" w:fill="FFFFFF"/>
              </w:rPr>
            </w:pPr>
          </w:p>
          <w:p w14:paraId="36C58797" w14:textId="77777777" w:rsidR="00F03711" w:rsidRPr="00EC3012" w:rsidRDefault="00F03711" w:rsidP="00F03711">
            <w:pPr>
              <w:ind w:firstLine="308"/>
              <w:jc w:val="both"/>
              <w:rPr>
                <w:rFonts w:ascii="Times New Roman" w:hAnsi="Times New Roman" w:cs="Times New Roman"/>
                <w:shd w:val="clear" w:color="auto" w:fill="FFFFFF"/>
              </w:rPr>
            </w:pPr>
          </w:p>
          <w:p w14:paraId="3D8EB35F" w14:textId="77777777" w:rsidR="00F03711" w:rsidRPr="00EC3012" w:rsidRDefault="00F03711" w:rsidP="00F03711">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7C316FEE" w14:textId="77777777" w:rsidR="00F03711" w:rsidRDefault="00F03711" w:rsidP="00F03711">
            <w:pPr>
              <w:ind w:firstLine="308"/>
              <w:jc w:val="both"/>
              <w:rPr>
                <w:rFonts w:ascii="Times New Roman" w:hAnsi="Times New Roman" w:cs="Times New Roman"/>
                <w:shd w:val="clear" w:color="auto" w:fill="FFFFFF"/>
              </w:rPr>
            </w:pPr>
          </w:p>
          <w:p w14:paraId="04DF3672" w14:textId="18C9382C" w:rsidR="00F03711" w:rsidRDefault="00F03711" w:rsidP="00F03711">
            <w:pPr>
              <w:ind w:firstLine="308"/>
              <w:jc w:val="both"/>
              <w:rPr>
                <w:rFonts w:ascii="Times New Roman" w:hAnsi="Times New Roman" w:cs="Times New Roman"/>
                <w:shd w:val="clear" w:color="auto" w:fill="FFFFFF"/>
              </w:rPr>
            </w:pPr>
            <w:r w:rsidRPr="00F03711">
              <w:rPr>
                <w:rFonts w:ascii="Times New Roman" w:hAnsi="Times New Roman" w:cs="Times New Roman"/>
                <w:shd w:val="clear" w:color="auto" w:fill="FFFFFF"/>
              </w:rPr>
              <w:t>4) сума недофінансування статей витрат структури тарифу у звітному році;</w:t>
            </w:r>
          </w:p>
          <w:p w14:paraId="4A319A98" w14:textId="77777777" w:rsidR="00F03711" w:rsidRDefault="00F03711" w:rsidP="00F03711">
            <w:pPr>
              <w:ind w:firstLine="308"/>
              <w:jc w:val="both"/>
              <w:rPr>
                <w:rFonts w:ascii="Times New Roman" w:hAnsi="Times New Roman" w:cs="Times New Roman"/>
                <w:shd w:val="clear" w:color="auto" w:fill="FFFFFF"/>
              </w:rPr>
            </w:pPr>
          </w:p>
          <w:p w14:paraId="053FFE00" w14:textId="77777777" w:rsidR="00F03711" w:rsidRDefault="00F03711" w:rsidP="00F03711">
            <w:pPr>
              <w:ind w:firstLine="308"/>
              <w:jc w:val="both"/>
              <w:rPr>
                <w:rFonts w:ascii="Times New Roman" w:hAnsi="Times New Roman" w:cs="Times New Roman"/>
                <w:shd w:val="clear" w:color="auto" w:fill="FFFFFF"/>
              </w:rPr>
            </w:pPr>
          </w:p>
          <w:p w14:paraId="730F4A9C" w14:textId="77777777" w:rsidR="00F03711" w:rsidRDefault="00F03711" w:rsidP="00F03711">
            <w:pPr>
              <w:ind w:firstLine="308"/>
              <w:jc w:val="both"/>
              <w:rPr>
                <w:rFonts w:ascii="Times New Roman" w:hAnsi="Times New Roman" w:cs="Times New Roman"/>
                <w:shd w:val="clear" w:color="auto" w:fill="FFFFFF"/>
              </w:rPr>
            </w:pPr>
          </w:p>
          <w:p w14:paraId="3425DEAD" w14:textId="77777777" w:rsidR="00F03711" w:rsidRDefault="00F03711" w:rsidP="00F03711">
            <w:pPr>
              <w:ind w:firstLine="308"/>
              <w:jc w:val="both"/>
              <w:rPr>
                <w:rFonts w:ascii="Times New Roman" w:hAnsi="Times New Roman" w:cs="Times New Roman"/>
                <w:shd w:val="clear" w:color="auto" w:fill="FFFFFF"/>
              </w:rPr>
            </w:pPr>
          </w:p>
          <w:p w14:paraId="3F26316F" w14:textId="77777777" w:rsidR="00F03711" w:rsidRDefault="00F03711" w:rsidP="00F03711">
            <w:pPr>
              <w:ind w:firstLine="308"/>
              <w:jc w:val="both"/>
              <w:rPr>
                <w:rFonts w:ascii="Times New Roman" w:hAnsi="Times New Roman" w:cs="Times New Roman"/>
                <w:shd w:val="clear" w:color="auto" w:fill="FFFFFF"/>
              </w:rPr>
            </w:pPr>
          </w:p>
          <w:p w14:paraId="29E212DF" w14:textId="77777777" w:rsidR="00F03711" w:rsidRDefault="00F03711" w:rsidP="00F03711">
            <w:pPr>
              <w:ind w:firstLine="308"/>
              <w:jc w:val="both"/>
              <w:rPr>
                <w:rFonts w:ascii="Times New Roman" w:hAnsi="Times New Roman" w:cs="Times New Roman"/>
                <w:shd w:val="clear" w:color="auto" w:fill="FFFFFF"/>
              </w:rPr>
            </w:pPr>
          </w:p>
          <w:p w14:paraId="11376EDC" w14:textId="77777777" w:rsidR="00F03711" w:rsidRDefault="00F03711" w:rsidP="00F03711">
            <w:pPr>
              <w:ind w:firstLine="308"/>
              <w:jc w:val="both"/>
              <w:rPr>
                <w:rFonts w:ascii="Times New Roman" w:hAnsi="Times New Roman" w:cs="Times New Roman"/>
                <w:shd w:val="clear" w:color="auto" w:fill="FFFFFF"/>
              </w:rPr>
            </w:pPr>
          </w:p>
          <w:p w14:paraId="48994C25" w14:textId="77777777" w:rsidR="00F03711" w:rsidRDefault="00F03711" w:rsidP="00F03711">
            <w:pPr>
              <w:ind w:firstLine="308"/>
              <w:jc w:val="both"/>
              <w:rPr>
                <w:rFonts w:ascii="Times New Roman" w:hAnsi="Times New Roman" w:cs="Times New Roman"/>
                <w:shd w:val="clear" w:color="auto" w:fill="FFFFFF"/>
              </w:rPr>
            </w:pPr>
          </w:p>
          <w:p w14:paraId="0C03A6EE" w14:textId="77777777" w:rsidR="00F03711" w:rsidRDefault="00F03711" w:rsidP="00F03711">
            <w:pPr>
              <w:ind w:firstLine="308"/>
              <w:jc w:val="both"/>
              <w:rPr>
                <w:rFonts w:ascii="Times New Roman" w:hAnsi="Times New Roman" w:cs="Times New Roman"/>
                <w:shd w:val="clear" w:color="auto" w:fill="FFFFFF"/>
              </w:rPr>
            </w:pPr>
          </w:p>
          <w:p w14:paraId="223E5BE8" w14:textId="77777777" w:rsidR="00F03711" w:rsidRDefault="00F03711" w:rsidP="00F03711">
            <w:pPr>
              <w:ind w:firstLine="308"/>
              <w:jc w:val="both"/>
              <w:rPr>
                <w:rFonts w:ascii="Times New Roman" w:hAnsi="Times New Roman" w:cs="Times New Roman"/>
                <w:shd w:val="clear" w:color="auto" w:fill="FFFFFF"/>
              </w:rPr>
            </w:pPr>
          </w:p>
          <w:p w14:paraId="5BE29EDC" w14:textId="77777777" w:rsidR="00F03711" w:rsidRDefault="00F03711" w:rsidP="00F03711">
            <w:pPr>
              <w:ind w:firstLine="308"/>
              <w:jc w:val="both"/>
              <w:rPr>
                <w:rFonts w:ascii="Times New Roman" w:hAnsi="Times New Roman" w:cs="Times New Roman"/>
                <w:shd w:val="clear" w:color="auto" w:fill="FFFFFF"/>
              </w:rPr>
            </w:pPr>
          </w:p>
          <w:p w14:paraId="2100DC21" w14:textId="77777777" w:rsidR="00F03711" w:rsidRDefault="00F03711" w:rsidP="00F03711">
            <w:pPr>
              <w:ind w:firstLine="308"/>
              <w:jc w:val="both"/>
              <w:rPr>
                <w:rFonts w:ascii="Times New Roman" w:hAnsi="Times New Roman" w:cs="Times New Roman"/>
                <w:shd w:val="clear" w:color="auto" w:fill="FFFFFF"/>
              </w:rPr>
            </w:pPr>
          </w:p>
          <w:p w14:paraId="42A4EB4B" w14:textId="77777777" w:rsidR="00F03711" w:rsidRDefault="00F03711" w:rsidP="00F03711">
            <w:pPr>
              <w:ind w:firstLine="308"/>
              <w:jc w:val="both"/>
              <w:rPr>
                <w:rFonts w:ascii="Times New Roman" w:hAnsi="Times New Roman" w:cs="Times New Roman"/>
                <w:shd w:val="clear" w:color="auto" w:fill="FFFFFF"/>
              </w:rPr>
            </w:pPr>
          </w:p>
          <w:p w14:paraId="71B16A97" w14:textId="77777777" w:rsidR="00F03711" w:rsidRDefault="00F03711" w:rsidP="00F03711">
            <w:pPr>
              <w:ind w:firstLine="308"/>
              <w:jc w:val="both"/>
              <w:rPr>
                <w:rFonts w:ascii="Times New Roman" w:hAnsi="Times New Roman" w:cs="Times New Roman"/>
                <w:shd w:val="clear" w:color="auto" w:fill="FFFFFF"/>
              </w:rPr>
            </w:pPr>
          </w:p>
          <w:p w14:paraId="155B14DF" w14:textId="77777777" w:rsidR="00F03711" w:rsidRDefault="00F03711" w:rsidP="00F03711">
            <w:pPr>
              <w:ind w:firstLine="308"/>
              <w:jc w:val="both"/>
              <w:rPr>
                <w:rFonts w:ascii="Times New Roman" w:hAnsi="Times New Roman" w:cs="Times New Roman"/>
                <w:shd w:val="clear" w:color="auto" w:fill="FFFFFF"/>
              </w:rPr>
            </w:pPr>
          </w:p>
          <w:p w14:paraId="459D58EA" w14:textId="77777777" w:rsidR="00F03711" w:rsidRDefault="00F03711" w:rsidP="00F03711">
            <w:pPr>
              <w:ind w:firstLine="308"/>
              <w:jc w:val="both"/>
              <w:rPr>
                <w:rFonts w:ascii="Times New Roman" w:hAnsi="Times New Roman" w:cs="Times New Roman"/>
                <w:shd w:val="clear" w:color="auto" w:fill="FFFFFF"/>
              </w:rPr>
            </w:pPr>
          </w:p>
          <w:p w14:paraId="10BFA86F" w14:textId="77777777" w:rsidR="00F03711" w:rsidRDefault="00F03711" w:rsidP="00F03711">
            <w:pPr>
              <w:ind w:firstLine="308"/>
              <w:jc w:val="both"/>
              <w:rPr>
                <w:rFonts w:ascii="Times New Roman" w:hAnsi="Times New Roman" w:cs="Times New Roman"/>
                <w:shd w:val="clear" w:color="auto" w:fill="FFFFFF"/>
              </w:rPr>
            </w:pPr>
          </w:p>
          <w:p w14:paraId="4C283C54" w14:textId="77777777" w:rsidR="00F03711" w:rsidRDefault="00F03711" w:rsidP="00F03711">
            <w:pPr>
              <w:ind w:firstLine="308"/>
              <w:jc w:val="both"/>
              <w:rPr>
                <w:rFonts w:ascii="Times New Roman" w:hAnsi="Times New Roman" w:cs="Times New Roman"/>
                <w:shd w:val="clear" w:color="auto" w:fill="FFFFFF"/>
              </w:rPr>
            </w:pPr>
          </w:p>
          <w:p w14:paraId="7BA4FA34" w14:textId="77777777" w:rsidR="00F03711" w:rsidRDefault="00F03711" w:rsidP="00F03711">
            <w:pPr>
              <w:ind w:firstLine="308"/>
              <w:jc w:val="both"/>
              <w:rPr>
                <w:rFonts w:ascii="Times New Roman" w:hAnsi="Times New Roman" w:cs="Times New Roman"/>
                <w:shd w:val="clear" w:color="auto" w:fill="FFFFFF"/>
              </w:rPr>
            </w:pPr>
          </w:p>
          <w:p w14:paraId="6FB7C96E" w14:textId="77777777" w:rsidR="00F03711" w:rsidRDefault="00F03711" w:rsidP="00F03711">
            <w:pPr>
              <w:ind w:firstLine="308"/>
              <w:jc w:val="both"/>
              <w:rPr>
                <w:rFonts w:ascii="Times New Roman" w:hAnsi="Times New Roman" w:cs="Times New Roman"/>
                <w:shd w:val="clear" w:color="auto" w:fill="FFFFFF"/>
              </w:rPr>
            </w:pPr>
          </w:p>
          <w:p w14:paraId="314243C3" w14:textId="0C6B4582" w:rsidR="00F03711" w:rsidRDefault="00F03711" w:rsidP="00F03711">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p w14:paraId="4ACA6A37" w14:textId="77777777" w:rsidR="00F03711" w:rsidRDefault="00F03711" w:rsidP="00F03711">
            <w:pPr>
              <w:ind w:firstLine="308"/>
              <w:jc w:val="both"/>
              <w:rPr>
                <w:rFonts w:ascii="Times New Roman" w:hAnsi="Times New Roman" w:cs="Times New Roman"/>
                <w:shd w:val="clear" w:color="auto" w:fill="FFFFFF"/>
              </w:rPr>
            </w:pPr>
          </w:p>
          <w:p w14:paraId="5188E94E" w14:textId="260CABE8" w:rsidR="00F03711" w:rsidRDefault="00F03711" w:rsidP="00F03711">
            <w:pPr>
              <w:ind w:firstLine="308"/>
              <w:jc w:val="both"/>
              <w:rPr>
                <w:rFonts w:ascii="Times New Roman" w:hAnsi="Times New Roman" w:cs="Times New Roman"/>
                <w:shd w:val="clear" w:color="auto" w:fill="FFFFFF"/>
              </w:rPr>
            </w:pPr>
          </w:p>
          <w:p w14:paraId="4F2BA165" w14:textId="57DB8FC8" w:rsidR="00F03711" w:rsidRDefault="00F03711" w:rsidP="00F03711">
            <w:pPr>
              <w:ind w:firstLine="308"/>
              <w:jc w:val="both"/>
              <w:rPr>
                <w:rFonts w:ascii="Times New Roman" w:hAnsi="Times New Roman" w:cs="Times New Roman"/>
                <w:shd w:val="clear" w:color="auto" w:fill="FFFFFF"/>
              </w:rPr>
            </w:pPr>
          </w:p>
          <w:p w14:paraId="1D27E1AC" w14:textId="1E093A2F" w:rsidR="00F03711" w:rsidRDefault="00F03711" w:rsidP="00F03711">
            <w:pPr>
              <w:ind w:firstLine="308"/>
              <w:jc w:val="both"/>
              <w:rPr>
                <w:rFonts w:ascii="Times New Roman" w:hAnsi="Times New Roman" w:cs="Times New Roman"/>
                <w:shd w:val="clear" w:color="auto" w:fill="FFFFFF"/>
              </w:rPr>
            </w:pPr>
          </w:p>
          <w:p w14:paraId="6309E77A" w14:textId="0E021B53" w:rsidR="00F03711" w:rsidRDefault="00F03711" w:rsidP="00F03711">
            <w:pPr>
              <w:ind w:firstLine="308"/>
              <w:jc w:val="both"/>
              <w:rPr>
                <w:rFonts w:ascii="Times New Roman" w:hAnsi="Times New Roman" w:cs="Times New Roman"/>
                <w:shd w:val="clear" w:color="auto" w:fill="FFFFFF"/>
              </w:rPr>
            </w:pPr>
          </w:p>
          <w:p w14:paraId="01DEF721" w14:textId="61BB5466" w:rsidR="00F03711" w:rsidRDefault="00F03711" w:rsidP="00F03711">
            <w:pPr>
              <w:ind w:firstLine="308"/>
              <w:jc w:val="both"/>
              <w:rPr>
                <w:rFonts w:ascii="Times New Roman" w:hAnsi="Times New Roman" w:cs="Times New Roman"/>
                <w:shd w:val="clear" w:color="auto" w:fill="FFFFFF"/>
              </w:rPr>
            </w:pPr>
          </w:p>
          <w:p w14:paraId="6AA1BBB9" w14:textId="59ABA3EA" w:rsidR="00F03711" w:rsidRDefault="00F03711" w:rsidP="00F03711">
            <w:pPr>
              <w:ind w:firstLine="308"/>
              <w:jc w:val="both"/>
              <w:rPr>
                <w:rFonts w:ascii="Times New Roman" w:hAnsi="Times New Roman" w:cs="Times New Roman"/>
                <w:shd w:val="clear" w:color="auto" w:fill="FFFFFF"/>
              </w:rPr>
            </w:pPr>
          </w:p>
          <w:p w14:paraId="28BC1D94" w14:textId="6E459BD3" w:rsidR="00F03711" w:rsidRDefault="00F03711" w:rsidP="00F03711">
            <w:pPr>
              <w:ind w:firstLine="308"/>
              <w:jc w:val="both"/>
              <w:rPr>
                <w:rFonts w:ascii="Times New Roman" w:hAnsi="Times New Roman" w:cs="Times New Roman"/>
                <w:shd w:val="clear" w:color="auto" w:fill="FFFFFF"/>
              </w:rPr>
            </w:pPr>
            <w:r w:rsidRPr="00F03711">
              <w:rPr>
                <w:rFonts w:ascii="Times New Roman" w:hAnsi="Times New Roman" w:cs="Times New Roman"/>
                <w:shd w:val="clear" w:color="auto" w:fill="FFFFFF"/>
              </w:rPr>
              <w:t>5) сума обґрунтованих перевитрат статей витрат структури тарифів у звітному році;</w:t>
            </w:r>
          </w:p>
          <w:p w14:paraId="25E953AE" w14:textId="77777777" w:rsidR="00F03711" w:rsidRDefault="00F03711" w:rsidP="00F03711">
            <w:pPr>
              <w:ind w:firstLine="308"/>
              <w:jc w:val="both"/>
              <w:rPr>
                <w:rFonts w:ascii="Times New Roman" w:hAnsi="Times New Roman" w:cs="Times New Roman"/>
                <w:shd w:val="clear" w:color="auto" w:fill="FFFFFF"/>
              </w:rPr>
            </w:pPr>
          </w:p>
          <w:p w14:paraId="3127FBED" w14:textId="77777777" w:rsidR="008C3591" w:rsidRDefault="008C3591" w:rsidP="00F03711">
            <w:pPr>
              <w:ind w:firstLine="308"/>
              <w:jc w:val="both"/>
              <w:rPr>
                <w:rFonts w:ascii="Times New Roman" w:hAnsi="Times New Roman" w:cs="Times New Roman"/>
                <w:shd w:val="clear" w:color="auto" w:fill="FFFFFF"/>
              </w:rPr>
            </w:pPr>
          </w:p>
          <w:p w14:paraId="06B7903E" w14:textId="77777777" w:rsidR="008C3591" w:rsidRDefault="008C3591" w:rsidP="00F03711">
            <w:pPr>
              <w:ind w:firstLine="308"/>
              <w:jc w:val="both"/>
              <w:rPr>
                <w:rFonts w:ascii="Times New Roman" w:hAnsi="Times New Roman" w:cs="Times New Roman"/>
                <w:shd w:val="clear" w:color="auto" w:fill="FFFFFF"/>
              </w:rPr>
            </w:pPr>
          </w:p>
          <w:p w14:paraId="62686D54" w14:textId="77777777" w:rsidR="008C3591" w:rsidRPr="008C3591" w:rsidRDefault="008C3591" w:rsidP="008C3591">
            <w:pPr>
              <w:ind w:firstLine="308"/>
              <w:jc w:val="both"/>
              <w:rPr>
                <w:rFonts w:ascii="Times New Roman" w:hAnsi="Times New Roman" w:cs="Times New Roman"/>
                <w:shd w:val="clear" w:color="auto" w:fill="FFFFFF"/>
              </w:rPr>
            </w:pPr>
            <w:r w:rsidRPr="008C3591">
              <w:rPr>
                <w:rFonts w:ascii="Times New Roman" w:hAnsi="Times New Roman" w:cs="Times New Roman"/>
                <w:shd w:val="clear" w:color="auto" w:fill="FFFFFF"/>
              </w:rPr>
              <w:t>6) додатково отриманий (недоотриманий) дохід ліцензіата внаслідок збільшення (зменшення) фактичних обсягів постачання електричної енергії в частині надання універсальних послуг порівняно із затвердженими в тарифах на послуги постачання універсальних послуг. Такий дохід визначається на підставі фактичного обсягу постачання електричної енергії у звітному році відповідно до наданих комісії з перевірки належним чином завірених копій підтвердних документів, за даними форми звітності N 3-НКРЕКП-постачання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N 282 (далі - форма звітності N 3-НКРЕКП-постачання електричної енергії), та затверджених рівнів тарифів на послуги постачання універсальних послуг, які діяли у відповідні періоди звітного року.</w:t>
            </w:r>
          </w:p>
          <w:p w14:paraId="7566AE46" w14:textId="0D899A9F" w:rsidR="008C3591" w:rsidRPr="00EC3012" w:rsidRDefault="008C3591" w:rsidP="008C3591">
            <w:pPr>
              <w:ind w:firstLine="308"/>
              <w:jc w:val="both"/>
              <w:rPr>
                <w:rFonts w:ascii="Times New Roman" w:hAnsi="Times New Roman" w:cs="Times New Roman"/>
                <w:shd w:val="clear" w:color="auto" w:fill="FFFFFF"/>
              </w:rPr>
            </w:pPr>
            <w:r w:rsidRPr="008C3591">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здійсненого розрахунковим шляхом у період дії в Україні воєнного стану на підставі звітності, згідно з рішеннями НКРЕКП, прийнятими відповідно до підпункту 1 пункту 8.1 глави 8 Методики розрахунку тарифу на послуги постачальника універсальних послуг, затвердженої постановою НКРЕКП від 05 жовтня 2018 року N 1176</w:t>
            </w:r>
            <w:r w:rsidR="000924F7">
              <w:rPr>
                <w:rFonts w:ascii="Times New Roman" w:hAnsi="Times New Roman" w:cs="Times New Roman"/>
                <w:shd w:val="clear" w:color="auto" w:fill="FFFFFF"/>
              </w:rPr>
              <w:t>;</w:t>
            </w:r>
          </w:p>
        </w:tc>
        <w:tc>
          <w:tcPr>
            <w:tcW w:w="7725" w:type="dxa"/>
          </w:tcPr>
          <w:p w14:paraId="41482D72" w14:textId="77777777"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904543F" w14:textId="77777777" w:rsidR="00B01840" w:rsidRPr="00EC3012" w:rsidRDefault="00B01840" w:rsidP="00B01840">
            <w:pPr>
              <w:ind w:firstLine="308"/>
              <w:jc w:val="both"/>
              <w:rPr>
                <w:rFonts w:ascii="Times New Roman" w:hAnsi="Times New Roman" w:cs="Times New Roman"/>
                <w:shd w:val="clear" w:color="auto" w:fill="FFFFFF"/>
              </w:rPr>
            </w:pPr>
          </w:p>
          <w:p w14:paraId="0620A299" w14:textId="77777777"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2D0A736B" w14:textId="77777777" w:rsidR="00B01840" w:rsidRPr="00EC3012" w:rsidRDefault="00B01840" w:rsidP="00B01840">
            <w:pPr>
              <w:ind w:firstLine="308"/>
              <w:jc w:val="both"/>
              <w:rPr>
                <w:rFonts w:ascii="Times New Roman" w:hAnsi="Times New Roman" w:cs="Times New Roman"/>
                <w:shd w:val="clear" w:color="auto" w:fill="FFFFFF"/>
              </w:rPr>
            </w:pPr>
          </w:p>
          <w:p w14:paraId="4380A7C3" w14:textId="77777777" w:rsidR="00F03711" w:rsidRPr="00F03711" w:rsidRDefault="00F03711" w:rsidP="00F03711">
            <w:pPr>
              <w:ind w:firstLine="308"/>
              <w:jc w:val="both"/>
              <w:rPr>
                <w:rFonts w:ascii="Times New Roman" w:hAnsi="Times New Roman" w:cs="Times New Roman"/>
                <w:b/>
                <w:shd w:val="clear" w:color="auto" w:fill="FFFFFF"/>
              </w:rPr>
            </w:pPr>
            <w:r w:rsidRPr="00F03711">
              <w:rPr>
                <w:rFonts w:ascii="Times New Roman" w:hAnsi="Times New Roman" w:cs="Times New Roman"/>
                <w:b/>
                <w:shd w:val="clear" w:color="auto" w:fill="FFFFFF"/>
              </w:rPr>
              <w:t>2) кількість побутових споживачів ліцензіата, які знаходяться на контрольованій території держави, врахованих при розрахунку тарифів на звітний рік, починаючи з 2025 року для ліцензіатів, перелік яких наведено у додатку 5 до Методики розрахунку тарифу на послуги постачальника універсальних послуг, затвердженої постановою НКРЕКП від 05 жовтня 2018 року № 1176 (далі – Методика № 1176);</w:t>
            </w:r>
          </w:p>
          <w:p w14:paraId="39B0AD1F" w14:textId="77777777" w:rsidR="00F03711" w:rsidRPr="00F03711" w:rsidRDefault="00F03711" w:rsidP="00F03711">
            <w:pPr>
              <w:ind w:firstLine="308"/>
              <w:jc w:val="both"/>
              <w:rPr>
                <w:rFonts w:ascii="Times New Roman" w:hAnsi="Times New Roman" w:cs="Times New Roman"/>
                <w:b/>
                <w:shd w:val="clear" w:color="auto" w:fill="FFFFFF"/>
              </w:rPr>
            </w:pPr>
          </w:p>
          <w:p w14:paraId="0B8E8B76" w14:textId="49EE4A77" w:rsidR="00B01840" w:rsidRPr="00EC3012" w:rsidRDefault="00F03711" w:rsidP="00F03711">
            <w:pPr>
              <w:ind w:firstLine="308"/>
              <w:jc w:val="both"/>
              <w:rPr>
                <w:rFonts w:ascii="Times New Roman" w:hAnsi="Times New Roman" w:cs="Times New Roman"/>
                <w:b/>
                <w:shd w:val="clear" w:color="auto" w:fill="FFFFFF"/>
              </w:rPr>
            </w:pPr>
            <w:r w:rsidRPr="00F03711">
              <w:rPr>
                <w:rFonts w:ascii="Times New Roman" w:hAnsi="Times New Roman" w:cs="Times New Roman"/>
                <w:b/>
                <w:shd w:val="clear" w:color="auto" w:fill="FFFFFF"/>
              </w:rPr>
              <w:t>3) кількість побутових споживачів ліцензіата, які знаходяться на контрольованій території держави на кінець звітного періоду для постачальників універсальних послуг, перелік яких наведено у додатку 5 до Методики № 1176 (за даними форми звітності № 3-НКРЕКП-постачання електричної енергії (за IV квартал);</w:t>
            </w:r>
            <w:r w:rsidR="00B01840" w:rsidRPr="00EC3012">
              <w:rPr>
                <w:rFonts w:ascii="Times New Roman" w:hAnsi="Times New Roman" w:cs="Times New Roman"/>
                <w:b/>
                <w:shd w:val="clear" w:color="auto" w:fill="FFFFFF"/>
              </w:rPr>
              <w:t>;</w:t>
            </w:r>
          </w:p>
          <w:p w14:paraId="59211BE9" w14:textId="77777777" w:rsidR="00F03711" w:rsidRPr="00EC3012" w:rsidRDefault="00F03711" w:rsidP="00F03711">
            <w:pPr>
              <w:ind w:firstLine="308"/>
              <w:jc w:val="both"/>
              <w:rPr>
                <w:rFonts w:ascii="Times New Roman" w:hAnsi="Times New Roman" w:cs="Times New Roman"/>
                <w:shd w:val="clear" w:color="auto" w:fill="FFFFFF"/>
              </w:rPr>
            </w:pPr>
          </w:p>
          <w:p w14:paraId="663898E0" w14:textId="77777777" w:rsidR="00F03711" w:rsidRPr="00EC3012" w:rsidRDefault="00F03711" w:rsidP="00F03711">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244DC469" w14:textId="77777777" w:rsidR="00F03711" w:rsidRDefault="00F03711" w:rsidP="00F03711">
            <w:pPr>
              <w:ind w:firstLine="308"/>
              <w:jc w:val="both"/>
              <w:rPr>
                <w:rFonts w:ascii="Times New Roman" w:hAnsi="Times New Roman" w:cs="Times New Roman"/>
                <w:shd w:val="clear" w:color="auto" w:fill="FFFFFF"/>
              </w:rPr>
            </w:pPr>
          </w:p>
          <w:p w14:paraId="00393378" w14:textId="77777777" w:rsidR="00F03711" w:rsidRPr="00F03711" w:rsidRDefault="00F03711" w:rsidP="00F03711">
            <w:pPr>
              <w:ind w:firstLine="308"/>
              <w:jc w:val="both"/>
              <w:rPr>
                <w:rFonts w:ascii="Times New Roman" w:hAnsi="Times New Roman" w:cs="Times New Roman"/>
                <w:b/>
                <w:shd w:val="clear" w:color="auto" w:fill="FFFFFF"/>
              </w:rPr>
            </w:pPr>
            <w:r w:rsidRPr="00F03711">
              <w:rPr>
                <w:rFonts w:ascii="Times New Roman" w:hAnsi="Times New Roman" w:cs="Times New Roman"/>
                <w:b/>
                <w:shd w:val="clear" w:color="auto" w:fill="FFFFFF"/>
              </w:rPr>
              <w:t>6) сума недофінансування статей витрат структури тарифу у звітному році (на 2025 рік для постачальників універсальних послуг, перелік яких наведено у додатку 5 до Методики № 1176, визначається на підставі витрат, врахованих у тарифах на звітний рік, перерахованих із застосуванням уточнюючого коригуючого коефіцієнта від зміни протягом звітного року фактичної кількості побутових споживачів ліцензіата, які знаходяться на контрольованій території держави (</w:t>
            </w:r>
            <w:proofErr w:type="spellStart"/>
            <w:r w:rsidRPr="00F03711">
              <w:rPr>
                <w:rFonts w:ascii="Times New Roman" w:hAnsi="Times New Roman" w:cs="Times New Roman"/>
                <w:b/>
                <w:shd w:val="clear" w:color="auto" w:fill="FFFFFF"/>
              </w:rPr>
              <w:t>КФСу</w:t>
            </w:r>
            <w:proofErr w:type="spellEnd"/>
            <w:r w:rsidRPr="00F03711">
              <w:rPr>
                <w:rFonts w:ascii="Times New Roman" w:hAnsi="Times New Roman" w:cs="Times New Roman"/>
                <w:b/>
                <w:shd w:val="clear" w:color="auto" w:fill="FFFFFF"/>
              </w:rPr>
              <w:t>)), що розраховується за формулою</w:t>
            </w:r>
          </w:p>
          <w:p w14:paraId="2D7835FF" w14:textId="77777777" w:rsidR="00F03711" w:rsidRPr="00F03711" w:rsidRDefault="00F03711" w:rsidP="00F03711">
            <w:pPr>
              <w:ind w:firstLine="308"/>
              <w:jc w:val="both"/>
              <w:rPr>
                <w:rFonts w:ascii="Times New Roman" w:hAnsi="Times New Roman" w:cs="Times New Roman"/>
                <w:b/>
                <w:shd w:val="clear" w:color="auto" w:fill="FFFFFF"/>
              </w:rPr>
            </w:pPr>
            <w:proofErr w:type="spellStart"/>
            <w:r w:rsidRPr="00F03711">
              <w:rPr>
                <w:rFonts w:ascii="Times New Roman" w:hAnsi="Times New Roman" w:cs="Times New Roman"/>
                <w:b/>
                <w:shd w:val="clear" w:color="auto" w:fill="FFFFFF"/>
              </w:rPr>
              <w:t>КФСу</w:t>
            </w:r>
            <w:proofErr w:type="spellEnd"/>
            <w:r w:rsidRPr="00F03711">
              <w:rPr>
                <w:rFonts w:ascii="Times New Roman" w:hAnsi="Times New Roman" w:cs="Times New Roman"/>
                <w:b/>
                <w:shd w:val="clear" w:color="auto" w:fill="FFFFFF"/>
              </w:rPr>
              <w:t xml:space="preserve"> = (1+КА* (∆</w:t>
            </w:r>
            <w:proofErr w:type="spellStart"/>
            <w:r w:rsidRPr="00F03711">
              <w:rPr>
                <w:rFonts w:ascii="Times New Roman" w:hAnsi="Times New Roman" w:cs="Times New Roman"/>
                <w:b/>
                <w:shd w:val="clear" w:color="auto" w:fill="FFFFFF"/>
              </w:rPr>
              <w:t>ПСt</w:t>
            </w:r>
            <w:proofErr w:type="spellEnd"/>
            <w:r w:rsidRPr="00F03711">
              <w:rPr>
                <w:rFonts w:ascii="Times New Roman" w:hAnsi="Times New Roman" w:cs="Times New Roman"/>
                <w:b/>
                <w:shd w:val="clear" w:color="auto" w:fill="FFFFFF"/>
              </w:rPr>
              <w:t xml:space="preserve"> / </w:t>
            </w:r>
            <w:proofErr w:type="spellStart"/>
            <w:r w:rsidRPr="00F03711">
              <w:rPr>
                <w:rFonts w:ascii="Times New Roman" w:hAnsi="Times New Roman" w:cs="Times New Roman"/>
                <w:b/>
                <w:shd w:val="clear" w:color="auto" w:fill="FFFFFF"/>
              </w:rPr>
              <w:t>ПСтt</w:t>
            </w:r>
            <w:proofErr w:type="spellEnd"/>
            <w:r w:rsidRPr="00F03711">
              <w:rPr>
                <w:rFonts w:ascii="Times New Roman" w:hAnsi="Times New Roman" w:cs="Times New Roman"/>
                <w:b/>
                <w:shd w:val="clear" w:color="auto" w:fill="FFFFFF"/>
              </w:rPr>
              <w:t>)), в. о.,</w:t>
            </w:r>
          </w:p>
          <w:p w14:paraId="77BC4257" w14:textId="77777777" w:rsidR="00F03711" w:rsidRPr="00F03711" w:rsidRDefault="00F03711" w:rsidP="00F03711">
            <w:pPr>
              <w:ind w:firstLine="308"/>
              <w:jc w:val="both"/>
              <w:rPr>
                <w:rFonts w:ascii="Times New Roman" w:hAnsi="Times New Roman" w:cs="Times New Roman"/>
                <w:b/>
                <w:shd w:val="clear" w:color="auto" w:fill="FFFFFF"/>
              </w:rPr>
            </w:pPr>
            <w:r w:rsidRPr="00F03711">
              <w:rPr>
                <w:rFonts w:ascii="Times New Roman" w:hAnsi="Times New Roman" w:cs="Times New Roman"/>
                <w:b/>
                <w:shd w:val="clear" w:color="auto" w:fill="FFFFFF"/>
              </w:rPr>
              <w:t>де КА – коефіцієнт поправки на зміну кількості абонентів, встановлений НКРЕКП (КА = 0,7);</w:t>
            </w:r>
          </w:p>
          <w:p w14:paraId="0C49EF81" w14:textId="77777777" w:rsidR="00F03711" w:rsidRPr="00F03711" w:rsidRDefault="00F03711" w:rsidP="00F03711">
            <w:pPr>
              <w:ind w:firstLine="308"/>
              <w:jc w:val="both"/>
              <w:rPr>
                <w:rFonts w:ascii="Times New Roman" w:hAnsi="Times New Roman" w:cs="Times New Roman"/>
                <w:b/>
                <w:shd w:val="clear" w:color="auto" w:fill="FFFFFF"/>
              </w:rPr>
            </w:pPr>
            <w:r w:rsidRPr="00F03711">
              <w:rPr>
                <w:rFonts w:ascii="Times New Roman" w:hAnsi="Times New Roman" w:cs="Times New Roman"/>
                <w:b/>
                <w:shd w:val="clear" w:color="auto" w:fill="FFFFFF"/>
              </w:rPr>
              <w:t>∆</w:t>
            </w:r>
            <w:proofErr w:type="spellStart"/>
            <w:r w:rsidRPr="00F03711">
              <w:rPr>
                <w:rFonts w:ascii="Times New Roman" w:hAnsi="Times New Roman" w:cs="Times New Roman"/>
                <w:b/>
                <w:shd w:val="clear" w:color="auto" w:fill="FFFFFF"/>
              </w:rPr>
              <w:t>ПСt</w:t>
            </w:r>
            <w:proofErr w:type="spellEnd"/>
            <w:r w:rsidRPr="00F03711">
              <w:rPr>
                <w:rFonts w:ascii="Times New Roman" w:hAnsi="Times New Roman" w:cs="Times New Roman"/>
                <w:b/>
                <w:shd w:val="clear" w:color="auto" w:fill="FFFFFF"/>
              </w:rPr>
              <w:t xml:space="preserve"> – зміна фактичної кількості побутових споживачів ліцензіата, у звітному році, які знаходяться на контрольованій території держави, розрахована як різниця між фактичною кількістю побутових споживачів ліцензіата на кінець звітного періоду та кількістю побутових споживачів ліцензіата, врахованої при розрахунку тарифу на звітний рік; </w:t>
            </w:r>
          </w:p>
          <w:p w14:paraId="406D1FB2" w14:textId="77777777" w:rsidR="00B01840" w:rsidRDefault="00F03711" w:rsidP="00F03711">
            <w:pPr>
              <w:ind w:firstLine="308"/>
              <w:jc w:val="both"/>
              <w:rPr>
                <w:rFonts w:ascii="Times New Roman" w:hAnsi="Times New Roman" w:cs="Times New Roman"/>
                <w:b/>
                <w:shd w:val="clear" w:color="auto" w:fill="FFFFFF"/>
              </w:rPr>
            </w:pPr>
            <w:proofErr w:type="spellStart"/>
            <w:r w:rsidRPr="00F03711">
              <w:rPr>
                <w:rFonts w:ascii="Times New Roman" w:hAnsi="Times New Roman" w:cs="Times New Roman"/>
                <w:b/>
                <w:shd w:val="clear" w:color="auto" w:fill="FFFFFF"/>
              </w:rPr>
              <w:lastRenderedPageBreak/>
              <w:t>ПСтt</w:t>
            </w:r>
            <w:proofErr w:type="spellEnd"/>
            <w:r w:rsidRPr="00F03711">
              <w:rPr>
                <w:rFonts w:ascii="Times New Roman" w:hAnsi="Times New Roman" w:cs="Times New Roman"/>
                <w:b/>
                <w:shd w:val="clear" w:color="auto" w:fill="FFFFFF"/>
              </w:rPr>
              <w:t xml:space="preserve"> – кількість побутових споживачів ліцензіата, які знаходяться на контрольованій території держави, врахованих при розрахунку тарифу на звітний рік;</w:t>
            </w:r>
          </w:p>
          <w:p w14:paraId="1A1EAC00" w14:textId="77777777" w:rsidR="00F03711" w:rsidRDefault="00F03711" w:rsidP="00F03711">
            <w:pPr>
              <w:ind w:firstLine="308"/>
              <w:jc w:val="both"/>
              <w:rPr>
                <w:rFonts w:ascii="Times New Roman" w:hAnsi="Times New Roman" w:cs="Times New Roman"/>
                <w:b/>
                <w:shd w:val="clear" w:color="auto" w:fill="FFFFFF"/>
              </w:rPr>
            </w:pPr>
          </w:p>
          <w:p w14:paraId="3423DC61" w14:textId="77777777" w:rsidR="00F03711" w:rsidRDefault="00F03711" w:rsidP="00F03711">
            <w:pPr>
              <w:ind w:firstLine="308"/>
              <w:jc w:val="both"/>
              <w:rPr>
                <w:rFonts w:ascii="Times New Roman" w:hAnsi="Times New Roman" w:cs="Times New Roman"/>
                <w:b/>
                <w:shd w:val="clear" w:color="auto" w:fill="FFFFFF"/>
              </w:rPr>
            </w:pPr>
            <w:r w:rsidRPr="00F03711">
              <w:rPr>
                <w:rFonts w:ascii="Times New Roman" w:hAnsi="Times New Roman" w:cs="Times New Roman"/>
                <w:b/>
                <w:shd w:val="clear" w:color="auto" w:fill="FFFFFF"/>
              </w:rPr>
              <w:t xml:space="preserve">7) сума перевитрат статей витрат структури тарифів у звітному році (на 2025 рік для постачальників універсальних послуг, перелік яких наведено у додатку 5 до Методики № 1176, витрати за статтями операційних витрат, розрахунок яких на звітний рік здійснювався із застосуванням коригуючого коефіцієнта зміни фактичної кількості побутових споживачів ліцензіата, які знаходяться на контрольованій території держави (КФС), відповідно до Методики № 1176, перераховуються із застосуванням </w:t>
            </w:r>
            <w:proofErr w:type="spellStart"/>
            <w:r w:rsidRPr="00F03711">
              <w:rPr>
                <w:rFonts w:ascii="Times New Roman" w:hAnsi="Times New Roman" w:cs="Times New Roman"/>
                <w:b/>
                <w:shd w:val="clear" w:color="auto" w:fill="FFFFFF"/>
              </w:rPr>
              <w:t>КФСу</w:t>
            </w:r>
            <w:proofErr w:type="spellEnd"/>
            <w:r w:rsidRPr="00F03711">
              <w:rPr>
                <w:rFonts w:ascii="Times New Roman" w:hAnsi="Times New Roman" w:cs="Times New Roman"/>
                <w:b/>
                <w:shd w:val="clear" w:color="auto" w:fill="FFFFFF"/>
              </w:rPr>
              <w:t>);</w:t>
            </w:r>
          </w:p>
          <w:p w14:paraId="1134905B" w14:textId="77777777" w:rsidR="00F03711" w:rsidRDefault="00F03711" w:rsidP="00F03711">
            <w:pPr>
              <w:ind w:firstLine="308"/>
              <w:jc w:val="both"/>
              <w:rPr>
                <w:rFonts w:ascii="Times New Roman" w:hAnsi="Times New Roman" w:cs="Times New Roman"/>
                <w:b/>
                <w:shd w:val="clear" w:color="auto" w:fill="FFFFFF"/>
              </w:rPr>
            </w:pPr>
          </w:p>
          <w:p w14:paraId="5FB1DECA" w14:textId="77777777" w:rsidR="00F03711" w:rsidRDefault="00F03711" w:rsidP="00F03711">
            <w:pPr>
              <w:ind w:firstLine="308"/>
              <w:jc w:val="both"/>
              <w:rPr>
                <w:rFonts w:ascii="Times New Roman" w:hAnsi="Times New Roman" w:cs="Times New Roman"/>
                <w:shd w:val="clear" w:color="auto" w:fill="FFFFFF"/>
              </w:rPr>
            </w:pPr>
            <w:r w:rsidRPr="00F03711">
              <w:rPr>
                <w:rFonts w:ascii="Times New Roman" w:hAnsi="Times New Roman" w:cs="Times New Roman"/>
                <w:b/>
                <w:shd w:val="clear" w:color="auto" w:fill="FFFFFF"/>
              </w:rPr>
              <w:t>8)</w:t>
            </w:r>
            <w:r w:rsidRPr="00F03711">
              <w:rPr>
                <w:rFonts w:ascii="Times New Roman" w:hAnsi="Times New Roman" w:cs="Times New Roman"/>
                <w:shd w:val="clear" w:color="auto" w:fill="FFFFFF"/>
              </w:rPr>
              <w:t xml:space="preserve"> сума обґрунтованих перевитрат статей витрат структури тарифів у звітному році</w:t>
            </w:r>
            <w:r>
              <w:rPr>
                <w:rFonts w:ascii="Times New Roman" w:hAnsi="Times New Roman" w:cs="Times New Roman"/>
                <w:shd w:val="clear" w:color="auto" w:fill="FFFFFF"/>
              </w:rPr>
              <w:t xml:space="preserve"> </w:t>
            </w:r>
            <w:r w:rsidRPr="00F03711">
              <w:rPr>
                <w:rFonts w:ascii="Times New Roman" w:hAnsi="Times New Roman" w:cs="Times New Roman"/>
                <w:b/>
                <w:shd w:val="clear" w:color="auto" w:fill="FFFFFF"/>
              </w:rPr>
              <w:t>(для постачальників універсальних послуг, перелік яких наведено у додатку 5 до Методики № 1176, визначається з урахуванням вимог підпункту 5 цього пункту)</w:t>
            </w:r>
            <w:r w:rsidRPr="00F03711">
              <w:rPr>
                <w:rFonts w:ascii="Times New Roman" w:hAnsi="Times New Roman" w:cs="Times New Roman"/>
                <w:shd w:val="clear" w:color="auto" w:fill="FFFFFF"/>
              </w:rPr>
              <w:t>;</w:t>
            </w:r>
          </w:p>
          <w:p w14:paraId="7AB25627" w14:textId="77777777" w:rsidR="008C3591" w:rsidRDefault="008C3591" w:rsidP="00F03711">
            <w:pPr>
              <w:ind w:firstLine="308"/>
              <w:jc w:val="both"/>
              <w:rPr>
                <w:rFonts w:ascii="Times New Roman" w:hAnsi="Times New Roman" w:cs="Times New Roman"/>
                <w:b/>
                <w:shd w:val="clear" w:color="auto" w:fill="FFFFFF"/>
              </w:rPr>
            </w:pPr>
          </w:p>
          <w:p w14:paraId="2AD32548" w14:textId="02F575C2" w:rsidR="008C3591" w:rsidRPr="008C3591" w:rsidRDefault="000924F7" w:rsidP="008C3591">
            <w:pPr>
              <w:ind w:firstLine="308"/>
              <w:jc w:val="both"/>
              <w:rPr>
                <w:rFonts w:ascii="Times New Roman" w:hAnsi="Times New Roman" w:cs="Times New Roman"/>
                <w:shd w:val="clear" w:color="auto" w:fill="FFFFFF"/>
              </w:rPr>
            </w:pPr>
            <w:r w:rsidRPr="000924F7">
              <w:rPr>
                <w:rFonts w:ascii="Times New Roman" w:hAnsi="Times New Roman" w:cs="Times New Roman"/>
                <w:b/>
                <w:shd w:val="clear" w:color="auto" w:fill="FFFFFF"/>
              </w:rPr>
              <w:t>9</w:t>
            </w:r>
            <w:r w:rsidR="008C3591" w:rsidRPr="000924F7">
              <w:rPr>
                <w:rFonts w:ascii="Times New Roman" w:hAnsi="Times New Roman" w:cs="Times New Roman"/>
                <w:b/>
                <w:shd w:val="clear" w:color="auto" w:fill="FFFFFF"/>
              </w:rPr>
              <w:t>)</w:t>
            </w:r>
            <w:r w:rsidR="008C3591" w:rsidRPr="008C3591">
              <w:rPr>
                <w:rFonts w:ascii="Times New Roman" w:hAnsi="Times New Roman" w:cs="Times New Roman"/>
                <w:shd w:val="clear" w:color="auto" w:fill="FFFFFF"/>
              </w:rPr>
              <w:t xml:space="preserve"> додатково отриманий (недоотриманий) дохід ліцензіата внаслідок збільшення (зменшення) фактичних обсягів постачання електричної енергії в частині надання універсальних послуг порівняно із затвердженими в тарифах на послуги постачання універсальних послуг. Такий дохід визначається на підставі фактичного обсягу постачання електричної енергії у звітному році відповідно до наданих комісії з перевірки належним чином завірених копій підтвердних документів, за даними форми звітності N 3-НКРЕКП-постачання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N 282 (далі - форма звітності N 3-НКРЕКП-постачання електричної енергії), та затверджених рівнів тарифів на послуги постачання універсальних послуг, які діяли у відповідні періоди звітного року.</w:t>
            </w:r>
          </w:p>
          <w:p w14:paraId="4811F6E5" w14:textId="77777777" w:rsidR="008C3591" w:rsidRDefault="008C3591" w:rsidP="008C3591">
            <w:pPr>
              <w:ind w:firstLine="308"/>
              <w:jc w:val="both"/>
              <w:rPr>
                <w:rFonts w:ascii="Times New Roman" w:hAnsi="Times New Roman" w:cs="Times New Roman"/>
                <w:shd w:val="clear" w:color="auto" w:fill="FFFFFF"/>
              </w:rPr>
            </w:pPr>
            <w:r w:rsidRPr="008C3591">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здійсненого розрахунковим шляхом у період дії в Україні воєнного стану на підставі звітності, згідно з рішеннями НКРЕКП, прийнятими відповідно до підпункту 1 пункту 8.1 глави 8 Методики розрахунку тарифу на послуги постачальника універсальних послуг, затвердженої постановою НКРЕКП від 05 жовтня 2018 року N 1176</w:t>
            </w:r>
            <w:r w:rsidR="000924F7">
              <w:rPr>
                <w:rFonts w:ascii="Times New Roman" w:hAnsi="Times New Roman" w:cs="Times New Roman"/>
                <w:shd w:val="clear" w:color="auto" w:fill="FFFFFF"/>
              </w:rPr>
              <w:t>;</w:t>
            </w:r>
          </w:p>
          <w:p w14:paraId="7F38B713" w14:textId="1447475E" w:rsidR="000924F7" w:rsidRPr="00EC3012" w:rsidRDefault="000924F7" w:rsidP="008C3591">
            <w:pPr>
              <w:ind w:firstLine="308"/>
              <w:jc w:val="both"/>
              <w:rPr>
                <w:rFonts w:ascii="Times New Roman" w:hAnsi="Times New Roman" w:cs="Times New Roman"/>
                <w:b/>
                <w:shd w:val="clear" w:color="auto" w:fill="FFFFFF"/>
              </w:rPr>
            </w:pPr>
            <w:r w:rsidRPr="000924F7">
              <w:rPr>
                <w:rFonts w:ascii="Times New Roman" w:hAnsi="Times New Roman" w:cs="Times New Roman"/>
                <w:b/>
                <w:shd w:val="clear" w:color="auto" w:fill="FFFFFF"/>
              </w:rPr>
              <w:t xml:space="preserve">За 2025 рік для постачальників універсальних послуг, перелік яких наведено у додатку 5 до Методики № 1176, додатково отриманий (недоотриманий) дохід ліцензіата внаслідок збільшення (зменшення) </w:t>
            </w:r>
            <w:r w:rsidRPr="000924F7">
              <w:rPr>
                <w:rFonts w:ascii="Times New Roman" w:hAnsi="Times New Roman" w:cs="Times New Roman"/>
                <w:b/>
                <w:shd w:val="clear" w:color="auto" w:fill="FFFFFF"/>
              </w:rPr>
              <w:lastRenderedPageBreak/>
              <w:t xml:space="preserve">фактичних обсягів постачання електричної енергії визначається згідно з пунктом 5 цієї Методики, із застосуванням </w:t>
            </w:r>
            <w:proofErr w:type="spellStart"/>
            <w:r w:rsidRPr="000924F7">
              <w:rPr>
                <w:rFonts w:ascii="Times New Roman" w:hAnsi="Times New Roman" w:cs="Times New Roman"/>
                <w:b/>
                <w:shd w:val="clear" w:color="auto" w:fill="FFFFFF"/>
              </w:rPr>
              <w:t>КФСу</w:t>
            </w:r>
            <w:proofErr w:type="spellEnd"/>
            <w:r w:rsidRPr="000924F7">
              <w:rPr>
                <w:rFonts w:ascii="Times New Roman" w:hAnsi="Times New Roman" w:cs="Times New Roman"/>
                <w:b/>
                <w:shd w:val="clear" w:color="auto" w:fill="FFFFFF"/>
              </w:rPr>
              <w:t>;</w:t>
            </w:r>
          </w:p>
        </w:tc>
      </w:tr>
      <w:tr w:rsidR="00B01840" w:rsidRPr="00EC3012" w14:paraId="023BD473" w14:textId="77777777" w:rsidTr="00AD1642">
        <w:trPr>
          <w:trHeight w:val="610"/>
        </w:trPr>
        <w:tc>
          <w:tcPr>
            <w:tcW w:w="7724" w:type="dxa"/>
          </w:tcPr>
          <w:p w14:paraId="4D6F0AC6" w14:textId="77777777" w:rsidR="000F3662" w:rsidRPr="000F3662" w:rsidRDefault="000F3662" w:rsidP="000F3662">
            <w:pPr>
              <w:ind w:firstLine="308"/>
              <w:jc w:val="both"/>
              <w:rPr>
                <w:rFonts w:ascii="Times New Roman" w:hAnsi="Times New Roman" w:cs="Times New Roman"/>
                <w:shd w:val="clear" w:color="auto" w:fill="FFFFFF"/>
              </w:rPr>
            </w:pPr>
            <w:r w:rsidRPr="000F3662">
              <w:rPr>
                <w:rFonts w:ascii="Times New Roman" w:hAnsi="Times New Roman" w:cs="Times New Roman"/>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59E9105" w14:textId="37FD3AF3" w:rsidR="00B01840" w:rsidRPr="00EC3012" w:rsidRDefault="000F3662" w:rsidP="000F3662">
            <w:pPr>
              <w:ind w:firstLine="308"/>
              <w:jc w:val="both"/>
              <w:rPr>
                <w:rFonts w:ascii="Times New Roman" w:hAnsi="Times New Roman" w:cs="Times New Roman"/>
                <w:shd w:val="clear" w:color="auto" w:fill="FFFFFF"/>
              </w:rPr>
            </w:pPr>
            <w:r w:rsidRPr="000F3662">
              <w:rPr>
                <w:rFonts w:ascii="Times New Roman" w:hAnsi="Times New Roman" w:cs="Times New Roman"/>
                <w:shd w:val="clear" w:color="auto" w:fill="FFFFFF"/>
              </w:rPr>
              <w:t>1) додатково отриманий (недоотриманий) дохід ліцензіата внаслідок збільшення (зменшення) фактичних обсягів постачання електричної енергії постачальників універсальних послуг порівняно із затвердженими в тарифах на послуги постачання універсальних послуг з урахуванням очікуваного додаткового (недоотриманого) доходу від збільшення (зменшення) обсягів постачання електричної енергії постачальників універсальних послуг у звітному році, який уже було враховано у структурах тарифів;</w:t>
            </w:r>
          </w:p>
        </w:tc>
        <w:tc>
          <w:tcPr>
            <w:tcW w:w="7725" w:type="dxa"/>
          </w:tcPr>
          <w:p w14:paraId="1114330C" w14:textId="77777777" w:rsidR="000F3662" w:rsidRPr="000F3662" w:rsidRDefault="000F3662" w:rsidP="000F3662">
            <w:pPr>
              <w:ind w:firstLine="308"/>
              <w:jc w:val="both"/>
              <w:rPr>
                <w:rFonts w:ascii="Times New Roman" w:hAnsi="Times New Roman" w:cs="Times New Roman"/>
                <w:shd w:val="clear" w:color="auto" w:fill="FFFFFF"/>
              </w:rPr>
            </w:pPr>
            <w:r w:rsidRPr="000F3662">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4C00D197" w14:textId="77777777" w:rsidR="00B01840" w:rsidRDefault="000F3662" w:rsidP="000F3662">
            <w:pPr>
              <w:ind w:firstLine="308"/>
              <w:jc w:val="both"/>
              <w:rPr>
                <w:rFonts w:ascii="Times New Roman" w:hAnsi="Times New Roman" w:cs="Times New Roman"/>
                <w:shd w:val="clear" w:color="auto" w:fill="FFFFFF"/>
              </w:rPr>
            </w:pPr>
            <w:r w:rsidRPr="000F3662">
              <w:rPr>
                <w:rFonts w:ascii="Times New Roman" w:hAnsi="Times New Roman" w:cs="Times New Roman"/>
                <w:shd w:val="clear" w:color="auto" w:fill="FFFFFF"/>
              </w:rPr>
              <w:t>1) додатково отриманий (недоотриманий) дохід ліцензіата внаслідок збільшення (зменшення) фактичних обсягів постачання електричної енергії постачальників універсальних послуг порівняно із затвердженими в тарифах на послуги постачання універсальних послуг з урахуванням очікуваного додаткового (недоотриманого) доходу від збільшення (зменшення) обсягів постачання електричної енергії постачальників універсальних послуг у звітному році, який уже було враховано у структурах тарифів;</w:t>
            </w:r>
          </w:p>
          <w:p w14:paraId="5A216730" w14:textId="77777777" w:rsidR="000F3662" w:rsidRPr="000F3662" w:rsidRDefault="000F3662" w:rsidP="000F3662">
            <w:pPr>
              <w:ind w:firstLine="308"/>
              <w:jc w:val="both"/>
              <w:rPr>
                <w:rFonts w:ascii="Times New Roman" w:hAnsi="Times New Roman" w:cs="Times New Roman"/>
                <w:b/>
                <w:shd w:val="clear" w:color="auto" w:fill="FFFFFF"/>
              </w:rPr>
            </w:pPr>
            <w:r w:rsidRPr="000F3662">
              <w:rPr>
                <w:rFonts w:ascii="Times New Roman" w:hAnsi="Times New Roman" w:cs="Times New Roman"/>
                <w:b/>
                <w:shd w:val="clear" w:color="auto" w:fill="FFFFFF"/>
              </w:rPr>
              <w:t xml:space="preserve">За 2025 рік для постачальників універсальних послуг, перелік яких наведено у додатку 5 до Методики № 1176, додатково отриманий (недоотриманий) дохід ліцензіата внаслідок збільшення (зменшення) фактичних обсягів постачання електричної енергії визначається як різниця між добутком фактичних помісячних обсягів постачання електричної енергії і тарифів, що діяли у відповідному звітному періоді, та сумою середньорічного необхідного доходу, передбаченого встановленими структурами тарифів на 2025 рік із застосуванням </w:t>
            </w:r>
            <w:proofErr w:type="spellStart"/>
            <w:r w:rsidRPr="000F3662">
              <w:rPr>
                <w:rFonts w:ascii="Times New Roman" w:hAnsi="Times New Roman" w:cs="Times New Roman"/>
                <w:b/>
                <w:shd w:val="clear" w:color="auto" w:fill="FFFFFF"/>
              </w:rPr>
              <w:t>КФСу</w:t>
            </w:r>
            <w:proofErr w:type="spellEnd"/>
            <w:r w:rsidRPr="000F3662">
              <w:rPr>
                <w:rFonts w:ascii="Times New Roman" w:hAnsi="Times New Roman" w:cs="Times New Roman"/>
                <w:b/>
                <w:shd w:val="clear" w:color="auto" w:fill="FFFFFF"/>
              </w:rPr>
              <w:t>, за формулою</w:t>
            </w:r>
          </w:p>
          <w:p w14:paraId="4E80735B" w14:textId="77777777" w:rsidR="000F3662" w:rsidRPr="000F3662" w:rsidRDefault="000F3662" w:rsidP="000F3662">
            <w:pPr>
              <w:ind w:firstLine="308"/>
              <w:jc w:val="both"/>
              <w:rPr>
                <w:rFonts w:ascii="Times New Roman" w:hAnsi="Times New Roman" w:cs="Times New Roman"/>
                <w:b/>
                <w:shd w:val="clear" w:color="auto" w:fill="FFFFFF"/>
              </w:rPr>
            </w:pPr>
            <w:r w:rsidRPr="000F3662">
              <w:rPr>
                <w:rFonts w:ascii="Times New Roman" w:hAnsi="Times New Roman" w:cs="Times New Roman"/>
                <w:b/>
                <w:shd w:val="clear" w:color="auto" w:fill="FFFFFF"/>
              </w:rPr>
              <w:t>ДД</w:t>
            </w:r>
            <w:r w:rsidRPr="000F3662">
              <w:rPr>
                <w:rFonts w:ascii="Times New Roman" w:hAnsi="Times New Roman" w:cs="Times New Roman"/>
                <w:b/>
                <w:shd w:val="clear" w:color="auto" w:fill="FFFFFF"/>
                <w:vertAlign w:val="subscript"/>
              </w:rPr>
              <w:t>О(Н)</w:t>
            </w:r>
            <w:r w:rsidRPr="000F3662">
              <w:rPr>
                <w:rFonts w:ascii="Times New Roman" w:hAnsi="Times New Roman" w:cs="Times New Roman"/>
                <w:b/>
                <w:shd w:val="clear" w:color="auto" w:fill="FFFFFF"/>
              </w:rPr>
              <w:t xml:space="preserve"> = ФД – (</w:t>
            </w:r>
            <w:proofErr w:type="spellStart"/>
            <w:r w:rsidRPr="000F3662">
              <w:rPr>
                <w:rFonts w:ascii="Times New Roman" w:hAnsi="Times New Roman" w:cs="Times New Roman"/>
                <w:b/>
                <w:shd w:val="clear" w:color="auto" w:fill="FFFFFF"/>
              </w:rPr>
              <w:t>ЧНДт</w:t>
            </w:r>
            <w:proofErr w:type="spellEnd"/>
            <w:r w:rsidRPr="000F3662">
              <w:rPr>
                <w:rFonts w:ascii="Times New Roman" w:hAnsi="Times New Roman" w:cs="Times New Roman"/>
                <w:b/>
                <w:shd w:val="clear" w:color="auto" w:fill="FFFFFF"/>
              </w:rPr>
              <w:t xml:space="preserve"> + (</w:t>
            </w:r>
            <w:proofErr w:type="spellStart"/>
            <w:r w:rsidRPr="000F3662">
              <w:rPr>
                <w:rFonts w:ascii="Times New Roman" w:hAnsi="Times New Roman" w:cs="Times New Roman"/>
                <w:b/>
                <w:shd w:val="clear" w:color="auto" w:fill="FFFFFF"/>
              </w:rPr>
              <w:t>ОВт</w:t>
            </w:r>
            <w:proofErr w:type="spellEnd"/>
            <w:r w:rsidRPr="000F3662">
              <w:rPr>
                <w:rFonts w:ascii="Times New Roman" w:hAnsi="Times New Roman" w:cs="Times New Roman"/>
                <w:b/>
                <w:shd w:val="clear" w:color="auto" w:fill="FFFFFF"/>
              </w:rPr>
              <w:t xml:space="preserve"> × </w:t>
            </w:r>
            <w:proofErr w:type="spellStart"/>
            <w:r w:rsidRPr="000F3662">
              <w:rPr>
                <w:rFonts w:ascii="Times New Roman" w:hAnsi="Times New Roman" w:cs="Times New Roman"/>
                <w:b/>
                <w:shd w:val="clear" w:color="auto" w:fill="FFFFFF"/>
              </w:rPr>
              <w:t>КФСу</w:t>
            </w:r>
            <w:proofErr w:type="spellEnd"/>
            <w:r w:rsidRPr="000F3662">
              <w:rPr>
                <w:rFonts w:ascii="Times New Roman" w:hAnsi="Times New Roman" w:cs="Times New Roman"/>
                <w:b/>
                <w:shd w:val="clear" w:color="auto" w:fill="FFFFFF"/>
              </w:rPr>
              <w:t>)), тис. грн,</w:t>
            </w:r>
          </w:p>
          <w:p w14:paraId="30D63883" w14:textId="77777777" w:rsidR="000F3662" w:rsidRPr="000F3662" w:rsidRDefault="000F3662" w:rsidP="000F3662">
            <w:pPr>
              <w:ind w:firstLine="308"/>
              <w:jc w:val="both"/>
              <w:rPr>
                <w:rFonts w:ascii="Times New Roman" w:hAnsi="Times New Roman" w:cs="Times New Roman"/>
                <w:b/>
                <w:shd w:val="clear" w:color="auto" w:fill="FFFFFF"/>
              </w:rPr>
            </w:pPr>
            <w:r w:rsidRPr="000F3662">
              <w:rPr>
                <w:rFonts w:ascii="Times New Roman" w:hAnsi="Times New Roman" w:cs="Times New Roman"/>
                <w:b/>
                <w:shd w:val="clear" w:color="auto" w:fill="FFFFFF"/>
              </w:rPr>
              <w:t>де ДД</w:t>
            </w:r>
            <w:r w:rsidRPr="000F3662">
              <w:rPr>
                <w:rFonts w:ascii="Times New Roman" w:hAnsi="Times New Roman" w:cs="Times New Roman"/>
                <w:b/>
                <w:shd w:val="clear" w:color="auto" w:fill="FFFFFF"/>
                <w:vertAlign w:val="subscript"/>
              </w:rPr>
              <w:t>О(Н)</w:t>
            </w:r>
            <w:r w:rsidRPr="000F3662">
              <w:rPr>
                <w:rFonts w:ascii="Times New Roman" w:hAnsi="Times New Roman" w:cs="Times New Roman"/>
                <w:b/>
                <w:shd w:val="clear" w:color="auto" w:fill="FFFFFF"/>
              </w:rPr>
              <w:t xml:space="preserve"> – додатково отриманий (недоотриманий) дохід ліцензіата внаслідок збільшення (зменшення) фактичних обсягів постачання електричної енергії за відповідний період, тис. грн;</w:t>
            </w:r>
          </w:p>
          <w:p w14:paraId="2542B3E3" w14:textId="77777777" w:rsidR="000F3662" w:rsidRPr="000F3662" w:rsidRDefault="000F3662" w:rsidP="000F3662">
            <w:pPr>
              <w:ind w:firstLine="308"/>
              <w:jc w:val="both"/>
              <w:rPr>
                <w:rFonts w:ascii="Times New Roman" w:hAnsi="Times New Roman" w:cs="Times New Roman"/>
                <w:b/>
                <w:shd w:val="clear" w:color="auto" w:fill="FFFFFF"/>
              </w:rPr>
            </w:pPr>
            <w:r w:rsidRPr="000F3662">
              <w:rPr>
                <w:rFonts w:ascii="Times New Roman" w:hAnsi="Times New Roman" w:cs="Times New Roman"/>
                <w:b/>
                <w:shd w:val="clear" w:color="auto" w:fill="FFFFFF"/>
              </w:rPr>
              <w:t>ФД – фактичний дохід ліцензіата, розрахований як добуток фактичних помісячних обсягів постачання електричної енергії у відповідному періоді і тарифів, що діяли у відповідному періоді звітного року, тис. грн;</w:t>
            </w:r>
          </w:p>
          <w:p w14:paraId="0AFBCB15" w14:textId="77777777" w:rsidR="000F3662" w:rsidRPr="000F3662" w:rsidRDefault="000F3662" w:rsidP="000F3662">
            <w:pPr>
              <w:ind w:firstLine="308"/>
              <w:jc w:val="both"/>
              <w:rPr>
                <w:rFonts w:ascii="Times New Roman" w:hAnsi="Times New Roman" w:cs="Times New Roman"/>
                <w:b/>
                <w:shd w:val="clear" w:color="auto" w:fill="FFFFFF"/>
              </w:rPr>
            </w:pPr>
            <w:proofErr w:type="spellStart"/>
            <w:r w:rsidRPr="000F3662">
              <w:rPr>
                <w:rFonts w:ascii="Times New Roman" w:hAnsi="Times New Roman" w:cs="Times New Roman"/>
                <w:b/>
                <w:shd w:val="clear" w:color="auto" w:fill="FFFFFF"/>
              </w:rPr>
              <w:t>ЧНДт</w:t>
            </w:r>
            <w:proofErr w:type="spellEnd"/>
            <w:r w:rsidRPr="000F3662">
              <w:rPr>
                <w:rFonts w:ascii="Times New Roman" w:hAnsi="Times New Roman" w:cs="Times New Roman"/>
                <w:b/>
                <w:shd w:val="clear" w:color="auto" w:fill="FFFFFF"/>
              </w:rPr>
              <w:t xml:space="preserve"> – частина необхідного доходу, врахованого у встановлених структурах тарифів, які діяли у відповідні періоди звітного року, за вирахуванням операційних  витрат, урахованих у тарифах на звітний рік, розрахунок яких здійснено із застосуванням КФС, відповідно до Методики № 1176, визначена за формулою</w:t>
            </w:r>
          </w:p>
          <w:p w14:paraId="78AAA045" w14:textId="77777777" w:rsidR="000F3662" w:rsidRPr="000F3662" w:rsidRDefault="000F3662" w:rsidP="000F3662">
            <w:pPr>
              <w:ind w:firstLine="308"/>
              <w:jc w:val="both"/>
              <w:rPr>
                <w:rFonts w:ascii="Times New Roman" w:hAnsi="Times New Roman" w:cs="Times New Roman"/>
                <w:b/>
                <w:shd w:val="clear" w:color="auto" w:fill="FFFFFF"/>
              </w:rPr>
            </w:pPr>
            <w:proofErr w:type="spellStart"/>
            <w:r w:rsidRPr="000F3662">
              <w:rPr>
                <w:rFonts w:ascii="Times New Roman" w:hAnsi="Times New Roman" w:cs="Times New Roman"/>
                <w:b/>
                <w:shd w:val="clear" w:color="auto" w:fill="FFFFFF"/>
              </w:rPr>
              <w:t>ЧНДт</w:t>
            </w:r>
            <w:proofErr w:type="spellEnd"/>
            <w:r w:rsidRPr="000F3662">
              <w:rPr>
                <w:rFonts w:ascii="Times New Roman" w:hAnsi="Times New Roman" w:cs="Times New Roman"/>
                <w:b/>
                <w:shd w:val="clear" w:color="auto" w:fill="FFFFFF"/>
              </w:rPr>
              <w:t xml:space="preserve"> = </w:t>
            </w:r>
            <w:proofErr w:type="spellStart"/>
            <w:r w:rsidRPr="000F3662">
              <w:rPr>
                <w:rFonts w:ascii="Times New Roman" w:hAnsi="Times New Roman" w:cs="Times New Roman"/>
                <w:b/>
                <w:shd w:val="clear" w:color="auto" w:fill="FFFFFF"/>
              </w:rPr>
              <w:t>НДт</w:t>
            </w:r>
            <w:proofErr w:type="spellEnd"/>
            <w:r w:rsidRPr="000F3662">
              <w:rPr>
                <w:rFonts w:ascii="Times New Roman" w:hAnsi="Times New Roman" w:cs="Times New Roman"/>
                <w:b/>
                <w:shd w:val="clear" w:color="auto" w:fill="FFFFFF"/>
              </w:rPr>
              <w:t xml:space="preserve"> – </w:t>
            </w:r>
            <w:proofErr w:type="spellStart"/>
            <w:r w:rsidRPr="000F3662">
              <w:rPr>
                <w:rFonts w:ascii="Times New Roman" w:hAnsi="Times New Roman" w:cs="Times New Roman"/>
                <w:b/>
                <w:shd w:val="clear" w:color="auto" w:fill="FFFFFF"/>
              </w:rPr>
              <w:t>Овт</w:t>
            </w:r>
            <w:proofErr w:type="spellEnd"/>
            <w:r w:rsidRPr="000F3662">
              <w:rPr>
                <w:rFonts w:ascii="Times New Roman" w:hAnsi="Times New Roman" w:cs="Times New Roman"/>
                <w:b/>
                <w:shd w:val="clear" w:color="auto" w:fill="FFFFFF"/>
              </w:rPr>
              <w:t>, тис. грн,</w:t>
            </w:r>
          </w:p>
          <w:p w14:paraId="44D36762" w14:textId="77777777" w:rsidR="000F3662" w:rsidRPr="000F3662" w:rsidRDefault="000F3662" w:rsidP="000F3662">
            <w:pPr>
              <w:ind w:firstLine="308"/>
              <w:jc w:val="both"/>
              <w:rPr>
                <w:rFonts w:ascii="Times New Roman" w:hAnsi="Times New Roman" w:cs="Times New Roman"/>
                <w:b/>
                <w:shd w:val="clear" w:color="auto" w:fill="FFFFFF"/>
              </w:rPr>
            </w:pPr>
            <w:r w:rsidRPr="000F3662">
              <w:rPr>
                <w:rFonts w:ascii="Times New Roman" w:hAnsi="Times New Roman" w:cs="Times New Roman"/>
                <w:b/>
                <w:shd w:val="clear" w:color="auto" w:fill="FFFFFF"/>
              </w:rPr>
              <w:t xml:space="preserve">де </w:t>
            </w:r>
            <w:proofErr w:type="spellStart"/>
            <w:r w:rsidRPr="000F3662">
              <w:rPr>
                <w:rFonts w:ascii="Times New Roman" w:hAnsi="Times New Roman" w:cs="Times New Roman"/>
                <w:b/>
                <w:shd w:val="clear" w:color="auto" w:fill="FFFFFF"/>
              </w:rPr>
              <w:t>НДт</w:t>
            </w:r>
            <w:proofErr w:type="spellEnd"/>
            <w:r w:rsidRPr="000F3662">
              <w:rPr>
                <w:rFonts w:ascii="Times New Roman" w:hAnsi="Times New Roman" w:cs="Times New Roman"/>
                <w:b/>
                <w:shd w:val="clear" w:color="auto" w:fill="FFFFFF"/>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0F2E6741" w14:textId="7D31FF3A" w:rsidR="000F3662" w:rsidRPr="00EC3012" w:rsidRDefault="000F3662" w:rsidP="000F3662">
            <w:pPr>
              <w:ind w:firstLine="308"/>
              <w:jc w:val="both"/>
              <w:rPr>
                <w:rFonts w:ascii="Times New Roman" w:hAnsi="Times New Roman" w:cs="Times New Roman"/>
                <w:b/>
                <w:shd w:val="clear" w:color="auto" w:fill="FFFFFF"/>
              </w:rPr>
            </w:pPr>
            <w:proofErr w:type="spellStart"/>
            <w:r w:rsidRPr="000F3662">
              <w:rPr>
                <w:rFonts w:ascii="Times New Roman" w:hAnsi="Times New Roman" w:cs="Times New Roman"/>
                <w:b/>
                <w:shd w:val="clear" w:color="auto" w:fill="FFFFFF"/>
              </w:rPr>
              <w:t>ОВт</w:t>
            </w:r>
            <w:proofErr w:type="spellEnd"/>
            <w:r w:rsidRPr="000F3662">
              <w:rPr>
                <w:rFonts w:ascii="Times New Roman" w:hAnsi="Times New Roman" w:cs="Times New Roman"/>
                <w:b/>
                <w:shd w:val="clear" w:color="auto" w:fill="FFFFFF"/>
              </w:rPr>
              <w:t xml:space="preserve"> – операційні  витрати, які враховані в тарифах на звітний рік, розрахунок яких здійснено із застосуванням КФС, відповідно до Методики № 1176;</w:t>
            </w:r>
          </w:p>
        </w:tc>
      </w:tr>
      <w:tr w:rsidR="005171B7" w:rsidRPr="00EC3012" w14:paraId="136CB78D" w14:textId="77777777" w:rsidTr="00AD1642">
        <w:trPr>
          <w:trHeight w:val="610"/>
        </w:trPr>
        <w:tc>
          <w:tcPr>
            <w:tcW w:w="7724" w:type="dxa"/>
          </w:tcPr>
          <w:p w14:paraId="15D43E30" w14:textId="77777777" w:rsidR="005171B7" w:rsidRPr="005171B7" w:rsidRDefault="005171B7" w:rsidP="005171B7">
            <w:pPr>
              <w:ind w:firstLine="308"/>
              <w:jc w:val="both"/>
              <w:rPr>
                <w:rFonts w:ascii="Times New Roman" w:hAnsi="Times New Roman" w:cs="Times New Roman"/>
                <w:shd w:val="clear" w:color="auto" w:fill="FFFFFF"/>
              </w:rPr>
            </w:pPr>
            <w:r w:rsidRPr="005171B7">
              <w:rPr>
                <w:rFonts w:ascii="Times New Roman" w:hAnsi="Times New Roman" w:cs="Times New Roman"/>
                <w:shd w:val="clear" w:color="auto" w:fill="FFFFFF"/>
              </w:rPr>
              <w:lastRenderedPageBreak/>
              <w:t>6. Об'єктивними чинниками недофінансування ліцензованої діяльності вважаються:</w:t>
            </w:r>
          </w:p>
          <w:p w14:paraId="66DEAEC0" w14:textId="77777777" w:rsidR="00C41233" w:rsidRPr="00EC3012" w:rsidRDefault="00C41233" w:rsidP="00C41233">
            <w:pPr>
              <w:ind w:firstLine="308"/>
              <w:jc w:val="both"/>
              <w:rPr>
                <w:rFonts w:ascii="Times New Roman" w:hAnsi="Times New Roman" w:cs="Times New Roman"/>
                <w:shd w:val="clear" w:color="auto" w:fill="FFFFFF"/>
              </w:rPr>
            </w:pPr>
          </w:p>
          <w:p w14:paraId="07E2F643" w14:textId="77777777" w:rsidR="00C41233" w:rsidRPr="00EC3012" w:rsidRDefault="00C41233" w:rsidP="00C4123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290E1B25" w14:textId="77777777" w:rsidR="00C41233" w:rsidRPr="00EC3012" w:rsidRDefault="00C41233" w:rsidP="00C41233">
            <w:pPr>
              <w:ind w:firstLine="308"/>
              <w:jc w:val="both"/>
              <w:rPr>
                <w:rFonts w:ascii="Times New Roman" w:hAnsi="Times New Roman" w:cs="Times New Roman"/>
                <w:shd w:val="clear" w:color="auto" w:fill="FFFFFF"/>
              </w:rPr>
            </w:pPr>
          </w:p>
          <w:p w14:paraId="398F0EDE" w14:textId="009D574A" w:rsidR="005171B7" w:rsidRPr="00EC3012" w:rsidRDefault="005171B7" w:rsidP="005171B7">
            <w:pPr>
              <w:ind w:firstLine="308"/>
              <w:jc w:val="both"/>
              <w:rPr>
                <w:rFonts w:ascii="Times New Roman" w:hAnsi="Times New Roman" w:cs="Times New Roman"/>
                <w:shd w:val="clear" w:color="auto" w:fill="FFFFFF"/>
              </w:rPr>
            </w:pPr>
            <w:r w:rsidRPr="005171B7">
              <w:rPr>
                <w:rFonts w:ascii="Times New Roman" w:hAnsi="Times New Roman" w:cs="Times New Roman"/>
                <w:shd w:val="clear" w:color="auto" w:fill="FFFFFF"/>
              </w:rPr>
              <w:t>2) сума обґрунтованих перевитрат статей витрат структури тарифів у звітному році;</w:t>
            </w:r>
          </w:p>
        </w:tc>
        <w:tc>
          <w:tcPr>
            <w:tcW w:w="7725" w:type="dxa"/>
          </w:tcPr>
          <w:p w14:paraId="3EEE3828" w14:textId="77777777" w:rsidR="00C41233" w:rsidRPr="005171B7" w:rsidRDefault="00C41233" w:rsidP="00C41233">
            <w:pPr>
              <w:ind w:firstLine="308"/>
              <w:jc w:val="both"/>
              <w:rPr>
                <w:rFonts w:ascii="Times New Roman" w:hAnsi="Times New Roman" w:cs="Times New Roman"/>
                <w:shd w:val="clear" w:color="auto" w:fill="FFFFFF"/>
              </w:rPr>
            </w:pPr>
            <w:r w:rsidRPr="005171B7">
              <w:rPr>
                <w:rFonts w:ascii="Times New Roman" w:hAnsi="Times New Roman" w:cs="Times New Roman"/>
                <w:shd w:val="clear" w:color="auto" w:fill="FFFFFF"/>
              </w:rPr>
              <w:t>6. Об'єктивними чинниками недофінансування ліцензованої діяльності вважаються:</w:t>
            </w:r>
          </w:p>
          <w:p w14:paraId="53ED3072" w14:textId="77777777" w:rsidR="00C41233" w:rsidRPr="00EC3012" w:rsidRDefault="00C41233" w:rsidP="00C41233">
            <w:pPr>
              <w:ind w:firstLine="308"/>
              <w:jc w:val="both"/>
              <w:rPr>
                <w:rFonts w:ascii="Times New Roman" w:hAnsi="Times New Roman" w:cs="Times New Roman"/>
                <w:shd w:val="clear" w:color="auto" w:fill="FFFFFF"/>
              </w:rPr>
            </w:pPr>
          </w:p>
          <w:p w14:paraId="4D685E0E" w14:textId="77777777" w:rsidR="00C41233" w:rsidRPr="00EC3012" w:rsidRDefault="00C41233" w:rsidP="00C4123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37ED145B" w14:textId="77777777" w:rsidR="00C41233" w:rsidRPr="00EC3012" w:rsidRDefault="00C41233" w:rsidP="00C41233">
            <w:pPr>
              <w:ind w:firstLine="308"/>
              <w:jc w:val="both"/>
              <w:rPr>
                <w:rFonts w:ascii="Times New Roman" w:hAnsi="Times New Roman" w:cs="Times New Roman"/>
                <w:shd w:val="clear" w:color="auto" w:fill="FFFFFF"/>
              </w:rPr>
            </w:pPr>
          </w:p>
          <w:p w14:paraId="403A30BE" w14:textId="189EBD5D" w:rsidR="005171B7" w:rsidRPr="00EC3012" w:rsidRDefault="00C41233" w:rsidP="00C41233">
            <w:pPr>
              <w:ind w:firstLine="308"/>
              <w:jc w:val="both"/>
              <w:rPr>
                <w:rFonts w:ascii="Times New Roman" w:hAnsi="Times New Roman" w:cs="Times New Roman"/>
                <w:shd w:val="clear" w:color="auto" w:fill="FFFFFF"/>
              </w:rPr>
            </w:pPr>
            <w:r w:rsidRPr="005171B7">
              <w:rPr>
                <w:rFonts w:ascii="Times New Roman" w:hAnsi="Times New Roman" w:cs="Times New Roman"/>
                <w:shd w:val="clear" w:color="auto" w:fill="FFFFFF"/>
              </w:rPr>
              <w:t>2) сума обґрунтованих перевитрат статей витрат структури тарифів у звітному році</w:t>
            </w:r>
            <w:r w:rsidRPr="00C41233">
              <w:rPr>
                <w:rFonts w:ascii="Times New Roman" w:hAnsi="Times New Roman" w:cs="Times New Roman"/>
                <w:b/>
                <w:shd w:val="clear" w:color="auto" w:fill="FFFFFF"/>
              </w:rPr>
              <w:t>, що підтверджується копіями первинних документів (зокрема статті «Витрати на оплату послуг банків за прийом платежів від населення», у межах обґрунтованих витрат, визначених з урахуванням моніторингу витрат за звітний рік, понесених постачальниками універсальних послуг відповідно до договорів з банківськими установами про приймання платежів від населення)</w:t>
            </w:r>
            <w:r>
              <w:rPr>
                <w:rFonts w:ascii="Times New Roman" w:hAnsi="Times New Roman" w:cs="Times New Roman"/>
                <w:shd w:val="clear" w:color="auto" w:fill="FFFFFF"/>
              </w:rPr>
              <w:t>;</w:t>
            </w:r>
          </w:p>
        </w:tc>
      </w:tr>
      <w:tr w:rsidR="00B01840" w:rsidRPr="00EC3012" w14:paraId="38BBF9BD" w14:textId="77777777" w:rsidTr="00AD1642">
        <w:trPr>
          <w:trHeight w:val="610"/>
        </w:trPr>
        <w:tc>
          <w:tcPr>
            <w:tcW w:w="7724" w:type="dxa"/>
          </w:tcPr>
          <w:p w14:paraId="4FD7A25F" w14:textId="42FF130D" w:rsidR="00B01840" w:rsidRPr="00EC3012" w:rsidRDefault="00C41233" w:rsidP="00B01840">
            <w:pPr>
              <w:ind w:firstLine="308"/>
              <w:jc w:val="both"/>
              <w:rPr>
                <w:rFonts w:ascii="Times New Roman" w:hAnsi="Times New Roman" w:cs="Times New Roman"/>
                <w:shd w:val="clear" w:color="auto" w:fill="FFFFFF"/>
              </w:rPr>
            </w:pPr>
            <w:r>
              <w:rPr>
                <w:rFonts w:ascii="Times New Roman" w:hAnsi="Times New Roman" w:cs="Times New Roman"/>
                <w:shd w:val="clear" w:color="auto" w:fill="FFFFFF"/>
              </w:rPr>
              <w:t xml:space="preserve">10. </w:t>
            </w:r>
            <w:r w:rsidRPr="00C41233">
              <w:rPr>
                <w:rFonts w:ascii="Times New Roman" w:hAnsi="Times New Roman" w:cs="Times New Roman"/>
                <w:shd w:val="clear" w:color="auto" w:fill="FFFFFF"/>
              </w:rPr>
              <w:t>При здійсненні заходів контролю за результатами діяльності з постачання електричної енергії у 2022 - 2024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Pr>
                <w:rFonts w:ascii="Times New Roman" w:hAnsi="Times New Roman" w:cs="Times New Roman"/>
                <w:shd w:val="clear" w:color="auto" w:fill="FFFFFF"/>
              </w:rPr>
              <w:t>.</w:t>
            </w:r>
          </w:p>
        </w:tc>
        <w:tc>
          <w:tcPr>
            <w:tcW w:w="7725" w:type="dxa"/>
          </w:tcPr>
          <w:p w14:paraId="1E7CE723" w14:textId="5451B5C1" w:rsidR="00B01840" w:rsidRPr="00EC3012" w:rsidRDefault="00C41233" w:rsidP="00B01840">
            <w:pPr>
              <w:ind w:firstLine="308"/>
              <w:jc w:val="both"/>
              <w:rPr>
                <w:rFonts w:ascii="Times New Roman" w:hAnsi="Times New Roman" w:cs="Times New Roman"/>
                <w:shd w:val="clear" w:color="auto" w:fill="FFFFFF"/>
              </w:rPr>
            </w:pPr>
            <w:r>
              <w:rPr>
                <w:rFonts w:ascii="Times New Roman" w:hAnsi="Times New Roman" w:cs="Times New Roman"/>
                <w:shd w:val="clear" w:color="auto" w:fill="FFFFFF"/>
              </w:rPr>
              <w:t xml:space="preserve">10. </w:t>
            </w:r>
            <w:r w:rsidRPr="00C41233">
              <w:rPr>
                <w:rFonts w:ascii="Times New Roman" w:hAnsi="Times New Roman" w:cs="Times New Roman"/>
                <w:shd w:val="clear" w:color="auto" w:fill="FFFFFF"/>
              </w:rPr>
              <w:t xml:space="preserve">При здійсненні заходів контролю за результатами діяльності з постачання електричної енергії у 2022 - </w:t>
            </w:r>
            <w:r w:rsidRPr="00C41233">
              <w:rPr>
                <w:rFonts w:ascii="Times New Roman" w:hAnsi="Times New Roman" w:cs="Times New Roman"/>
                <w:b/>
                <w:shd w:val="clear" w:color="auto" w:fill="FFFFFF"/>
              </w:rPr>
              <w:t>2025</w:t>
            </w:r>
            <w:r w:rsidRPr="00C41233">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Pr>
                <w:rFonts w:ascii="Times New Roman" w:hAnsi="Times New Roman" w:cs="Times New Roman"/>
                <w:shd w:val="clear" w:color="auto" w:fill="FFFFFF"/>
              </w:rPr>
              <w:t>.</w:t>
            </w:r>
          </w:p>
        </w:tc>
      </w:tr>
      <w:tr w:rsidR="00B01840" w:rsidRPr="00EC3012" w14:paraId="42751A3E" w14:textId="77777777" w:rsidTr="00C41233">
        <w:trPr>
          <w:trHeight w:val="610"/>
        </w:trPr>
        <w:tc>
          <w:tcPr>
            <w:tcW w:w="15449" w:type="dxa"/>
            <w:gridSpan w:val="2"/>
            <w:shd w:val="clear" w:color="auto" w:fill="A8D08D" w:themeFill="accent6" w:themeFillTint="99"/>
          </w:tcPr>
          <w:p w14:paraId="2B20E43F" w14:textId="2794014F" w:rsidR="00B01840" w:rsidRPr="00EC3012" w:rsidRDefault="00B01840" w:rsidP="00B01840">
            <w:pPr>
              <w:jc w:val="center"/>
              <w:rPr>
                <w:rFonts w:ascii="Times New Roman" w:hAnsi="Times New Roman" w:cs="Times New Roman"/>
                <w:b/>
              </w:rPr>
            </w:pPr>
            <w:r w:rsidRPr="00EC3012">
              <w:rPr>
                <w:rFonts w:ascii="Times New Roman" w:hAnsi="Times New Roman" w:cs="Times New Roman"/>
                <w:b/>
              </w:rPr>
              <w:t>Додаток 29</w:t>
            </w:r>
          </w:p>
          <w:p w14:paraId="69C84111" w14:textId="04E2E19D" w:rsidR="00B01840" w:rsidRPr="00EC3012" w:rsidRDefault="00B01840" w:rsidP="00B01840">
            <w:pPr>
              <w:ind w:firstLine="308"/>
              <w:jc w:val="center"/>
              <w:rPr>
                <w:rFonts w:ascii="Times New Roman" w:hAnsi="Times New Roman" w:cs="Times New Roman"/>
                <w:shd w:val="clear" w:color="auto" w:fill="FFFFFF"/>
              </w:rPr>
            </w:pPr>
            <w:r w:rsidRPr="00EC3012">
              <w:rPr>
                <w:rFonts w:ascii="Times New Roman" w:hAnsi="Times New Roman" w:cs="Times New Roman"/>
                <w:b/>
              </w:rPr>
              <w:t>Методика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tc>
      </w:tr>
      <w:tr w:rsidR="00B01840" w:rsidRPr="00EC3012" w14:paraId="40051685" w14:textId="77777777" w:rsidTr="00AD1642">
        <w:trPr>
          <w:trHeight w:val="610"/>
        </w:trPr>
        <w:tc>
          <w:tcPr>
            <w:tcW w:w="7724" w:type="dxa"/>
          </w:tcPr>
          <w:p w14:paraId="0AF1AEF0" w14:textId="0811CB58"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4. </w:t>
            </w:r>
            <w:r w:rsidR="00C948C7" w:rsidRPr="00C948C7">
              <w:rPr>
                <w:rFonts w:ascii="Times New Roman" w:hAnsi="Times New Roman" w:cs="Times New Roman"/>
                <w:shd w:val="clear" w:color="auto" w:fill="FFFFFF"/>
              </w:rPr>
              <w:t>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r w:rsidRPr="00EC3012">
              <w:rPr>
                <w:rFonts w:ascii="Times New Roman" w:hAnsi="Times New Roman" w:cs="Times New Roman"/>
                <w:shd w:val="clear" w:color="auto" w:fill="FFFFFF"/>
              </w:rPr>
              <w:t>:</w:t>
            </w:r>
          </w:p>
          <w:p w14:paraId="4CD5811F" w14:textId="77777777" w:rsidR="00B01840" w:rsidRPr="00EC3012" w:rsidRDefault="00B01840" w:rsidP="00B01840">
            <w:pPr>
              <w:ind w:firstLine="308"/>
              <w:jc w:val="both"/>
              <w:rPr>
                <w:rFonts w:ascii="Times New Roman" w:hAnsi="Times New Roman" w:cs="Times New Roman"/>
                <w:shd w:val="clear" w:color="auto" w:fill="FFFFFF"/>
              </w:rPr>
            </w:pPr>
          </w:p>
          <w:p w14:paraId="35C761B9" w14:textId="77777777"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72493A4E" w14:textId="77777777" w:rsidR="00B01840" w:rsidRDefault="00B01840" w:rsidP="00B01840">
            <w:pPr>
              <w:ind w:firstLine="308"/>
              <w:jc w:val="both"/>
              <w:rPr>
                <w:rFonts w:ascii="Times New Roman" w:hAnsi="Times New Roman" w:cs="Times New Roman"/>
                <w:shd w:val="clear" w:color="auto" w:fill="FFFFFF"/>
              </w:rPr>
            </w:pPr>
          </w:p>
          <w:p w14:paraId="32D5ABCE" w14:textId="77777777" w:rsidR="004D4499" w:rsidRPr="004D4499" w:rsidRDefault="004D4499" w:rsidP="004D4499">
            <w:pPr>
              <w:ind w:firstLine="308"/>
              <w:jc w:val="both"/>
              <w:rPr>
                <w:rFonts w:ascii="Times New Roman" w:hAnsi="Times New Roman" w:cs="Times New Roman"/>
                <w:shd w:val="clear" w:color="auto" w:fill="FFFFFF"/>
              </w:rPr>
            </w:pPr>
            <w:r w:rsidRPr="004D4499">
              <w:rPr>
                <w:rFonts w:ascii="Times New Roman" w:hAnsi="Times New Roman" w:cs="Times New Roman"/>
                <w:shd w:val="clear" w:color="auto" w:fill="FFFFFF"/>
              </w:rPr>
              <w:t>4) сума уточнених операційних контрольованих витрат (ОКВ) у звітному році.</w:t>
            </w:r>
          </w:p>
          <w:p w14:paraId="2DE06170" w14:textId="4A2CDDF8" w:rsidR="00C948C7" w:rsidRDefault="004D4499" w:rsidP="004D4499">
            <w:pPr>
              <w:ind w:firstLine="308"/>
              <w:jc w:val="both"/>
              <w:rPr>
                <w:rFonts w:ascii="Times New Roman" w:hAnsi="Times New Roman" w:cs="Times New Roman"/>
                <w:shd w:val="clear" w:color="auto" w:fill="FFFFFF"/>
              </w:rPr>
            </w:pPr>
            <w:r w:rsidRPr="004D4499">
              <w:rPr>
                <w:rFonts w:ascii="Times New Roman" w:hAnsi="Times New Roman" w:cs="Times New Roman"/>
                <w:shd w:val="clear" w:color="auto" w:fill="FFFFFF"/>
              </w:rPr>
              <w:t>За 2022 - 2024 роки для АТ "ДТЕК ДОНЕЦЬКІ ЕЛЕКТРОМЕРЕЖІ", ПАТ "ЗАПОРІЖЖЯОБЛЕНЕРГО", АТ "ХЕРСОНОБЛЕНЕРГО" та ТОВ "ДТЕК ВИСОКОВОЛЬТНІ МЕРЕЖІ" сума уточнених ОКВ не розраховується, на 2025 рік уточнені ОКВ дорівнюють витратам, урахованим в тарифах;</w:t>
            </w:r>
          </w:p>
          <w:p w14:paraId="62DD3C33" w14:textId="77777777" w:rsidR="00C948C7" w:rsidRDefault="00C948C7" w:rsidP="00B01840">
            <w:pPr>
              <w:ind w:firstLine="308"/>
              <w:jc w:val="both"/>
              <w:rPr>
                <w:rFonts w:ascii="Times New Roman" w:hAnsi="Times New Roman" w:cs="Times New Roman"/>
                <w:shd w:val="clear" w:color="auto" w:fill="FFFFFF"/>
              </w:rPr>
            </w:pPr>
          </w:p>
          <w:p w14:paraId="3AAA4B7C" w14:textId="77777777" w:rsidR="00C948C7" w:rsidRDefault="00C948C7" w:rsidP="00B01840">
            <w:pPr>
              <w:ind w:firstLine="308"/>
              <w:jc w:val="both"/>
              <w:rPr>
                <w:rFonts w:ascii="Times New Roman" w:hAnsi="Times New Roman" w:cs="Times New Roman"/>
                <w:shd w:val="clear" w:color="auto" w:fill="FFFFFF"/>
              </w:rPr>
            </w:pPr>
          </w:p>
          <w:p w14:paraId="5F38212B" w14:textId="77777777" w:rsidR="00C948C7" w:rsidRDefault="00C948C7" w:rsidP="00B01840">
            <w:pPr>
              <w:ind w:firstLine="308"/>
              <w:jc w:val="both"/>
              <w:rPr>
                <w:rFonts w:ascii="Times New Roman" w:hAnsi="Times New Roman" w:cs="Times New Roman"/>
                <w:shd w:val="clear" w:color="auto" w:fill="FFFFFF"/>
              </w:rPr>
            </w:pPr>
          </w:p>
          <w:p w14:paraId="22EACEEF" w14:textId="77777777" w:rsidR="00C948C7" w:rsidRDefault="00C948C7" w:rsidP="00B01840">
            <w:pPr>
              <w:ind w:firstLine="308"/>
              <w:jc w:val="both"/>
              <w:rPr>
                <w:rFonts w:ascii="Times New Roman" w:hAnsi="Times New Roman" w:cs="Times New Roman"/>
                <w:shd w:val="clear" w:color="auto" w:fill="FFFFFF"/>
              </w:rPr>
            </w:pPr>
          </w:p>
          <w:p w14:paraId="29E3DE0E" w14:textId="77777777" w:rsidR="00C948C7" w:rsidRDefault="00C948C7" w:rsidP="00B01840">
            <w:pPr>
              <w:ind w:firstLine="308"/>
              <w:jc w:val="both"/>
              <w:rPr>
                <w:rFonts w:ascii="Times New Roman" w:hAnsi="Times New Roman" w:cs="Times New Roman"/>
                <w:shd w:val="clear" w:color="auto" w:fill="FFFFFF"/>
              </w:rPr>
            </w:pPr>
          </w:p>
          <w:p w14:paraId="653A71B8" w14:textId="52F21DE1" w:rsidR="00C948C7" w:rsidRDefault="00C948C7" w:rsidP="00B01840">
            <w:pPr>
              <w:ind w:firstLine="308"/>
              <w:jc w:val="both"/>
              <w:rPr>
                <w:rFonts w:ascii="Times New Roman" w:hAnsi="Times New Roman" w:cs="Times New Roman"/>
                <w:shd w:val="clear" w:color="auto" w:fill="FFFFFF"/>
              </w:rPr>
            </w:pPr>
          </w:p>
          <w:p w14:paraId="2D7122E5" w14:textId="68548315" w:rsidR="00BB01C5" w:rsidRDefault="00BB01C5" w:rsidP="00B01840">
            <w:pPr>
              <w:ind w:firstLine="308"/>
              <w:jc w:val="both"/>
              <w:rPr>
                <w:rFonts w:ascii="Times New Roman" w:hAnsi="Times New Roman" w:cs="Times New Roman"/>
                <w:shd w:val="clear" w:color="auto" w:fill="FFFFFF"/>
              </w:rPr>
            </w:pPr>
          </w:p>
          <w:p w14:paraId="0D3598F2" w14:textId="5C3926FF" w:rsidR="00BB01C5" w:rsidRDefault="00BB01C5" w:rsidP="00B01840">
            <w:pPr>
              <w:ind w:firstLine="308"/>
              <w:jc w:val="both"/>
              <w:rPr>
                <w:rFonts w:ascii="Times New Roman" w:hAnsi="Times New Roman" w:cs="Times New Roman"/>
                <w:shd w:val="clear" w:color="auto" w:fill="FFFFFF"/>
              </w:rPr>
            </w:pPr>
          </w:p>
          <w:p w14:paraId="1799EF7D" w14:textId="078542A4" w:rsidR="00BB01C5" w:rsidRDefault="00BB01C5" w:rsidP="00B01840">
            <w:pPr>
              <w:ind w:firstLine="308"/>
              <w:jc w:val="both"/>
              <w:rPr>
                <w:rFonts w:ascii="Times New Roman" w:hAnsi="Times New Roman" w:cs="Times New Roman"/>
                <w:shd w:val="clear" w:color="auto" w:fill="FFFFFF"/>
              </w:rPr>
            </w:pPr>
          </w:p>
          <w:p w14:paraId="1E5A31D9" w14:textId="05370204" w:rsidR="00BB01C5" w:rsidRDefault="00BB01C5" w:rsidP="00B01840">
            <w:pPr>
              <w:ind w:firstLine="308"/>
              <w:jc w:val="both"/>
              <w:rPr>
                <w:rFonts w:ascii="Times New Roman" w:hAnsi="Times New Roman" w:cs="Times New Roman"/>
                <w:shd w:val="clear" w:color="auto" w:fill="FFFFFF"/>
              </w:rPr>
            </w:pPr>
          </w:p>
          <w:p w14:paraId="2A54FF10" w14:textId="19C9D7B7" w:rsidR="00BB01C5" w:rsidRDefault="00BB01C5" w:rsidP="00B01840">
            <w:pPr>
              <w:ind w:firstLine="308"/>
              <w:jc w:val="both"/>
              <w:rPr>
                <w:rFonts w:ascii="Times New Roman" w:hAnsi="Times New Roman" w:cs="Times New Roman"/>
                <w:shd w:val="clear" w:color="auto" w:fill="FFFFFF"/>
              </w:rPr>
            </w:pPr>
          </w:p>
          <w:p w14:paraId="6F654538" w14:textId="1B1D68F6" w:rsidR="00BB01C5" w:rsidRDefault="00BB01C5" w:rsidP="00B01840">
            <w:pPr>
              <w:ind w:firstLine="308"/>
              <w:jc w:val="both"/>
              <w:rPr>
                <w:rFonts w:ascii="Times New Roman" w:hAnsi="Times New Roman" w:cs="Times New Roman"/>
                <w:shd w:val="clear" w:color="auto" w:fill="FFFFFF"/>
              </w:rPr>
            </w:pPr>
          </w:p>
          <w:p w14:paraId="52506355" w14:textId="70FF9608" w:rsidR="00BB01C5" w:rsidRDefault="00BB01C5" w:rsidP="00B01840">
            <w:pPr>
              <w:ind w:firstLine="308"/>
              <w:jc w:val="both"/>
              <w:rPr>
                <w:rFonts w:ascii="Times New Roman" w:hAnsi="Times New Roman" w:cs="Times New Roman"/>
                <w:shd w:val="clear" w:color="auto" w:fill="FFFFFF"/>
              </w:rPr>
            </w:pPr>
          </w:p>
          <w:p w14:paraId="182BAF2A" w14:textId="5EEB9448" w:rsidR="00BB01C5" w:rsidRDefault="00BB01C5" w:rsidP="00B01840">
            <w:pPr>
              <w:ind w:firstLine="308"/>
              <w:jc w:val="both"/>
              <w:rPr>
                <w:rFonts w:ascii="Times New Roman" w:hAnsi="Times New Roman" w:cs="Times New Roman"/>
                <w:shd w:val="clear" w:color="auto" w:fill="FFFFFF"/>
              </w:rPr>
            </w:pPr>
          </w:p>
          <w:p w14:paraId="0EA46693" w14:textId="53FFD5C4" w:rsidR="00BB01C5" w:rsidRDefault="00BB01C5" w:rsidP="00B01840">
            <w:pPr>
              <w:ind w:firstLine="308"/>
              <w:jc w:val="both"/>
              <w:rPr>
                <w:rFonts w:ascii="Times New Roman" w:hAnsi="Times New Roman" w:cs="Times New Roman"/>
                <w:shd w:val="clear" w:color="auto" w:fill="FFFFFF"/>
              </w:rPr>
            </w:pPr>
          </w:p>
          <w:p w14:paraId="18B89B2B" w14:textId="7D2587BA" w:rsidR="00BB01C5" w:rsidRDefault="00BB01C5" w:rsidP="00B01840">
            <w:pPr>
              <w:ind w:firstLine="308"/>
              <w:jc w:val="both"/>
              <w:rPr>
                <w:rFonts w:ascii="Times New Roman" w:hAnsi="Times New Roman" w:cs="Times New Roman"/>
                <w:shd w:val="clear" w:color="auto" w:fill="FFFFFF"/>
              </w:rPr>
            </w:pPr>
          </w:p>
          <w:p w14:paraId="23D4D2DF" w14:textId="36AA88DB" w:rsidR="00BB01C5" w:rsidRDefault="00BB01C5" w:rsidP="00B01840">
            <w:pPr>
              <w:ind w:firstLine="308"/>
              <w:jc w:val="both"/>
              <w:rPr>
                <w:rFonts w:ascii="Times New Roman" w:hAnsi="Times New Roman" w:cs="Times New Roman"/>
                <w:shd w:val="clear" w:color="auto" w:fill="FFFFFF"/>
              </w:rPr>
            </w:pPr>
          </w:p>
          <w:p w14:paraId="47511D37" w14:textId="0DDA90CA" w:rsidR="00BB01C5" w:rsidRDefault="00BB01C5" w:rsidP="00B01840">
            <w:pPr>
              <w:ind w:firstLine="308"/>
              <w:jc w:val="both"/>
              <w:rPr>
                <w:rFonts w:ascii="Times New Roman" w:hAnsi="Times New Roman" w:cs="Times New Roman"/>
                <w:shd w:val="clear" w:color="auto" w:fill="FFFFFF"/>
              </w:rPr>
            </w:pPr>
          </w:p>
          <w:p w14:paraId="14F145A4" w14:textId="07095729" w:rsidR="00BB01C5" w:rsidRDefault="00BB01C5" w:rsidP="00B01840">
            <w:pPr>
              <w:ind w:firstLine="308"/>
              <w:jc w:val="both"/>
              <w:rPr>
                <w:rFonts w:ascii="Times New Roman" w:hAnsi="Times New Roman" w:cs="Times New Roman"/>
                <w:shd w:val="clear" w:color="auto" w:fill="FFFFFF"/>
              </w:rPr>
            </w:pPr>
          </w:p>
          <w:p w14:paraId="0C616450" w14:textId="0F520F2E" w:rsidR="00BB01C5" w:rsidRDefault="00BB01C5" w:rsidP="00B01840">
            <w:pPr>
              <w:ind w:firstLine="308"/>
              <w:jc w:val="both"/>
              <w:rPr>
                <w:rFonts w:ascii="Times New Roman" w:hAnsi="Times New Roman" w:cs="Times New Roman"/>
                <w:shd w:val="clear" w:color="auto" w:fill="FFFFFF"/>
              </w:rPr>
            </w:pPr>
          </w:p>
          <w:p w14:paraId="5A1D2170" w14:textId="2A98BBB4" w:rsidR="00BB01C5" w:rsidRDefault="00BB01C5" w:rsidP="00B01840">
            <w:pPr>
              <w:ind w:firstLine="308"/>
              <w:jc w:val="both"/>
              <w:rPr>
                <w:rFonts w:ascii="Times New Roman" w:hAnsi="Times New Roman" w:cs="Times New Roman"/>
                <w:shd w:val="clear" w:color="auto" w:fill="FFFFFF"/>
              </w:rPr>
            </w:pPr>
          </w:p>
          <w:p w14:paraId="238001F6" w14:textId="77777777" w:rsidR="00BB01C5" w:rsidRPr="00EC3012" w:rsidRDefault="00BB01C5" w:rsidP="00BB01C5">
            <w:pPr>
              <w:ind w:firstLine="308"/>
              <w:jc w:val="both"/>
              <w:rPr>
                <w:rFonts w:ascii="Times New Roman" w:hAnsi="Times New Roman" w:cs="Times New Roman"/>
                <w:shd w:val="clear" w:color="auto" w:fill="FFFFFF"/>
              </w:rPr>
            </w:pPr>
          </w:p>
          <w:p w14:paraId="00D807EC" w14:textId="77777777" w:rsidR="00BB01C5" w:rsidRPr="00EC3012" w:rsidRDefault="00BB01C5" w:rsidP="00BB01C5">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10249D7B" w14:textId="67BA2FA7" w:rsidR="00BB01C5" w:rsidRDefault="00BB01C5" w:rsidP="00B01840">
            <w:pPr>
              <w:ind w:firstLine="308"/>
              <w:jc w:val="both"/>
              <w:rPr>
                <w:rFonts w:ascii="Times New Roman" w:hAnsi="Times New Roman" w:cs="Times New Roman"/>
                <w:shd w:val="clear" w:color="auto" w:fill="FFFFFF"/>
              </w:rPr>
            </w:pPr>
          </w:p>
          <w:p w14:paraId="33AC4EDA" w14:textId="77777777" w:rsidR="00BB01C5" w:rsidRPr="00BB01C5" w:rsidRDefault="00BB01C5" w:rsidP="00BB01C5">
            <w:pPr>
              <w:ind w:firstLine="308"/>
              <w:jc w:val="both"/>
              <w:rPr>
                <w:rFonts w:ascii="Times New Roman" w:hAnsi="Times New Roman" w:cs="Times New Roman"/>
                <w:shd w:val="clear" w:color="auto" w:fill="FFFFFF"/>
              </w:rPr>
            </w:pPr>
            <w:r w:rsidRPr="00BB01C5">
              <w:rPr>
                <w:rFonts w:ascii="Times New Roman" w:hAnsi="Times New Roman" w:cs="Times New Roman"/>
                <w:shd w:val="clear" w:color="auto" w:fill="FFFFFF"/>
              </w:rPr>
              <w:t>10) кількість умовних одиниць у розрізі класів напруги на початок звітного періоду.</w:t>
            </w:r>
          </w:p>
          <w:p w14:paraId="6CC30DCE" w14:textId="7459C1B5" w:rsidR="00BB01C5" w:rsidRDefault="00BB01C5" w:rsidP="00BB01C5">
            <w:pPr>
              <w:ind w:firstLine="308"/>
              <w:jc w:val="both"/>
              <w:rPr>
                <w:rFonts w:ascii="Times New Roman" w:hAnsi="Times New Roman" w:cs="Times New Roman"/>
                <w:shd w:val="clear" w:color="auto" w:fill="FFFFFF"/>
              </w:rPr>
            </w:pPr>
            <w:r w:rsidRPr="00BB01C5">
              <w:rPr>
                <w:rFonts w:ascii="Times New Roman" w:hAnsi="Times New Roman" w:cs="Times New Roman"/>
                <w:shd w:val="clear" w:color="auto" w:fill="FFFFFF"/>
              </w:rPr>
              <w:t>За 2022 - 2024 роки для АТ "ДТЕК ДОНЕЦЬКІ ЕЛЕКТРОМЕРЕЖІ", ПАТ "ЗАПОРІЖЖЯОБЛЕНЕРГО", АТ "ХЕРСОНОБЛЕНЕРГО" та ТОВ "ДТЕК ВИСОКОВОЛЬТНІ МЕРЕЖІ" - кількість умовних одиниць у розрізі класів напруги на початок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1335E7A5" w14:textId="1604642F" w:rsidR="00BB01C5" w:rsidRDefault="00BB01C5" w:rsidP="00B01840">
            <w:pPr>
              <w:ind w:firstLine="308"/>
              <w:jc w:val="both"/>
              <w:rPr>
                <w:rFonts w:ascii="Times New Roman" w:hAnsi="Times New Roman" w:cs="Times New Roman"/>
                <w:shd w:val="clear" w:color="auto" w:fill="FFFFFF"/>
              </w:rPr>
            </w:pPr>
          </w:p>
          <w:p w14:paraId="41841E3D" w14:textId="0488E8B9" w:rsidR="00BB01C5" w:rsidRDefault="00BB01C5" w:rsidP="00B01840">
            <w:pPr>
              <w:ind w:firstLine="308"/>
              <w:jc w:val="both"/>
              <w:rPr>
                <w:rFonts w:ascii="Times New Roman" w:hAnsi="Times New Roman" w:cs="Times New Roman"/>
                <w:shd w:val="clear" w:color="auto" w:fill="FFFFFF"/>
              </w:rPr>
            </w:pPr>
          </w:p>
          <w:p w14:paraId="1354BD87" w14:textId="066CB8FF" w:rsidR="00BB01C5" w:rsidRDefault="00BB01C5" w:rsidP="00B01840">
            <w:pPr>
              <w:ind w:firstLine="308"/>
              <w:jc w:val="both"/>
              <w:rPr>
                <w:rFonts w:ascii="Times New Roman" w:hAnsi="Times New Roman" w:cs="Times New Roman"/>
                <w:shd w:val="clear" w:color="auto" w:fill="FFFFFF"/>
              </w:rPr>
            </w:pPr>
          </w:p>
          <w:p w14:paraId="7212DF0E" w14:textId="77777777" w:rsidR="00152218" w:rsidRPr="00152218" w:rsidRDefault="00152218" w:rsidP="00152218">
            <w:pPr>
              <w:ind w:firstLine="308"/>
              <w:jc w:val="both"/>
              <w:rPr>
                <w:rFonts w:ascii="Times New Roman" w:hAnsi="Times New Roman" w:cs="Times New Roman"/>
                <w:shd w:val="clear" w:color="auto" w:fill="FFFFFF"/>
              </w:rPr>
            </w:pPr>
            <w:r w:rsidRPr="00152218">
              <w:rPr>
                <w:rFonts w:ascii="Times New Roman" w:hAnsi="Times New Roman" w:cs="Times New Roman"/>
                <w:shd w:val="clear" w:color="auto" w:fill="FFFFFF"/>
              </w:rPr>
              <w:t>11) кількість умовних одиниць у розрізі класів напруги на кінець звітного періоду.</w:t>
            </w:r>
          </w:p>
          <w:p w14:paraId="1401CCC1" w14:textId="590418B1" w:rsidR="00152218" w:rsidRDefault="00152218" w:rsidP="00152218">
            <w:pPr>
              <w:ind w:firstLine="308"/>
              <w:jc w:val="both"/>
              <w:rPr>
                <w:rFonts w:ascii="Times New Roman" w:hAnsi="Times New Roman" w:cs="Times New Roman"/>
                <w:shd w:val="clear" w:color="auto" w:fill="FFFFFF"/>
              </w:rPr>
            </w:pPr>
            <w:r w:rsidRPr="00152218">
              <w:rPr>
                <w:rFonts w:ascii="Times New Roman" w:hAnsi="Times New Roman" w:cs="Times New Roman"/>
                <w:shd w:val="clear" w:color="auto" w:fill="FFFFFF"/>
              </w:rPr>
              <w:t xml:space="preserve">За 2022 - 2024 роки для АТ "ДТЕК ДОНЕЦЬКІ ЕЛЕКТРОМЕРЕЖІ", ПАТ "ЗАПОРІЖЖЯОБЛЕНЕРГО", АТ "ХЕРСОНОБЛЕНЕРГО" та ТОВ "ДТЕК ВИСОКОВОЛЬТНІ МЕРЕЖІ" - кількість умовних одиниць у розрізі класів напруги на кінець звітного періоду, з урахуванням виведення/повернення активів, що розташовані на тимчасово окупованих територіях держави та/або </w:t>
            </w:r>
            <w:r w:rsidRPr="00152218">
              <w:rPr>
                <w:rFonts w:ascii="Times New Roman" w:hAnsi="Times New Roman" w:cs="Times New Roman"/>
                <w:shd w:val="clear" w:color="auto" w:fill="FFFFFF"/>
              </w:rPr>
              <w:lastRenderedPageBreak/>
              <w:t>над якими втрачено контроль унаслідок російської військової агресії проти України;</w:t>
            </w:r>
          </w:p>
          <w:p w14:paraId="1AC16C61" w14:textId="58D17C6B" w:rsidR="00BB01C5" w:rsidRDefault="00BB01C5" w:rsidP="00B01840">
            <w:pPr>
              <w:ind w:firstLine="308"/>
              <w:jc w:val="both"/>
              <w:rPr>
                <w:rFonts w:ascii="Times New Roman" w:hAnsi="Times New Roman" w:cs="Times New Roman"/>
                <w:shd w:val="clear" w:color="auto" w:fill="FFFFFF"/>
              </w:rPr>
            </w:pPr>
          </w:p>
          <w:p w14:paraId="779EF4A0" w14:textId="491ED003" w:rsidR="00152218" w:rsidRDefault="00152218" w:rsidP="00B01840">
            <w:pPr>
              <w:ind w:firstLine="308"/>
              <w:jc w:val="both"/>
              <w:rPr>
                <w:rFonts w:ascii="Times New Roman" w:hAnsi="Times New Roman" w:cs="Times New Roman"/>
                <w:shd w:val="clear" w:color="auto" w:fill="FFFFFF"/>
              </w:rPr>
            </w:pPr>
            <w:r w:rsidRPr="00152218">
              <w:rPr>
                <w:rFonts w:ascii="Times New Roman" w:hAnsi="Times New Roman" w:cs="Times New Roman"/>
                <w:shd w:val="clear" w:color="auto" w:fill="FFFFFF"/>
              </w:rPr>
              <w:t>12)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N 955, вважаються не виконаними (у тис. грн та % від загальної суми схваленої інвестиційної програми), з урахуванням постанови НКРЕКП від 26 квітня 2022 року N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N 338" (далі - постанова N 406), із зазначенням джерел фінансування, щодо яких відбулося невиконання інвестиційної програми;</w:t>
            </w:r>
          </w:p>
          <w:p w14:paraId="5D20B53F" w14:textId="77777777" w:rsidR="00013D6C" w:rsidRPr="00EC3012" w:rsidRDefault="00013D6C" w:rsidP="00013D6C">
            <w:pPr>
              <w:ind w:firstLine="308"/>
              <w:jc w:val="both"/>
              <w:rPr>
                <w:rFonts w:ascii="Times New Roman" w:hAnsi="Times New Roman" w:cs="Times New Roman"/>
                <w:shd w:val="clear" w:color="auto" w:fill="FFFFFF"/>
              </w:rPr>
            </w:pPr>
          </w:p>
          <w:p w14:paraId="4AD60E46" w14:textId="77777777" w:rsidR="00013D6C" w:rsidRPr="00EC3012" w:rsidRDefault="00013D6C" w:rsidP="00013D6C">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10EE6BD9" w14:textId="77777777" w:rsidR="00013D6C" w:rsidRDefault="00013D6C" w:rsidP="00013D6C">
            <w:pPr>
              <w:ind w:firstLine="308"/>
              <w:jc w:val="both"/>
              <w:rPr>
                <w:rFonts w:ascii="Times New Roman" w:hAnsi="Times New Roman" w:cs="Times New Roman"/>
                <w:shd w:val="clear" w:color="auto" w:fill="FFFFFF"/>
              </w:rPr>
            </w:pPr>
          </w:p>
          <w:p w14:paraId="06EF01D7" w14:textId="77777777" w:rsidR="00015D78" w:rsidRDefault="00013D6C" w:rsidP="00B01840">
            <w:pPr>
              <w:ind w:firstLine="308"/>
              <w:jc w:val="both"/>
              <w:rPr>
                <w:rFonts w:ascii="Times New Roman" w:hAnsi="Times New Roman" w:cs="Times New Roman"/>
                <w:shd w:val="clear" w:color="auto" w:fill="FFFFFF"/>
              </w:rPr>
            </w:pPr>
            <w:r w:rsidRPr="00013D6C">
              <w:rPr>
                <w:rFonts w:ascii="Times New Roman" w:hAnsi="Times New Roman" w:cs="Times New Roman"/>
                <w:shd w:val="clear" w:color="auto" w:fill="FFFFFF"/>
              </w:rPr>
              <w:t>18)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p w14:paraId="4748A9FE" w14:textId="77777777" w:rsidR="00013D6C" w:rsidRDefault="00013D6C" w:rsidP="00B01840">
            <w:pPr>
              <w:ind w:firstLine="308"/>
              <w:jc w:val="both"/>
              <w:rPr>
                <w:rFonts w:ascii="Times New Roman" w:hAnsi="Times New Roman" w:cs="Times New Roman"/>
                <w:shd w:val="clear" w:color="auto" w:fill="FFFFFF"/>
              </w:rPr>
            </w:pPr>
          </w:p>
          <w:p w14:paraId="4173C24F" w14:textId="77777777" w:rsidR="00013D6C" w:rsidRDefault="00013D6C" w:rsidP="00B01840">
            <w:pPr>
              <w:ind w:firstLine="308"/>
              <w:jc w:val="both"/>
              <w:rPr>
                <w:rFonts w:ascii="Times New Roman" w:hAnsi="Times New Roman" w:cs="Times New Roman"/>
                <w:shd w:val="clear" w:color="auto" w:fill="FFFFFF"/>
              </w:rPr>
            </w:pPr>
          </w:p>
          <w:p w14:paraId="334B9958" w14:textId="77777777" w:rsidR="00013D6C" w:rsidRDefault="00013D6C" w:rsidP="00B01840">
            <w:pPr>
              <w:ind w:firstLine="308"/>
              <w:jc w:val="both"/>
              <w:rPr>
                <w:rFonts w:ascii="Times New Roman" w:hAnsi="Times New Roman" w:cs="Times New Roman"/>
                <w:shd w:val="clear" w:color="auto" w:fill="FFFFFF"/>
              </w:rPr>
            </w:pPr>
          </w:p>
          <w:p w14:paraId="0BA0DB65" w14:textId="77777777" w:rsidR="00013D6C" w:rsidRDefault="00013D6C" w:rsidP="00B01840">
            <w:pPr>
              <w:ind w:firstLine="308"/>
              <w:jc w:val="both"/>
              <w:rPr>
                <w:rFonts w:ascii="Times New Roman" w:hAnsi="Times New Roman" w:cs="Times New Roman"/>
                <w:shd w:val="clear" w:color="auto" w:fill="FFFFFF"/>
              </w:rPr>
            </w:pPr>
          </w:p>
          <w:p w14:paraId="5FE8DD88" w14:textId="03878765" w:rsidR="00013D6C" w:rsidRDefault="00013D6C" w:rsidP="00B01840">
            <w:pPr>
              <w:ind w:firstLine="308"/>
              <w:jc w:val="both"/>
              <w:rPr>
                <w:rFonts w:ascii="Times New Roman" w:hAnsi="Times New Roman" w:cs="Times New Roman"/>
                <w:shd w:val="clear" w:color="auto" w:fill="FFFFFF"/>
              </w:rPr>
            </w:pPr>
          </w:p>
          <w:p w14:paraId="0161F122" w14:textId="5318F6AB" w:rsidR="00013D6C" w:rsidRDefault="00013D6C" w:rsidP="00B01840">
            <w:pPr>
              <w:ind w:firstLine="308"/>
              <w:jc w:val="both"/>
              <w:rPr>
                <w:rFonts w:ascii="Times New Roman" w:hAnsi="Times New Roman" w:cs="Times New Roman"/>
                <w:shd w:val="clear" w:color="auto" w:fill="FFFFFF"/>
              </w:rPr>
            </w:pPr>
          </w:p>
          <w:p w14:paraId="187104D4" w14:textId="77777777" w:rsidR="00E76201" w:rsidRPr="00E76201"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 xml:space="preserve">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w:t>
            </w:r>
            <w:r w:rsidRPr="00E76201">
              <w:rPr>
                <w:rFonts w:ascii="Times New Roman" w:hAnsi="Times New Roman" w:cs="Times New Roman"/>
                <w:shd w:val="clear" w:color="auto" w:fill="FFFFFF"/>
              </w:rPr>
              <w:lastRenderedPageBreak/>
              <w:t>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42D30811" w14:textId="77777777" w:rsidR="00E76201" w:rsidRPr="00E76201"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N 1175.</w:t>
            </w:r>
          </w:p>
          <w:p w14:paraId="34E93FDB" w14:textId="77777777" w:rsidR="00E76201" w:rsidRPr="00E76201"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За 2023 - 2024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2023 - 2024 роки, та добутком фактичних помісячних обсягів розподілу електричної енергії і тарифів, що діяли у відповідному періоді.</w:t>
            </w:r>
          </w:p>
          <w:p w14:paraId="7FBBCF44" w14:textId="73437991" w:rsidR="00013D6C"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За 2022 - 2024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пунктом 5 цієї Методики, із застосуванням частки отриманого доходу (ЧОД), яка за 2022 - 2024 роки дорівнює співвідношенню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w:t>
            </w:r>
          </w:p>
          <w:p w14:paraId="4563BFDB" w14:textId="1EC40BA1" w:rsidR="00013D6C" w:rsidRDefault="00013D6C" w:rsidP="00B01840">
            <w:pPr>
              <w:ind w:firstLine="308"/>
              <w:jc w:val="both"/>
              <w:rPr>
                <w:rFonts w:ascii="Times New Roman" w:hAnsi="Times New Roman" w:cs="Times New Roman"/>
                <w:shd w:val="clear" w:color="auto" w:fill="FFFFFF"/>
              </w:rPr>
            </w:pPr>
          </w:p>
          <w:p w14:paraId="61FED583" w14:textId="77777777" w:rsidR="00013D6C" w:rsidRDefault="00013D6C" w:rsidP="00B01840">
            <w:pPr>
              <w:ind w:firstLine="308"/>
              <w:jc w:val="both"/>
              <w:rPr>
                <w:rFonts w:ascii="Times New Roman" w:hAnsi="Times New Roman" w:cs="Times New Roman"/>
                <w:shd w:val="clear" w:color="auto" w:fill="FFFFFF"/>
              </w:rPr>
            </w:pPr>
          </w:p>
          <w:p w14:paraId="291FE755" w14:textId="77777777" w:rsidR="00013D6C" w:rsidRDefault="00013D6C" w:rsidP="00B01840">
            <w:pPr>
              <w:ind w:firstLine="308"/>
              <w:jc w:val="both"/>
              <w:rPr>
                <w:rFonts w:ascii="Times New Roman" w:hAnsi="Times New Roman" w:cs="Times New Roman"/>
                <w:shd w:val="clear" w:color="auto" w:fill="FFFFFF"/>
              </w:rPr>
            </w:pPr>
          </w:p>
          <w:p w14:paraId="6E5DF7E3" w14:textId="77777777" w:rsidR="00B421D8" w:rsidRDefault="00B421D8" w:rsidP="00B01840">
            <w:pPr>
              <w:ind w:firstLine="308"/>
              <w:jc w:val="both"/>
              <w:rPr>
                <w:rFonts w:ascii="Times New Roman" w:hAnsi="Times New Roman" w:cs="Times New Roman"/>
                <w:shd w:val="clear" w:color="auto" w:fill="FFFFFF"/>
              </w:rPr>
            </w:pPr>
          </w:p>
          <w:p w14:paraId="6D7DF588" w14:textId="77777777" w:rsidR="00B421D8" w:rsidRDefault="00B421D8" w:rsidP="00B01840">
            <w:pPr>
              <w:ind w:firstLine="308"/>
              <w:jc w:val="both"/>
              <w:rPr>
                <w:rFonts w:ascii="Times New Roman" w:hAnsi="Times New Roman" w:cs="Times New Roman"/>
                <w:shd w:val="clear" w:color="auto" w:fill="FFFFFF"/>
              </w:rPr>
            </w:pPr>
          </w:p>
          <w:p w14:paraId="29ECBDCE" w14:textId="77777777" w:rsidR="00B421D8" w:rsidRDefault="00B421D8" w:rsidP="00B01840">
            <w:pPr>
              <w:ind w:firstLine="308"/>
              <w:jc w:val="both"/>
              <w:rPr>
                <w:rFonts w:ascii="Times New Roman" w:hAnsi="Times New Roman" w:cs="Times New Roman"/>
                <w:shd w:val="clear" w:color="auto" w:fill="FFFFFF"/>
              </w:rPr>
            </w:pPr>
          </w:p>
          <w:p w14:paraId="7A3A4E1E" w14:textId="77777777" w:rsidR="00B421D8" w:rsidRPr="00EC3012" w:rsidRDefault="00B421D8" w:rsidP="00B421D8">
            <w:pPr>
              <w:ind w:firstLine="308"/>
              <w:jc w:val="both"/>
              <w:rPr>
                <w:rFonts w:ascii="Times New Roman" w:hAnsi="Times New Roman" w:cs="Times New Roman"/>
                <w:shd w:val="clear" w:color="auto" w:fill="FFFFFF"/>
              </w:rPr>
            </w:pPr>
          </w:p>
          <w:p w14:paraId="29D3BD46" w14:textId="77777777" w:rsidR="00B421D8" w:rsidRPr="00EC3012" w:rsidRDefault="00B421D8" w:rsidP="00B421D8">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3B110151" w14:textId="77777777" w:rsidR="00B421D8" w:rsidRDefault="00B421D8" w:rsidP="00B421D8">
            <w:pPr>
              <w:ind w:firstLine="308"/>
              <w:jc w:val="both"/>
              <w:rPr>
                <w:rFonts w:ascii="Times New Roman" w:hAnsi="Times New Roman" w:cs="Times New Roman"/>
                <w:shd w:val="clear" w:color="auto" w:fill="FFFFFF"/>
              </w:rPr>
            </w:pPr>
          </w:p>
          <w:p w14:paraId="51F13409" w14:textId="77777777" w:rsidR="00B22832" w:rsidRDefault="00B22832" w:rsidP="00B22832">
            <w:pPr>
              <w:ind w:firstLine="308"/>
              <w:jc w:val="both"/>
              <w:rPr>
                <w:rFonts w:ascii="Times New Roman" w:hAnsi="Times New Roman" w:cs="Times New Roman"/>
                <w:shd w:val="clear" w:color="auto" w:fill="FFFFFF"/>
              </w:rPr>
            </w:pPr>
          </w:p>
          <w:p w14:paraId="2D66281E" w14:textId="77777777" w:rsidR="00B22832" w:rsidRDefault="00B22832" w:rsidP="00B22832">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p w14:paraId="431DE17D" w14:textId="77777777" w:rsidR="00B22832" w:rsidRDefault="00B22832" w:rsidP="00B22832">
            <w:pPr>
              <w:ind w:firstLine="308"/>
              <w:jc w:val="both"/>
              <w:rPr>
                <w:rFonts w:ascii="Times New Roman" w:hAnsi="Times New Roman" w:cs="Times New Roman"/>
                <w:shd w:val="clear" w:color="auto" w:fill="FFFFFF"/>
              </w:rPr>
            </w:pPr>
          </w:p>
          <w:p w14:paraId="02C56F6F" w14:textId="77777777" w:rsidR="00B421D8" w:rsidRDefault="00B421D8" w:rsidP="00B01840">
            <w:pPr>
              <w:ind w:firstLine="308"/>
              <w:jc w:val="both"/>
              <w:rPr>
                <w:rFonts w:ascii="Times New Roman" w:hAnsi="Times New Roman" w:cs="Times New Roman"/>
                <w:shd w:val="clear" w:color="auto" w:fill="FFFFFF"/>
              </w:rPr>
            </w:pPr>
          </w:p>
          <w:p w14:paraId="56690C22" w14:textId="77777777" w:rsidR="00B31067" w:rsidRPr="00B31067" w:rsidRDefault="00B31067" w:rsidP="00B31067">
            <w:pPr>
              <w:ind w:firstLine="308"/>
              <w:jc w:val="both"/>
              <w:rPr>
                <w:rFonts w:ascii="Times New Roman" w:hAnsi="Times New Roman" w:cs="Times New Roman"/>
                <w:shd w:val="clear" w:color="auto" w:fill="FFFFFF"/>
              </w:rPr>
            </w:pPr>
            <w:r w:rsidRPr="00B31067">
              <w:rPr>
                <w:rFonts w:ascii="Times New Roman" w:hAnsi="Times New Roman" w:cs="Times New Roman"/>
                <w:shd w:val="clear" w:color="auto" w:fill="FFFFFF"/>
              </w:rPr>
              <w:lastRenderedPageBreak/>
              <w:t>28) фактичні витрати, понесені ліцензіатом у звітному році відповідно до постанов НКРЕКП:</w:t>
            </w:r>
          </w:p>
          <w:p w14:paraId="17036306" w14:textId="77777777" w:rsidR="00B31067" w:rsidRPr="00B31067" w:rsidRDefault="00B31067" w:rsidP="00B31067">
            <w:pPr>
              <w:ind w:firstLine="308"/>
              <w:jc w:val="both"/>
              <w:rPr>
                <w:rFonts w:ascii="Times New Roman" w:hAnsi="Times New Roman" w:cs="Times New Roman"/>
                <w:shd w:val="clear" w:color="auto" w:fill="FFFFFF"/>
              </w:rPr>
            </w:pPr>
            <w:r w:rsidRPr="00B31067">
              <w:rPr>
                <w:rFonts w:ascii="Times New Roman" w:hAnsi="Times New Roman" w:cs="Times New Roman"/>
                <w:shd w:val="clear" w:color="auto" w:fill="FFFFFF"/>
              </w:rPr>
              <w:t>від 17 березня 2022 року N 345 "Щодо врахування при проведенні перевірок сум видатків ліцензіатів НКРЕКП, здійснених під час запровадження воєнного стану в Україні" (далі - постанова N 345);</w:t>
            </w:r>
          </w:p>
          <w:p w14:paraId="7B39947C" w14:textId="77777777" w:rsidR="00B31067" w:rsidRDefault="00B31067" w:rsidP="00B31067">
            <w:pPr>
              <w:ind w:firstLine="308"/>
              <w:jc w:val="both"/>
              <w:rPr>
                <w:rFonts w:ascii="Times New Roman" w:hAnsi="Times New Roman" w:cs="Times New Roman"/>
                <w:shd w:val="clear" w:color="auto" w:fill="FFFFFF"/>
              </w:rPr>
            </w:pPr>
            <w:r w:rsidRPr="00B31067">
              <w:rPr>
                <w:rFonts w:ascii="Times New Roman" w:hAnsi="Times New Roman" w:cs="Times New Roman"/>
                <w:shd w:val="clear" w:color="auto" w:fill="FFFFFF"/>
              </w:rPr>
              <w:t>від 20 квітня 2022 року N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постанова N 386);</w:t>
            </w:r>
          </w:p>
          <w:p w14:paraId="55127364" w14:textId="52E4DA6A" w:rsidR="006C1043" w:rsidRDefault="006C1043" w:rsidP="00B31067">
            <w:pPr>
              <w:ind w:firstLine="308"/>
              <w:jc w:val="both"/>
              <w:rPr>
                <w:rFonts w:ascii="Times New Roman" w:hAnsi="Times New Roman" w:cs="Times New Roman"/>
                <w:shd w:val="clear" w:color="auto" w:fill="FFFFFF"/>
              </w:rPr>
            </w:pPr>
          </w:p>
          <w:p w14:paraId="309BE761" w14:textId="68084A07" w:rsidR="006C1043" w:rsidRDefault="006C1043" w:rsidP="00B31067">
            <w:pPr>
              <w:ind w:firstLine="308"/>
              <w:jc w:val="both"/>
              <w:rPr>
                <w:rFonts w:ascii="Times New Roman" w:hAnsi="Times New Roman" w:cs="Times New Roman"/>
                <w:shd w:val="clear" w:color="auto" w:fill="FFFFFF"/>
              </w:rPr>
            </w:pPr>
          </w:p>
          <w:p w14:paraId="210CEDEC" w14:textId="77777777" w:rsidR="006C1043" w:rsidRDefault="006C1043" w:rsidP="00B31067">
            <w:pPr>
              <w:ind w:firstLine="308"/>
              <w:jc w:val="both"/>
              <w:rPr>
                <w:rFonts w:ascii="Times New Roman" w:hAnsi="Times New Roman" w:cs="Times New Roman"/>
                <w:shd w:val="clear" w:color="auto" w:fill="FFFFFF"/>
              </w:rPr>
            </w:pPr>
          </w:p>
          <w:p w14:paraId="3FE1AB1B" w14:textId="77777777" w:rsidR="006C1043" w:rsidRPr="00EC3012" w:rsidRDefault="006C1043" w:rsidP="006C1043">
            <w:pPr>
              <w:ind w:firstLine="308"/>
              <w:jc w:val="both"/>
              <w:rPr>
                <w:rFonts w:ascii="Times New Roman" w:hAnsi="Times New Roman" w:cs="Times New Roman"/>
                <w:shd w:val="clear" w:color="auto" w:fill="FFFFFF"/>
              </w:rPr>
            </w:pPr>
          </w:p>
          <w:p w14:paraId="4F6DF43D" w14:textId="77777777" w:rsidR="006C1043" w:rsidRPr="00EC3012" w:rsidRDefault="006C1043" w:rsidP="006C104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4C422B27" w14:textId="77777777" w:rsidR="006C1043" w:rsidRDefault="006C1043" w:rsidP="006C1043">
            <w:pPr>
              <w:ind w:firstLine="308"/>
              <w:jc w:val="both"/>
              <w:rPr>
                <w:rFonts w:ascii="Times New Roman" w:hAnsi="Times New Roman" w:cs="Times New Roman"/>
                <w:shd w:val="clear" w:color="auto" w:fill="FFFFFF"/>
              </w:rPr>
            </w:pPr>
          </w:p>
          <w:p w14:paraId="217E6670" w14:textId="77777777" w:rsidR="006C1043" w:rsidRDefault="006C1043" w:rsidP="006C104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p w14:paraId="092CA66A" w14:textId="77777777" w:rsidR="006C1043" w:rsidRDefault="006C1043" w:rsidP="006C1043">
            <w:pPr>
              <w:ind w:firstLine="308"/>
              <w:jc w:val="both"/>
              <w:rPr>
                <w:rFonts w:ascii="Times New Roman" w:hAnsi="Times New Roman" w:cs="Times New Roman"/>
                <w:shd w:val="clear" w:color="auto" w:fill="FFFFFF"/>
              </w:rPr>
            </w:pPr>
          </w:p>
          <w:p w14:paraId="10F8EE2D" w14:textId="0810487C" w:rsidR="006C1043" w:rsidRDefault="006C1043" w:rsidP="006C1043">
            <w:pPr>
              <w:ind w:firstLine="308"/>
              <w:jc w:val="both"/>
              <w:rPr>
                <w:rFonts w:ascii="Times New Roman" w:hAnsi="Times New Roman" w:cs="Times New Roman"/>
                <w:shd w:val="clear" w:color="auto" w:fill="FFFFFF"/>
              </w:rPr>
            </w:pPr>
          </w:p>
          <w:p w14:paraId="73B9770A" w14:textId="2D18AB1A" w:rsidR="006C1043" w:rsidRDefault="006C1043" w:rsidP="006C1043">
            <w:pPr>
              <w:ind w:firstLine="308"/>
              <w:jc w:val="both"/>
              <w:rPr>
                <w:rFonts w:ascii="Times New Roman" w:hAnsi="Times New Roman" w:cs="Times New Roman"/>
                <w:shd w:val="clear" w:color="auto" w:fill="FFFFFF"/>
              </w:rPr>
            </w:pPr>
          </w:p>
          <w:p w14:paraId="2668D0A6" w14:textId="1E193FBB" w:rsidR="006C1043" w:rsidRDefault="006C1043" w:rsidP="006C1043">
            <w:pPr>
              <w:ind w:firstLine="308"/>
              <w:jc w:val="both"/>
              <w:rPr>
                <w:rFonts w:ascii="Times New Roman" w:hAnsi="Times New Roman" w:cs="Times New Roman"/>
                <w:shd w:val="clear" w:color="auto" w:fill="FFFFFF"/>
              </w:rPr>
            </w:pPr>
          </w:p>
          <w:p w14:paraId="49AEB117" w14:textId="4DCC961F" w:rsidR="006C1043" w:rsidRDefault="006C1043" w:rsidP="006C1043">
            <w:pPr>
              <w:ind w:firstLine="308"/>
              <w:jc w:val="both"/>
              <w:rPr>
                <w:rFonts w:ascii="Times New Roman" w:hAnsi="Times New Roman" w:cs="Times New Roman"/>
                <w:shd w:val="clear" w:color="auto" w:fill="FFFFFF"/>
              </w:rPr>
            </w:pPr>
          </w:p>
          <w:p w14:paraId="3CA80A24" w14:textId="1599C99E" w:rsidR="006C1043" w:rsidRDefault="006C1043" w:rsidP="006C1043">
            <w:pPr>
              <w:ind w:firstLine="308"/>
              <w:jc w:val="both"/>
              <w:rPr>
                <w:rFonts w:ascii="Times New Roman" w:hAnsi="Times New Roman" w:cs="Times New Roman"/>
                <w:shd w:val="clear" w:color="auto" w:fill="FFFFFF"/>
              </w:rPr>
            </w:pPr>
          </w:p>
          <w:p w14:paraId="47D87143" w14:textId="557E0063" w:rsidR="006C1043" w:rsidRDefault="006C1043" w:rsidP="006C1043">
            <w:pPr>
              <w:ind w:firstLine="308"/>
              <w:jc w:val="both"/>
              <w:rPr>
                <w:rFonts w:ascii="Times New Roman" w:hAnsi="Times New Roman" w:cs="Times New Roman"/>
                <w:shd w:val="clear" w:color="auto" w:fill="FFFFFF"/>
              </w:rPr>
            </w:pPr>
          </w:p>
          <w:p w14:paraId="5DE1C921" w14:textId="39EDD7CC" w:rsidR="006C1043" w:rsidRDefault="006C1043" w:rsidP="006C1043">
            <w:pPr>
              <w:ind w:firstLine="308"/>
              <w:jc w:val="both"/>
              <w:rPr>
                <w:rFonts w:ascii="Times New Roman" w:hAnsi="Times New Roman" w:cs="Times New Roman"/>
                <w:shd w:val="clear" w:color="auto" w:fill="FFFFFF"/>
              </w:rPr>
            </w:pPr>
          </w:p>
          <w:p w14:paraId="747C7AA8" w14:textId="667A7F28" w:rsidR="006C1043" w:rsidRDefault="006C1043" w:rsidP="006C1043">
            <w:pPr>
              <w:ind w:firstLine="308"/>
              <w:jc w:val="both"/>
              <w:rPr>
                <w:rFonts w:ascii="Times New Roman" w:hAnsi="Times New Roman" w:cs="Times New Roman"/>
                <w:shd w:val="clear" w:color="auto" w:fill="FFFFFF"/>
              </w:rPr>
            </w:pPr>
          </w:p>
          <w:p w14:paraId="046D12C0" w14:textId="677514D5" w:rsidR="006C1043" w:rsidRDefault="006C1043" w:rsidP="006C1043">
            <w:pPr>
              <w:ind w:firstLine="308"/>
              <w:jc w:val="both"/>
              <w:rPr>
                <w:rFonts w:ascii="Times New Roman" w:hAnsi="Times New Roman" w:cs="Times New Roman"/>
                <w:shd w:val="clear" w:color="auto" w:fill="FFFFFF"/>
              </w:rPr>
            </w:pPr>
          </w:p>
          <w:p w14:paraId="11AD1B5B" w14:textId="38FF1BB8" w:rsidR="006C1043" w:rsidRDefault="006C1043" w:rsidP="006C1043">
            <w:pPr>
              <w:ind w:firstLine="308"/>
              <w:jc w:val="both"/>
              <w:rPr>
                <w:rFonts w:ascii="Times New Roman" w:hAnsi="Times New Roman" w:cs="Times New Roman"/>
                <w:shd w:val="clear" w:color="auto" w:fill="FFFFFF"/>
              </w:rPr>
            </w:pPr>
          </w:p>
          <w:p w14:paraId="2DD73B62" w14:textId="350DFAC4" w:rsidR="006C1043" w:rsidRDefault="006C1043" w:rsidP="006C1043">
            <w:pPr>
              <w:ind w:firstLine="308"/>
              <w:jc w:val="both"/>
              <w:rPr>
                <w:rFonts w:ascii="Times New Roman" w:hAnsi="Times New Roman" w:cs="Times New Roman"/>
                <w:shd w:val="clear" w:color="auto" w:fill="FFFFFF"/>
              </w:rPr>
            </w:pPr>
          </w:p>
          <w:p w14:paraId="7459F4B6" w14:textId="3A0DDD35" w:rsidR="006C1043" w:rsidRDefault="006C1043" w:rsidP="006C1043">
            <w:pPr>
              <w:ind w:firstLine="308"/>
              <w:jc w:val="both"/>
              <w:rPr>
                <w:rFonts w:ascii="Times New Roman" w:hAnsi="Times New Roman" w:cs="Times New Roman"/>
                <w:shd w:val="clear" w:color="auto" w:fill="FFFFFF"/>
              </w:rPr>
            </w:pPr>
          </w:p>
          <w:p w14:paraId="40EC1418" w14:textId="3BCBAE64" w:rsidR="006C1043" w:rsidRDefault="006C1043" w:rsidP="006C1043">
            <w:pPr>
              <w:ind w:firstLine="308"/>
              <w:jc w:val="both"/>
              <w:rPr>
                <w:rFonts w:ascii="Times New Roman" w:hAnsi="Times New Roman" w:cs="Times New Roman"/>
                <w:shd w:val="clear" w:color="auto" w:fill="FFFFFF"/>
              </w:rPr>
            </w:pPr>
          </w:p>
          <w:p w14:paraId="0FEE0BB9" w14:textId="3A446012" w:rsidR="006C1043" w:rsidRDefault="006C1043" w:rsidP="006C1043">
            <w:pPr>
              <w:ind w:firstLine="308"/>
              <w:jc w:val="both"/>
              <w:rPr>
                <w:rFonts w:ascii="Times New Roman" w:hAnsi="Times New Roman" w:cs="Times New Roman"/>
                <w:shd w:val="clear" w:color="auto" w:fill="FFFFFF"/>
              </w:rPr>
            </w:pPr>
          </w:p>
          <w:p w14:paraId="6C265E4A" w14:textId="16FC2F3A" w:rsidR="006C1043" w:rsidRDefault="006C1043" w:rsidP="006C1043">
            <w:pPr>
              <w:ind w:firstLine="308"/>
              <w:jc w:val="both"/>
              <w:rPr>
                <w:rFonts w:ascii="Times New Roman" w:hAnsi="Times New Roman" w:cs="Times New Roman"/>
                <w:shd w:val="clear" w:color="auto" w:fill="FFFFFF"/>
              </w:rPr>
            </w:pPr>
          </w:p>
          <w:p w14:paraId="38D5FAA2" w14:textId="77777777" w:rsidR="006C1043" w:rsidRPr="00EC3012" w:rsidRDefault="006C1043" w:rsidP="006C1043">
            <w:pPr>
              <w:ind w:firstLine="308"/>
              <w:jc w:val="both"/>
              <w:rPr>
                <w:rFonts w:ascii="Times New Roman" w:hAnsi="Times New Roman" w:cs="Times New Roman"/>
                <w:shd w:val="clear" w:color="auto" w:fill="FFFFFF"/>
              </w:rPr>
            </w:pPr>
          </w:p>
          <w:p w14:paraId="42333D9E" w14:textId="77777777" w:rsidR="006C1043" w:rsidRDefault="006C1043" w:rsidP="006C1043">
            <w:pPr>
              <w:ind w:firstLine="308"/>
              <w:jc w:val="both"/>
              <w:rPr>
                <w:rFonts w:ascii="Times New Roman" w:hAnsi="Times New Roman" w:cs="Times New Roman"/>
                <w:shd w:val="clear" w:color="auto" w:fill="FFFFFF"/>
              </w:rPr>
            </w:pPr>
          </w:p>
          <w:p w14:paraId="72897CB0" w14:textId="2D98F286" w:rsidR="006C1043" w:rsidRPr="00EC3012" w:rsidRDefault="006C1043" w:rsidP="006C104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tc>
        <w:tc>
          <w:tcPr>
            <w:tcW w:w="7725" w:type="dxa"/>
          </w:tcPr>
          <w:p w14:paraId="05774416" w14:textId="65FAD56E"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lastRenderedPageBreak/>
              <w:t xml:space="preserve">4. </w:t>
            </w:r>
            <w:r w:rsidR="00C948C7" w:rsidRPr="00C948C7">
              <w:rPr>
                <w:rFonts w:ascii="Times New Roman" w:hAnsi="Times New Roman" w:cs="Times New Roman"/>
                <w:shd w:val="clear" w:color="auto" w:fill="FFFFFF"/>
              </w:rPr>
              <w:t>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r w:rsidRPr="00EC3012">
              <w:rPr>
                <w:rFonts w:ascii="Times New Roman" w:hAnsi="Times New Roman" w:cs="Times New Roman"/>
                <w:shd w:val="clear" w:color="auto" w:fill="FFFFFF"/>
              </w:rPr>
              <w:t>:</w:t>
            </w:r>
          </w:p>
          <w:p w14:paraId="4B7BA335" w14:textId="77777777" w:rsidR="00B01840" w:rsidRPr="00EC3012" w:rsidRDefault="00B01840" w:rsidP="00B01840">
            <w:pPr>
              <w:ind w:firstLine="308"/>
              <w:jc w:val="both"/>
              <w:rPr>
                <w:rFonts w:ascii="Times New Roman" w:hAnsi="Times New Roman" w:cs="Times New Roman"/>
                <w:shd w:val="clear" w:color="auto" w:fill="FFFFFF"/>
              </w:rPr>
            </w:pPr>
          </w:p>
          <w:p w14:paraId="61311054" w14:textId="77777777" w:rsidR="00B01840" w:rsidRPr="00EC3012" w:rsidRDefault="00B01840" w:rsidP="00B01840">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55796B27" w14:textId="77777777" w:rsidR="00B01840" w:rsidRPr="004D4499" w:rsidRDefault="00B01840" w:rsidP="00C948C7">
            <w:pPr>
              <w:ind w:firstLine="308"/>
              <w:jc w:val="both"/>
              <w:rPr>
                <w:rFonts w:ascii="Times New Roman" w:hAnsi="Times New Roman" w:cs="Times New Roman"/>
                <w:shd w:val="clear" w:color="auto" w:fill="FFFFFF"/>
              </w:rPr>
            </w:pPr>
          </w:p>
          <w:p w14:paraId="70550C2D" w14:textId="77777777" w:rsidR="004D4499" w:rsidRPr="004D4499" w:rsidRDefault="004D4499" w:rsidP="004D4499">
            <w:pPr>
              <w:ind w:firstLine="308"/>
              <w:jc w:val="both"/>
              <w:rPr>
                <w:rFonts w:ascii="Times New Roman" w:hAnsi="Times New Roman" w:cs="Times New Roman"/>
                <w:shd w:val="clear" w:color="auto" w:fill="FFFFFF"/>
              </w:rPr>
            </w:pPr>
            <w:r w:rsidRPr="004D4499">
              <w:rPr>
                <w:rFonts w:ascii="Times New Roman" w:hAnsi="Times New Roman" w:cs="Times New Roman"/>
                <w:shd w:val="clear" w:color="auto" w:fill="FFFFFF"/>
              </w:rPr>
              <w:t>4) сума уточнених операційних контрольованих витрат (ОКВ) у звітному році.</w:t>
            </w:r>
          </w:p>
          <w:p w14:paraId="4D6F61B3" w14:textId="0F787E02" w:rsidR="00C948C7" w:rsidRPr="004D4499" w:rsidRDefault="004D4499" w:rsidP="004D4499">
            <w:pPr>
              <w:ind w:firstLine="308"/>
              <w:jc w:val="both"/>
              <w:rPr>
                <w:rFonts w:ascii="Times New Roman" w:hAnsi="Times New Roman" w:cs="Times New Roman"/>
                <w:shd w:val="clear" w:color="auto" w:fill="FFFFFF"/>
              </w:rPr>
            </w:pPr>
            <w:r w:rsidRPr="004D4499">
              <w:rPr>
                <w:rFonts w:ascii="Times New Roman" w:hAnsi="Times New Roman" w:cs="Times New Roman"/>
                <w:shd w:val="clear" w:color="auto" w:fill="FFFFFF"/>
              </w:rPr>
              <w:t xml:space="preserve">За 2022 - 2024 роки для АТ "ДТЕК ДОНЕЦЬКІ ЕЛЕКТРОМЕРЕЖІ", </w:t>
            </w:r>
            <w:r w:rsidRPr="004D4499">
              <w:rPr>
                <w:rFonts w:ascii="Times New Roman" w:hAnsi="Times New Roman" w:cs="Times New Roman"/>
                <w:b/>
                <w:shd w:val="clear" w:color="auto" w:fill="FFFFFF"/>
              </w:rPr>
              <w:t>АТ</w:t>
            </w:r>
            <w:r>
              <w:rPr>
                <w:rFonts w:ascii="Times New Roman" w:hAnsi="Times New Roman" w:cs="Times New Roman"/>
                <w:b/>
                <w:shd w:val="clear" w:color="auto" w:fill="FFFFFF"/>
              </w:rPr>
              <w:t> </w:t>
            </w:r>
            <w:r w:rsidRPr="004D4499">
              <w:rPr>
                <w:rFonts w:ascii="Times New Roman" w:hAnsi="Times New Roman" w:cs="Times New Roman"/>
                <w:shd w:val="clear" w:color="auto" w:fill="FFFFFF"/>
              </w:rPr>
              <w:t>"ЗАПОРІЖЖЯОБЛЕНЕРГО", АТ "ХЕРСОНОБЛЕНЕРГО" та ТОВ "ДТЕК ВИСОКОВОЛЬТНІ МЕРЕЖІ" сума уточнених ОКВ не розраховується</w:t>
            </w:r>
            <w:r w:rsidRPr="004D4499">
              <w:rPr>
                <w:rFonts w:ascii="Times New Roman" w:hAnsi="Times New Roman" w:cs="Times New Roman"/>
                <w:b/>
                <w:strike/>
                <w:shd w:val="clear" w:color="auto" w:fill="FFFFFF"/>
              </w:rPr>
              <w:t>, на 2025 рік уточнені ОКВ дорівнюють витратам, урахованим в тарифах</w:t>
            </w:r>
            <w:r w:rsidRPr="004D4499">
              <w:rPr>
                <w:rFonts w:ascii="Times New Roman" w:hAnsi="Times New Roman" w:cs="Times New Roman"/>
                <w:shd w:val="clear" w:color="auto" w:fill="FFFFFF"/>
              </w:rPr>
              <w:t>;</w:t>
            </w:r>
          </w:p>
          <w:p w14:paraId="1157026A" w14:textId="77777777" w:rsidR="004D4499" w:rsidRPr="004D4499" w:rsidRDefault="004D4499" w:rsidP="004D4499">
            <w:pPr>
              <w:ind w:firstLine="308"/>
              <w:jc w:val="both"/>
              <w:rPr>
                <w:rFonts w:ascii="Times New Roman" w:hAnsi="Times New Roman" w:cs="Times New Roman"/>
                <w:b/>
                <w:shd w:val="clear" w:color="auto" w:fill="FFFFFF"/>
              </w:rPr>
            </w:pPr>
            <w:r w:rsidRPr="004D4499">
              <w:rPr>
                <w:rFonts w:ascii="Times New Roman" w:hAnsi="Times New Roman" w:cs="Times New Roman"/>
                <w:b/>
                <w:shd w:val="clear" w:color="auto" w:fill="FFFFFF"/>
              </w:rPr>
              <w:t>Для АТ «ДТЕК ДОНЕЦЬКІ ЕЛЕКТРОМЕРЕЖІ», АТ «ЗАПОРІЖЖЯОБЛЕНЕРГО», АТ «ХЕРСОНОБЛЕНЕРГО» та ТОВ «ДТЕК ВИСОКОВОЛЬТНІ МЕРЕЖІ», у зв’язку із окупацією/</w:t>
            </w:r>
            <w:proofErr w:type="spellStart"/>
            <w:r w:rsidRPr="004D4499">
              <w:rPr>
                <w:rFonts w:ascii="Times New Roman" w:hAnsi="Times New Roman" w:cs="Times New Roman"/>
                <w:b/>
                <w:shd w:val="clear" w:color="auto" w:fill="FFFFFF"/>
              </w:rPr>
              <w:t>деокупацією</w:t>
            </w:r>
            <w:proofErr w:type="spellEnd"/>
            <w:r w:rsidRPr="004D4499">
              <w:rPr>
                <w:rFonts w:ascii="Times New Roman" w:hAnsi="Times New Roman" w:cs="Times New Roman"/>
                <w:b/>
                <w:shd w:val="clear" w:color="auto" w:fill="FFFFFF"/>
              </w:rPr>
              <w:t xml:space="preserve"> територій їх ліцензованої діяльності, починаючи з 2025 року, уточнені ОКВ у звітному році дорівнюють витратам, урахованим у тарифах із застосуванням уточнюючого коригуючого коефіцієнта від зміни </w:t>
            </w:r>
            <w:r w:rsidRPr="004D4499">
              <w:rPr>
                <w:rFonts w:ascii="Times New Roman" w:hAnsi="Times New Roman" w:cs="Times New Roman"/>
                <w:b/>
                <w:shd w:val="clear" w:color="auto" w:fill="FFFFFF"/>
              </w:rPr>
              <w:lastRenderedPageBreak/>
              <w:t>фактичних умовних одиниць обладнання ліцензіата, що знаходиться на контрольованій території держави (</w:t>
            </w:r>
            <w:proofErr w:type="spellStart"/>
            <w:r w:rsidRPr="004D4499">
              <w:rPr>
                <w:rFonts w:ascii="Times New Roman" w:hAnsi="Times New Roman" w:cs="Times New Roman"/>
                <w:b/>
                <w:shd w:val="clear" w:color="auto" w:fill="FFFFFF"/>
              </w:rPr>
              <w:t>КФУу</w:t>
            </w:r>
            <w:proofErr w:type="spellEnd"/>
            <w:r w:rsidRPr="004D4499">
              <w:rPr>
                <w:rFonts w:ascii="Times New Roman" w:hAnsi="Times New Roman" w:cs="Times New Roman"/>
                <w:b/>
                <w:shd w:val="clear" w:color="auto" w:fill="FFFFFF"/>
              </w:rPr>
              <w:t>), що розраховується за формулою</w:t>
            </w:r>
          </w:p>
          <w:p w14:paraId="520469FC" w14:textId="77777777" w:rsidR="004D4499" w:rsidRPr="004D4499" w:rsidRDefault="004D4499" w:rsidP="004D4499">
            <w:pPr>
              <w:ind w:firstLine="308"/>
              <w:jc w:val="both"/>
              <w:rPr>
                <w:rFonts w:ascii="Times New Roman" w:hAnsi="Times New Roman" w:cs="Times New Roman"/>
                <w:b/>
                <w:shd w:val="clear" w:color="auto" w:fill="FFFFFF"/>
              </w:rPr>
            </w:pPr>
            <w:proofErr w:type="spellStart"/>
            <w:r w:rsidRPr="004D4499">
              <w:rPr>
                <w:rFonts w:ascii="Times New Roman" w:hAnsi="Times New Roman" w:cs="Times New Roman"/>
                <w:b/>
                <w:shd w:val="clear" w:color="auto" w:fill="FFFFFF"/>
              </w:rPr>
              <w:t>КФУу</w:t>
            </w:r>
            <w:proofErr w:type="spellEnd"/>
            <w:r w:rsidRPr="004D4499">
              <w:rPr>
                <w:rFonts w:ascii="Times New Roman" w:hAnsi="Times New Roman" w:cs="Times New Roman"/>
                <w:b/>
                <w:shd w:val="clear" w:color="auto" w:fill="FFFFFF"/>
              </w:rPr>
              <w:t xml:space="preserve"> = (1+КУ*(∆</w:t>
            </w:r>
            <w:proofErr w:type="spellStart"/>
            <w:r w:rsidRPr="004D4499">
              <w:rPr>
                <w:rFonts w:ascii="Times New Roman" w:hAnsi="Times New Roman" w:cs="Times New Roman"/>
                <w:b/>
                <w:shd w:val="clear" w:color="auto" w:fill="FFFFFF"/>
              </w:rPr>
              <w:t>УО</w:t>
            </w:r>
            <w:r w:rsidRPr="004D4499">
              <w:rPr>
                <w:rFonts w:ascii="Times New Roman" w:hAnsi="Times New Roman" w:cs="Times New Roman"/>
                <w:b/>
                <w:shd w:val="clear" w:color="auto" w:fill="FFFFFF"/>
                <w:vertAlign w:val="subscript"/>
              </w:rPr>
              <w:t>t</w:t>
            </w:r>
            <w:proofErr w:type="spellEnd"/>
            <w:r w:rsidRPr="004D4499">
              <w:rPr>
                <w:rFonts w:ascii="Times New Roman" w:hAnsi="Times New Roman" w:cs="Times New Roman"/>
                <w:b/>
                <w:shd w:val="clear" w:color="auto" w:fill="FFFFFF"/>
              </w:rPr>
              <w:t xml:space="preserve"> / </w:t>
            </w:r>
            <w:proofErr w:type="spellStart"/>
            <w:r w:rsidRPr="004D4499">
              <w:rPr>
                <w:rFonts w:ascii="Times New Roman" w:hAnsi="Times New Roman" w:cs="Times New Roman"/>
                <w:b/>
                <w:shd w:val="clear" w:color="auto" w:fill="FFFFFF"/>
              </w:rPr>
              <w:t>УОт</w:t>
            </w:r>
            <w:r w:rsidRPr="004D4499">
              <w:rPr>
                <w:rFonts w:ascii="Times New Roman" w:hAnsi="Times New Roman" w:cs="Times New Roman"/>
                <w:b/>
                <w:shd w:val="clear" w:color="auto" w:fill="FFFFFF"/>
                <w:vertAlign w:val="subscript"/>
              </w:rPr>
              <w:t>t</w:t>
            </w:r>
            <w:proofErr w:type="spellEnd"/>
            <w:r w:rsidRPr="004D4499">
              <w:rPr>
                <w:rFonts w:ascii="Times New Roman" w:hAnsi="Times New Roman" w:cs="Times New Roman"/>
                <w:b/>
                <w:shd w:val="clear" w:color="auto" w:fill="FFFFFF"/>
              </w:rPr>
              <w:t>)), в. о.,</w:t>
            </w:r>
          </w:p>
          <w:p w14:paraId="0E62BB59" w14:textId="77777777" w:rsidR="004D4499" w:rsidRPr="004D4499" w:rsidRDefault="004D4499" w:rsidP="004D4499">
            <w:pPr>
              <w:ind w:firstLine="308"/>
              <w:jc w:val="both"/>
              <w:rPr>
                <w:rFonts w:ascii="Times New Roman" w:hAnsi="Times New Roman" w:cs="Times New Roman"/>
                <w:b/>
                <w:shd w:val="clear" w:color="auto" w:fill="FFFFFF"/>
              </w:rPr>
            </w:pPr>
            <w:r w:rsidRPr="004D4499">
              <w:rPr>
                <w:rFonts w:ascii="Times New Roman" w:hAnsi="Times New Roman" w:cs="Times New Roman"/>
                <w:b/>
                <w:shd w:val="clear" w:color="auto" w:fill="FFFFFF"/>
              </w:rPr>
              <w:t>де КУ – коефіцієнт поправки на зміну кількості умовних одиниць обладнання, встановлений НКРЕКП (КУ = 0,7);</w:t>
            </w:r>
          </w:p>
          <w:p w14:paraId="7CB9EDCA" w14:textId="77777777" w:rsidR="004D4499" w:rsidRPr="004D4499" w:rsidRDefault="004D4499" w:rsidP="004D4499">
            <w:pPr>
              <w:ind w:firstLine="308"/>
              <w:jc w:val="both"/>
              <w:rPr>
                <w:rFonts w:ascii="Times New Roman" w:hAnsi="Times New Roman" w:cs="Times New Roman"/>
                <w:b/>
                <w:shd w:val="clear" w:color="auto" w:fill="FFFFFF"/>
              </w:rPr>
            </w:pPr>
            <w:r w:rsidRPr="004D4499">
              <w:rPr>
                <w:rFonts w:ascii="Times New Roman" w:hAnsi="Times New Roman" w:cs="Times New Roman"/>
                <w:b/>
                <w:shd w:val="clear" w:color="auto" w:fill="FFFFFF"/>
              </w:rPr>
              <w:t>∆</w:t>
            </w:r>
            <w:proofErr w:type="spellStart"/>
            <w:r w:rsidRPr="004D4499">
              <w:rPr>
                <w:rFonts w:ascii="Times New Roman" w:hAnsi="Times New Roman" w:cs="Times New Roman"/>
                <w:b/>
                <w:shd w:val="clear" w:color="auto" w:fill="FFFFFF"/>
              </w:rPr>
              <w:t>УО</w:t>
            </w:r>
            <w:r w:rsidRPr="004D4499">
              <w:rPr>
                <w:rFonts w:ascii="Times New Roman" w:hAnsi="Times New Roman" w:cs="Times New Roman"/>
                <w:b/>
                <w:shd w:val="clear" w:color="auto" w:fill="FFFFFF"/>
                <w:vertAlign w:val="subscript"/>
              </w:rPr>
              <w:t>t</w:t>
            </w:r>
            <w:proofErr w:type="spellEnd"/>
            <w:r w:rsidRPr="004D4499">
              <w:rPr>
                <w:rFonts w:ascii="Times New Roman" w:hAnsi="Times New Roman" w:cs="Times New Roman"/>
                <w:b/>
                <w:shd w:val="clear" w:color="auto" w:fill="FFFFFF"/>
              </w:rPr>
              <w:t xml:space="preserve"> – зміна фактичної кількості умовних одиниць обладнання у звітному році, що знаходиться на контрольованій території держави, розрахована як різниця між фактичною кількістю умовних одиниць обладнання на кінець звітного періоду (за даними форми звітності № 2-НКРЕКП-розподіл електричної енергії (за IV квартал) та кількістю умовних одиниць обладнання ліцензіата, врахованої при розрахунку тарифів на звітний рік, визначених відповідно до глави 8 Порядку № 1175;</w:t>
            </w:r>
          </w:p>
          <w:p w14:paraId="41CB1FD9" w14:textId="03E461E3" w:rsidR="00C948C7" w:rsidRPr="004D4499" w:rsidRDefault="004D4499" w:rsidP="004D4499">
            <w:pPr>
              <w:ind w:firstLine="308"/>
              <w:jc w:val="both"/>
              <w:rPr>
                <w:rFonts w:ascii="Times New Roman" w:hAnsi="Times New Roman" w:cs="Times New Roman"/>
                <w:shd w:val="clear" w:color="auto" w:fill="FFFFFF"/>
              </w:rPr>
            </w:pPr>
            <w:proofErr w:type="spellStart"/>
            <w:r w:rsidRPr="004D4499">
              <w:rPr>
                <w:rFonts w:ascii="Times New Roman" w:hAnsi="Times New Roman" w:cs="Times New Roman"/>
                <w:b/>
                <w:shd w:val="clear" w:color="auto" w:fill="FFFFFF"/>
              </w:rPr>
              <w:t>УОт</w:t>
            </w:r>
            <w:r w:rsidRPr="004D4499">
              <w:rPr>
                <w:rFonts w:ascii="Times New Roman" w:hAnsi="Times New Roman" w:cs="Times New Roman"/>
                <w:b/>
                <w:shd w:val="clear" w:color="auto" w:fill="FFFFFF"/>
                <w:vertAlign w:val="subscript"/>
              </w:rPr>
              <w:t>t</w:t>
            </w:r>
            <w:proofErr w:type="spellEnd"/>
            <w:r w:rsidRPr="004D4499">
              <w:rPr>
                <w:rFonts w:ascii="Times New Roman" w:hAnsi="Times New Roman" w:cs="Times New Roman"/>
                <w:b/>
                <w:shd w:val="clear" w:color="auto" w:fill="FFFFFF"/>
              </w:rPr>
              <w:t xml:space="preserve"> – кількість умовних одиниць обладнання у розрізі класів напруги, врахованих при розрахунку тарифів на звітний рік;</w:t>
            </w:r>
          </w:p>
          <w:p w14:paraId="7DD6B56B" w14:textId="77777777" w:rsidR="00BB01C5" w:rsidRPr="00EC3012" w:rsidRDefault="00BB01C5" w:rsidP="00BB01C5">
            <w:pPr>
              <w:ind w:firstLine="308"/>
              <w:jc w:val="both"/>
              <w:rPr>
                <w:rFonts w:ascii="Times New Roman" w:hAnsi="Times New Roman" w:cs="Times New Roman"/>
                <w:shd w:val="clear" w:color="auto" w:fill="FFFFFF"/>
              </w:rPr>
            </w:pPr>
          </w:p>
          <w:p w14:paraId="30FAB2FF" w14:textId="77777777" w:rsidR="00BB01C5" w:rsidRPr="00EC3012" w:rsidRDefault="00BB01C5" w:rsidP="00BB01C5">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0EA359CE" w14:textId="77777777" w:rsidR="00C948C7" w:rsidRPr="004D4499" w:rsidRDefault="00C948C7" w:rsidP="00C948C7">
            <w:pPr>
              <w:ind w:firstLine="308"/>
              <w:jc w:val="both"/>
              <w:rPr>
                <w:rFonts w:ascii="Times New Roman" w:hAnsi="Times New Roman" w:cs="Times New Roman"/>
                <w:shd w:val="clear" w:color="auto" w:fill="FFFFFF"/>
              </w:rPr>
            </w:pPr>
          </w:p>
          <w:p w14:paraId="220A1FC4" w14:textId="77777777" w:rsidR="00BB01C5" w:rsidRPr="00BB01C5" w:rsidRDefault="00BB01C5" w:rsidP="00BB01C5">
            <w:pPr>
              <w:ind w:firstLine="308"/>
              <w:jc w:val="both"/>
              <w:rPr>
                <w:rFonts w:ascii="Times New Roman" w:hAnsi="Times New Roman" w:cs="Times New Roman"/>
                <w:shd w:val="clear" w:color="auto" w:fill="FFFFFF"/>
              </w:rPr>
            </w:pPr>
            <w:r w:rsidRPr="00BB01C5">
              <w:rPr>
                <w:rFonts w:ascii="Times New Roman" w:hAnsi="Times New Roman" w:cs="Times New Roman"/>
                <w:shd w:val="clear" w:color="auto" w:fill="FFFFFF"/>
              </w:rPr>
              <w:t>10) кількість умовних одиниць у розрізі класів напруги на початок звітного періоду.</w:t>
            </w:r>
          </w:p>
          <w:p w14:paraId="08026849" w14:textId="77777777" w:rsidR="00C948C7" w:rsidRDefault="00BB01C5" w:rsidP="00BB01C5">
            <w:pPr>
              <w:ind w:firstLine="308"/>
              <w:jc w:val="both"/>
              <w:rPr>
                <w:rFonts w:ascii="Times New Roman" w:hAnsi="Times New Roman" w:cs="Times New Roman"/>
                <w:shd w:val="clear" w:color="auto" w:fill="FFFFFF"/>
              </w:rPr>
            </w:pPr>
            <w:r w:rsidRPr="00BB01C5">
              <w:rPr>
                <w:rFonts w:ascii="Times New Roman" w:hAnsi="Times New Roman" w:cs="Times New Roman"/>
                <w:shd w:val="clear" w:color="auto" w:fill="FFFFFF"/>
              </w:rPr>
              <w:t xml:space="preserve">За 2022 - </w:t>
            </w:r>
            <w:r w:rsidRPr="00BB01C5">
              <w:rPr>
                <w:rFonts w:ascii="Times New Roman" w:hAnsi="Times New Roman" w:cs="Times New Roman"/>
                <w:b/>
                <w:shd w:val="clear" w:color="auto" w:fill="FFFFFF"/>
              </w:rPr>
              <w:t>2025</w:t>
            </w:r>
            <w:r w:rsidRPr="00BB01C5">
              <w:rPr>
                <w:rFonts w:ascii="Times New Roman" w:hAnsi="Times New Roman" w:cs="Times New Roman"/>
                <w:shd w:val="clear" w:color="auto" w:fill="FFFFFF"/>
              </w:rPr>
              <w:t xml:space="preserve"> роки для АТ "ДТЕК ДОНЕЦЬКІ ЕЛЕКТРОМЕРЕЖІ", </w:t>
            </w:r>
            <w:r w:rsidRPr="00BB01C5">
              <w:rPr>
                <w:rFonts w:ascii="Times New Roman" w:hAnsi="Times New Roman" w:cs="Times New Roman"/>
                <w:b/>
                <w:shd w:val="clear" w:color="auto" w:fill="FFFFFF"/>
              </w:rPr>
              <w:t>АТ</w:t>
            </w:r>
            <w:r>
              <w:rPr>
                <w:rFonts w:ascii="Times New Roman" w:hAnsi="Times New Roman" w:cs="Times New Roman"/>
                <w:b/>
                <w:shd w:val="clear" w:color="auto" w:fill="FFFFFF"/>
              </w:rPr>
              <w:t> </w:t>
            </w:r>
            <w:r w:rsidRPr="00BB01C5">
              <w:rPr>
                <w:rFonts w:ascii="Times New Roman" w:hAnsi="Times New Roman" w:cs="Times New Roman"/>
                <w:shd w:val="clear" w:color="auto" w:fill="FFFFFF"/>
              </w:rPr>
              <w:t>"ЗАПОРІЖЖЯОБЛЕНЕРГО", АТ "ХЕРСОНОБЛЕНЕРГО" та ТОВ "ДТЕК ВИСОКОВОЛЬТНІ МЕРЕЖІ" - кількість умовних одиниць у розрізі класів напруги на початок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22F66A19" w14:textId="77777777" w:rsidR="00152218" w:rsidRDefault="00152218" w:rsidP="00BB01C5">
            <w:pPr>
              <w:ind w:firstLine="308"/>
              <w:jc w:val="both"/>
              <w:rPr>
                <w:rFonts w:ascii="Times New Roman" w:hAnsi="Times New Roman" w:cs="Times New Roman"/>
                <w:b/>
                <w:shd w:val="clear" w:color="auto" w:fill="FFFFFF"/>
              </w:rPr>
            </w:pPr>
            <w:r w:rsidRPr="00152218">
              <w:rPr>
                <w:rFonts w:ascii="Times New Roman" w:hAnsi="Times New Roman" w:cs="Times New Roman"/>
                <w:b/>
                <w:shd w:val="clear" w:color="auto" w:fill="FFFFFF"/>
              </w:rPr>
              <w:t>починаючи з 2025 року, кількість умовних одиниць обладнання ліцензіата, врахованої при розрахунку тарифів на звітний рік;</w:t>
            </w:r>
          </w:p>
          <w:p w14:paraId="57751B9A" w14:textId="77777777" w:rsidR="00152218" w:rsidRDefault="00152218" w:rsidP="00BB01C5">
            <w:pPr>
              <w:ind w:firstLine="308"/>
              <w:jc w:val="both"/>
              <w:rPr>
                <w:rFonts w:ascii="Times New Roman" w:hAnsi="Times New Roman" w:cs="Times New Roman"/>
                <w:b/>
                <w:shd w:val="clear" w:color="auto" w:fill="FFFFFF"/>
              </w:rPr>
            </w:pPr>
          </w:p>
          <w:p w14:paraId="7A5DED75" w14:textId="77777777" w:rsidR="00152218" w:rsidRPr="00152218" w:rsidRDefault="00152218" w:rsidP="00152218">
            <w:pPr>
              <w:ind w:firstLine="308"/>
              <w:jc w:val="both"/>
              <w:rPr>
                <w:rFonts w:ascii="Times New Roman" w:hAnsi="Times New Roman" w:cs="Times New Roman"/>
                <w:shd w:val="clear" w:color="auto" w:fill="FFFFFF"/>
              </w:rPr>
            </w:pPr>
            <w:r w:rsidRPr="00152218">
              <w:rPr>
                <w:rFonts w:ascii="Times New Roman" w:hAnsi="Times New Roman" w:cs="Times New Roman"/>
                <w:shd w:val="clear" w:color="auto" w:fill="FFFFFF"/>
              </w:rPr>
              <w:t>11) кількість умовних одиниць у розрізі класів напруги на кінець звітного періоду.</w:t>
            </w:r>
          </w:p>
          <w:p w14:paraId="3FD2365C" w14:textId="77777777" w:rsidR="00152218" w:rsidRDefault="00152218" w:rsidP="00152218">
            <w:pPr>
              <w:ind w:firstLine="308"/>
              <w:jc w:val="both"/>
              <w:rPr>
                <w:rFonts w:ascii="Times New Roman" w:hAnsi="Times New Roman" w:cs="Times New Roman"/>
                <w:shd w:val="clear" w:color="auto" w:fill="FFFFFF"/>
              </w:rPr>
            </w:pPr>
            <w:r w:rsidRPr="00152218">
              <w:rPr>
                <w:rFonts w:ascii="Times New Roman" w:hAnsi="Times New Roman" w:cs="Times New Roman"/>
                <w:shd w:val="clear" w:color="auto" w:fill="FFFFFF"/>
              </w:rPr>
              <w:t xml:space="preserve">За 2022 - </w:t>
            </w:r>
            <w:r w:rsidRPr="00152218">
              <w:rPr>
                <w:rFonts w:ascii="Times New Roman" w:hAnsi="Times New Roman" w:cs="Times New Roman"/>
                <w:b/>
                <w:shd w:val="clear" w:color="auto" w:fill="FFFFFF"/>
              </w:rPr>
              <w:t>2025</w:t>
            </w:r>
            <w:r w:rsidRPr="00152218">
              <w:rPr>
                <w:rFonts w:ascii="Times New Roman" w:hAnsi="Times New Roman" w:cs="Times New Roman"/>
                <w:shd w:val="clear" w:color="auto" w:fill="FFFFFF"/>
              </w:rPr>
              <w:t xml:space="preserve"> роки для АТ "ДТЕК ДОНЕЦЬКІ ЕЛЕКТРОМЕРЕЖІ", </w:t>
            </w:r>
            <w:r w:rsidRPr="00152218">
              <w:rPr>
                <w:rFonts w:ascii="Times New Roman" w:hAnsi="Times New Roman" w:cs="Times New Roman"/>
                <w:b/>
                <w:shd w:val="clear" w:color="auto" w:fill="FFFFFF"/>
              </w:rPr>
              <w:t>АТ</w:t>
            </w:r>
            <w:r>
              <w:rPr>
                <w:rFonts w:ascii="Times New Roman" w:hAnsi="Times New Roman" w:cs="Times New Roman"/>
                <w:shd w:val="clear" w:color="auto" w:fill="FFFFFF"/>
              </w:rPr>
              <w:t> </w:t>
            </w:r>
            <w:r w:rsidRPr="00152218">
              <w:rPr>
                <w:rFonts w:ascii="Times New Roman" w:hAnsi="Times New Roman" w:cs="Times New Roman"/>
                <w:shd w:val="clear" w:color="auto" w:fill="FFFFFF"/>
              </w:rPr>
              <w:t xml:space="preserve">"ЗАПОРІЖЖЯОБЛЕНЕРГО", АТ "ХЕРСОНОБЛЕНЕРГО" та ТОВ "ДТЕК ВИСОКОВОЛЬТНІ МЕРЕЖІ" - кількість умовних одиниць у розрізі класів напруги на кінець звітного періоду, з урахуванням виведення/повернення активів, що розташовані на тимчасово окупованих територіях держави та/або </w:t>
            </w:r>
            <w:r w:rsidRPr="00152218">
              <w:rPr>
                <w:rFonts w:ascii="Times New Roman" w:hAnsi="Times New Roman" w:cs="Times New Roman"/>
                <w:shd w:val="clear" w:color="auto" w:fill="FFFFFF"/>
              </w:rPr>
              <w:lastRenderedPageBreak/>
              <w:t>над якими втрачено контроль унаслідок російської військової агресії проти України;</w:t>
            </w:r>
          </w:p>
          <w:p w14:paraId="7EC105F1" w14:textId="77777777" w:rsidR="00152218" w:rsidRDefault="00152218" w:rsidP="00152218">
            <w:pPr>
              <w:ind w:firstLine="308"/>
              <w:jc w:val="both"/>
              <w:rPr>
                <w:rFonts w:ascii="Times New Roman" w:hAnsi="Times New Roman" w:cs="Times New Roman"/>
                <w:b/>
                <w:shd w:val="clear" w:color="auto" w:fill="FFFFFF"/>
              </w:rPr>
            </w:pPr>
          </w:p>
          <w:p w14:paraId="7266FA68" w14:textId="1EA9D6DB" w:rsidR="00152218" w:rsidRDefault="00152218" w:rsidP="00152218">
            <w:pPr>
              <w:ind w:firstLine="308"/>
              <w:jc w:val="both"/>
              <w:rPr>
                <w:rFonts w:ascii="Times New Roman" w:hAnsi="Times New Roman" w:cs="Times New Roman"/>
                <w:shd w:val="clear" w:color="auto" w:fill="FFFFFF"/>
              </w:rPr>
            </w:pPr>
            <w:r w:rsidRPr="00152218">
              <w:rPr>
                <w:rFonts w:ascii="Times New Roman" w:hAnsi="Times New Roman" w:cs="Times New Roman"/>
                <w:shd w:val="clear" w:color="auto" w:fill="FFFFFF"/>
              </w:rPr>
              <w:t>12)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N 955</w:t>
            </w:r>
            <w:r w:rsidR="00013D6C">
              <w:rPr>
                <w:rFonts w:ascii="Times New Roman" w:hAnsi="Times New Roman" w:cs="Times New Roman"/>
                <w:shd w:val="clear" w:color="auto" w:fill="FFFFFF"/>
              </w:rPr>
              <w:t xml:space="preserve"> </w:t>
            </w:r>
            <w:r w:rsidR="0084161E" w:rsidRPr="00013D6C">
              <w:rPr>
                <w:rFonts w:ascii="Times New Roman" w:hAnsi="Times New Roman" w:cs="Times New Roman"/>
                <w:b/>
                <w:shd w:val="clear" w:color="auto" w:fill="FFFFFF"/>
              </w:rPr>
              <w:t>(далі – Порядок № 955)</w:t>
            </w:r>
            <w:r w:rsidRPr="00152218">
              <w:rPr>
                <w:rFonts w:ascii="Times New Roman" w:hAnsi="Times New Roman" w:cs="Times New Roman"/>
                <w:shd w:val="clear" w:color="auto" w:fill="FFFFFF"/>
              </w:rPr>
              <w:t>, вважаються не виконаними (у тис. грн та % від загальної суми схваленої інвестиційної програми), з урахуванням постанови НКРЕКП від 26 квітня 2022 року N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N 338" (далі - постанова N 406), із зазначенням джерел фінансування, щодо яких відбулося невиконання інвестиційної програми;</w:t>
            </w:r>
          </w:p>
          <w:p w14:paraId="25AC2433" w14:textId="77777777" w:rsidR="00013D6C" w:rsidRPr="00EC3012" w:rsidRDefault="00013D6C" w:rsidP="00013D6C">
            <w:pPr>
              <w:ind w:firstLine="308"/>
              <w:jc w:val="both"/>
              <w:rPr>
                <w:rFonts w:ascii="Times New Roman" w:hAnsi="Times New Roman" w:cs="Times New Roman"/>
                <w:shd w:val="clear" w:color="auto" w:fill="FFFFFF"/>
              </w:rPr>
            </w:pPr>
          </w:p>
          <w:p w14:paraId="57F56D20" w14:textId="77777777" w:rsidR="00013D6C" w:rsidRPr="00EC3012" w:rsidRDefault="00013D6C" w:rsidP="00013D6C">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7D685218" w14:textId="77777777" w:rsidR="00013D6C" w:rsidRDefault="00013D6C" w:rsidP="00013D6C">
            <w:pPr>
              <w:ind w:firstLine="308"/>
              <w:jc w:val="both"/>
              <w:rPr>
                <w:rFonts w:ascii="Times New Roman" w:hAnsi="Times New Roman" w:cs="Times New Roman"/>
                <w:shd w:val="clear" w:color="auto" w:fill="FFFFFF"/>
              </w:rPr>
            </w:pPr>
          </w:p>
          <w:p w14:paraId="7368DF87" w14:textId="77777777" w:rsidR="00015D78" w:rsidRDefault="00013D6C" w:rsidP="00152218">
            <w:pPr>
              <w:ind w:firstLine="308"/>
              <w:jc w:val="both"/>
              <w:rPr>
                <w:rFonts w:ascii="Times New Roman" w:hAnsi="Times New Roman" w:cs="Times New Roman"/>
                <w:shd w:val="clear" w:color="auto" w:fill="FFFFFF"/>
              </w:rPr>
            </w:pPr>
            <w:r w:rsidRPr="00013D6C">
              <w:rPr>
                <w:rFonts w:ascii="Times New Roman" w:hAnsi="Times New Roman" w:cs="Times New Roman"/>
                <w:shd w:val="clear" w:color="auto" w:fill="FFFFFF"/>
              </w:rPr>
              <w:t>18)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p w14:paraId="5622A5F7" w14:textId="77777777" w:rsidR="00013D6C" w:rsidRDefault="00013D6C" w:rsidP="00152218">
            <w:pPr>
              <w:ind w:firstLine="308"/>
              <w:jc w:val="both"/>
              <w:rPr>
                <w:rFonts w:ascii="Times New Roman" w:hAnsi="Times New Roman" w:cs="Times New Roman"/>
                <w:b/>
                <w:shd w:val="clear" w:color="auto" w:fill="FFFFFF"/>
              </w:rPr>
            </w:pPr>
            <w:r w:rsidRPr="00013D6C">
              <w:rPr>
                <w:rFonts w:ascii="Times New Roman" w:hAnsi="Times New Roman" w:cs="Times New Roman"/>
                <w:b/>
                <w:shd w:val="clear" w:color="auto" w:fill="FFFFFF"/>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14:paraId="33D0402D" w14:textId="256C44C0" w:rsidR="00013D6C" w:rsidRDefault="00013D6C" w:rsidP="00152218">
            <w:pPr>
              <w:ind w:firstLine="308"/>
              <w:jc w:val="both"/>
              <w:rPr>
                <w:rFonts w:ascii="Times New Roman" w:hAnsi="Times New Roman" w:cs="Times New Roman"/>
                <w:shd w:val="clear" w:color="auto" w:fill="FFFFFF"/>
              </w:rPr>
            </w:pPr>
          </w:p>
          <w:p w14:paraId="4102ED87" w14:textId="77777777" w:rsidR="00E76201" w:rsidRPr="00E76201"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 xml:space="preserve">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w:t>
            </w:r>
            <w:r w:rsidRPr="00E76201">
              <w:rPr>
                <w:rFonts w:ascii="Times New Roman" w:hAnsi="Times New Roman" w:cs="Times New Roman"/>
                <w:shd w:val="clear" w:color="auto" w:fill="FFFFFF"/>
              </w:rPr>
              <w:lastRenderedPageBreak/>
              <w:t>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285F1CA7" w14:textId="77777777" w:rsidR="00E76201" w:rsidRPr="00E76201"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N 1175.</w:t>
            </w:r>
          </w:p>
          <w:p w14:paraId="63DAFD85" w14:textId="07F1118D" w:rsidR="00E76201" w:rsidRPr="00E76201"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 xml:space="preserve">За 2023 - </w:t>
            </w:r>
            <w:r w:rsidRPr="00E76201">
              <w:rPr>
                <w:rFonts w:ascii="Times New Roman" w:hAnsi="Times New Roman" w:cs="Times New Roman"/>
                <w:b/>
                <w:shd w:val="clear" w:color="auto" w:fill="FFFFFF"/>
              </w:rPr>
              <w:t>2025</w:t>
            </w:r>
            <w:r w:rsidRPr="00E76201">
              <w:rPr>
                <w:rFonts w:ascii="Times New Roman" w:hAnsi="Times New Roman" w:cs="Times New Roman"/>
                <w:shd w:val="clear" w:color="auto" w:fill="FFFFFF"/>
              </w:rPr>
              <w:t xml:space="preserve">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w:t>
            </w:r>
            <w:r w:rsidRPr="00E76201">
              <w:rPr>
                <w:rFonts w:ascii="Times New Roman" w:hAnsi="Times New Roman" w:cs="Times New Roman"/>
                <w:b/>
                <w:shd w:val="clear" w:color="auto" w:fill="FFFFFF"/>
              </w:rPr>
              <w:t>2025</w:t>
            </w:r>
            <w:r w:rsidRPr="00E76201">
              <w:rPr>
                <w:rFonts w:ascii="Times New Roman" w:hAnsi="Times New Roman" w:cs="Times New Roman"/>
                <w:shd w:val="clear" w:color="auto" w:fill="FFFFFF"/>
              </w:rPr>
              <w:t xml:space="preserve"> роки, та добутком фактичних помісячних обсягів розподілу електричної енергії і тарифів, що діяли у відповідному періоді.</w:t>
            </w:r>
          </w:p>
          <w:p w14:paraId="45963159" w14:textId="58DEE112" w:rsidR="00013D6C" w:rsidRDefault="00E76201" w:rsidP="00E76201">
            <w:pPr>
              <w:ind w:firstLine="308"/>
              <w:jc w:val="both"/>
              <w:rPr>
                <w:rFonts w:ascii="Times New Roman" w:hAnsi="Times New Roman" w:cs="Times New Roman"/>
                <w:shd w:val="clear" w:color="auto" w:fill="FFFFFF"/>
              </w:rPr>
            </w:pPr>
            <w:r w:rsidRPr="00E76201">
              <w:rPr>
                <w:rFonts w:ascii="Times New Roman" w:hAnsi="Times New Roman" w:cs="Times New Roman"/>
                <w:shd w:val="clear" w:color="auto" w:fill="FFFFFF"/>
              </w:rPr>
              <w:t xml:space="preserve">За 2022 - 2024 роки для АТ "ДТЕК ДОНЕЦЬКІ ЕЛЕКТРОМЕРЕЖІ", </w:t>
            </w:r>
            <w:r w:rsidRPr="00E76201">
              <w:rPr>
                <w:rFonts w:ascii="Times New Roman" w:hAnsi="Times New Roman" w:cs="Times New Roman"/>
                <w:b/>
                <w:shd w:val="clear" w:color="auto" w:fill="FFFFFF"/>
              </w:rPr>
              <w:t>АТ</w:t>
            </w:r>
            <w:r>
              <w:rPr>
                <w:rFonts w:ascii="Times New Roman" w:hAnsi="Times New Roman" w:cs="Times New Roman"/>
                <w:b/>
                <w:shd w:val="clear" w:color="auto" w:fill="FFFFFF"/>
              </w:rPr>
              <w:t> </w:t>
            </w:r>
            <w:r w:rsidRPr="00E76201">
              <w:rPr>
                <w:rFonts w:ascii="Times New Roman" w:hAnsi="Times New Roman" w:cs="Times New Roman"/>
                <w:shd w:val="clear" w:color="auto" w:fill="FFFFFF"/>
              </w:rPr>
              <w:t>"ЗАПОРІЖЖЯОБЛЕНЕРГО",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пунктом 5 цієї Методики, із застосуванням частки отриманого доходу (ЧОД), яка за 2022 - 2024 роки дорівнює співвідношенню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w:t>
            </w:r>
          </w:p>
          <w:p w14:paraId="6B41DD95" w14:textId="156444B7" w:rsidR="00013D6C" w:rsidRPr="00B421D8" w:rsidRDefault="00B421D8" w:rsidP="00152218">
            <w:pPr>
              <w:ind w:firstLine="308"/>
              <w:jc w:val="both"/>
              <w:rPr>
                <w:rFonts w:ascii="Times New Roman" w:hAnsi="Times New Roman" w:cs="Times New Roman"/>
                <w:b/>
                <w:shd w:val="clear" w:color="auto" w:fill="FFFFFF"/>
              </w:rPr>
            </w:pPr>
            <w:r w:rsidRPr="00B421D8">
              <w:rPr>
                <w:rFonts w:ascii="Times New Roman" w:hAnsi="Times New Roman" w:cs="Times New Roman"/>
                <w:b/>
                <w:shd w:val="clear" w:color="auto" w:fill="FFFFFF"/>
              </w:rPr>
              <w:t xml:space="preserve">Починаючи з 2025 року, для АТ «ДТЕК ДОНЕЦЬКI ЕЛЕКТРОМЕРЕЖI», АТ «ЗАПОРIЖЖЯОБЛЕНЕРГО», АТ «ХЕРСОНОБЛЕНЕРГО» та ТОВ «ДТЕК ВИСОКОВОЛЬТНI МЕРЕЖI»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пунктом 5 цієї Методики, із застосуванням </w:t>
            </w:r>
            <w:proofErr w:type="spellStart"/>
            <w:r w:rsidRPr="00B421D8">
              <w:rPr>
                <w:rFonts w:ascii="Times New Roman" w:hAnsi="Times New Roman" w:cs="Times New Roman"/>
                <w:b/>
                <w:shd w:val="clear" w:color="auto" w:fill="FFFFFF"/>
              </w:rPr>
              <w:t>КФУу</w:t>
            </w:r>
            <w:proofErr w:type="spellEnd"/>
            <w:r w:rsidRPr="00B421D8">
              <w:rPr>
                <w:rFonts w:ascii="Times New Roman" w:hAnsi="Times New Roman" w:cs="Times New Roman"/>
                <w:b/>
                <w:shd w:val="clear" w:color="auto" w:fill="FFFFFF"/>
              </w:rPr>
              <w:t>;</w:t>
            </w:r>
          </w:p>
          <w:p w14:paraId="166C66EE" w14:textId="77777777" w:rsidR="00B421D8" w:rsidRPr="00EC3012" w:rsidRDefault="00B421D8" w:rsidP="00B421D8">
            <w:pPr>
              <w:ind w:firstLine="308"/>
              <w:jc w:val="both"/>
              <w:rPr>
                <w:rFonts w:ascii="Times New Roman" w:hAnsi="Times New Roman" w:cs="Times New Roman"/>
                <w:shd w:val="clear" w:color="auto" w:fill="FFFFFF"/>
              </w:rPr>
            </w:pPr>
          </w:p>
          <w:p w14:paraId="57B57E85" w14:textId="77777777" w:rsidR="00B421D8" w:rsidRPr="00EC3012" w:rsidRDefault="00B421D8" w:rsidP="00B421D8">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68C387C9" w14:textId="77777777" w:rsidR="00B421D8" w:rsidRDefault="00B421D8" w:rsidP="00B421D8">
            <w:pPr>
              <w:ind w:firstLine="308"/>
              <w:jc w:val="both"/>
              <w:rPr>
                <w:rFonts w:ascii="Times New Roman" w:hAnsi="Times New Roman" w:cs="Times New Roman"/>
                <w:shd w:val="clear" w:color="auto" w:fill="FFFFFF"/>
              </w:rPr>
            </w:pPr>
          </w:p>
          <w:p w14:paraId="226B62AB" w14:textId="77777777" w:rsidR="00013D6C" w:rsidRDefault="00B22832" w:rsidP="00152218">
            <w:pPr>
              <w:ind w:firstLine="308"/>
              <w:jc w:val="both"/>
              <w:rPr>
                <w:rFonts w:ascii="Times New Roman" w:hAnsi="Times New Roman" w:cs="Times New Roman"/>
                <w:b/>
                <w:shd w:val="clear" w:color="auto" w:fill="FFFFFF"/>
              </w:rPr>
            </w:pPr>
            <w:r w:rsidRPr="00B22832">
              <w:rPr>
                <w:rFonts w:ascii="Times New Roman" w:hAnsi="Times New Roman" w:cs="Times New Roman"/>
                <w:b/>
                <w:shd w:val="clear" w:color="auto" w:fill="FFFFFF"/>
              </w:rPr>
              <w:t>25) прибуток, отриманий у звітному році від надання послуг комерційного обліку електричної енергії (визначається як різниця між собівартістю та доходом від надання таких послуг);</w:t>
            </w:r>
          </w:p>
          <w:p w14:paraId="16F176E4" w14:textId="77777777" w:rsidR="00B22832" w:rsidRDefault="00B22832" w:rsidP="00152218">
            <w:pPr>
              <w:ind w:firstLine="308"/>
              <w:jc w:val="both"/>
              <w:rPr>
                <w:rFonts w:ascii="Times New Roman" w:hAnsi="Times New Roman" w:cs="Times New Roman"/>
                <w:b/>
                <w:shd w:val="clear" w:color="auto" w:fill="FFFFFF"/>
              </w:rPr>
            </w:pPr>
          </w:p>
          <w:p w14:paraId="3212945A" w14:textId="5F98B665" w:rsidR="00B31067" w:rsidRPr="00B31067" w:rsidRDefault="00B31067" w:rsidP="00B31067">
            <w:pPr>
              <w:ind w:firstLine="308"/>
              <w:jc w:val="both"/>
              <w:rPr>
                <w:rFonts w:ascii="Times New Roman" w:hAnsi="Times New Roman" w:cs="Times New Roman"/>
                <w:shd w:val="clear" w:color="auto" w:fill="FFFFFF"/>
              </w:rPr>
            </w:pPr>
            <w:r w:rsidRPr="00B31067">
              <w:rPr>
                <w:rFonts w:ascii="Times New Roman" w:hAnsi="Times New Roman" w:cs="Times New Roman"/>
                <w:b/>
                <w:shd w:val="clear" w:color="auto" w:fill="FFFFFF"/>
              </w:rPr>
              <w:lastRenderedPageBreak/>
              <w:t>2</w:t>
            </w:r>
            <w:r w:rsidRPr="00B31067">
              <w:rPr>
                <w:rFonts w:ascii="Times New Roman" w:hAnsi="Times New Roman" w:cs="Times New Roman"/>
                <w:b/>
                <w:shd w:val="clear" w:color="auto" w:fill="FFFFFF"/>
              </w:rPr>
              <w:t>9</w:t>
            </w:r>
            <w:r w:rsidRPr="00B31067">
              <w:rPr>
                <w:rFonts w:ascii="Times New Roman" w:hAnsi="Times New Roman" w:cs="Times New Roman"/>
                <w:b/>
                <w:shd w:val="clear" w:color="auto" w:fill="FFFFFF"/>
              </w:rPr>
              <w:t>)</w:t>
            </w:r>
            <w:r w:rsidRPr="00B31067">
              <w:rPr>
                <w:rFonts w:ascii="Times New Roman" w:hAnsi="Times New Roman" w:cs="Times New Roman"/>
                <w:shd w:val="clear" w:color="auto" w:fill="FFFFFF"/>
              </w:rPr>
              <w:t xml:space="preserve"> фактичні витрати, понесені ліцензіатом у звітному році відповідно до постанов НКРЕКП:</w:t>
            </w:r>
          </w:p>
          <w:p w14:paraId="0DD2081B" w14:textId="77777777" w:rsidR="00B31067" w:rsidRPr="00B31067" w:rsidRDefault="00B31067" w:rsidP="00B31067">
            <w:pPr>
              <w:ind w:firstLine="308"/>
              <w:jc w:val="both"/>
              <w:rPr>
                <w:rFonts w:ascii="Times New Roman" w:hAnsi="Times New Roman" w:cs="Times New Roman"/>
                <w:shd w:val="clear" w:color="auto" w:fill="FFFFFF"/>
              </w:rPr>
            </w:pPr>
            <w:r w:rsidRPr="00B31067">
              <w:rPr>
                <w:rFonts w:ascii="Times New Roman" w:hAnsi="Times New Roman" w:cs="Times New Roman"/>
                <w:shd w:val="clear" w:color="auto" w:fill="FFFFFF"/>
              </w:rPr>
              <w:t>від 17 березня 2022 року N 345 "Щодо врахування при проведенні перевірок сум видатків ліцензіатів НКРЕКП, здійснених під час запровадження воєнного стану в Україні" (далі - постанова N 345);</w:t>
            </w:r>
          </w:p>
          <w:p w14:paraId="794B9B24" w14:textId="77777777" w:rsidR="00B22832" w:rsidRDefault="00B31067" w:rsidP="00B31067">
            <w:pPr>
              <w:ind w:firstLine="308"/>
              <w:jc w:val="both"/>
              <w:rPr>
                <w:rFonts w:ascii="Times New Roman" w:hAnsi="Times New Roman" w:cs="Times New Roman"/>
                <w:shd w:val="clear" w:color="auto" w:fill="FFFFFF"/>
              </w:rPr>
            </w:pPr>
            <w:r w:rsidRPr="00B31067">
              <w:rPr>
                <w:rFonts w:ascii="Times New Roman" w:hAnsi="Times New Roman" w:cs="Times New Roman"/>
                <w:shd w:val="clear" w:color="auto" w:fill="FFFFFF"/>
              </w:rPr>
              <w:t>від 20 квітня 2022 року N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постанова N 386);</w:t>
            </w:r>
          </w:p>
          <w:p w14:paraId="551AF3C3" w14:textId="77777777" w:rsidR="00B31067"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До фактичних витрат, понесених ліцензіатом у звітному році відповідно до постанови № 345, не враховуються витрати, що понесені відповідно до постанови № 386 та визнані обґрунтованими;</w:t>
            </w:r>
          </w:p>
          <w:p w14:paraId="2B3EBE52" w14:textId="77777777" w:rsidR="00B31067" w:rsidRPr="00EC3012" w:rsidRDefault="00B31067" w:rsidP="00B31067">
            <w:pPr>
              <w:ind w:firstLine="308"/>
              <w:jc w:val="both"/>
              <w:rPr>
                <w:rFonts w:ascii="Times New Roman" w:hAnsi="Times New Roman" w:cs="Times New Roman"/>
                <w:shd w:val="clear" w:color="auto" w:fill="FFFFFF"/>
              </w:rPr>
            </w:pPr>
          </w:p>
          <w:p w14:paraId="21180AB0" w14:textId="77777777" w:rsidR="00B31067" w:rsidRPr="00EC3012" w:rsidRDefault="00B31067" w:rsidP="00B31067">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325EB813" w14:textId="77777777" w:rsidR="00B31067" w:rsidRDefault="00B31067" w:rsidP="00B31067">
            <w:pPr>
              <w:ind w:firstLine="308"/>
              <w:jc w:val="both"/>
              <w:rPr>
                <w:rFonts w:ascii="Times New Roman" w:hAnsi="Times New Roman" w:cs="Times New Roman"/>
                <w:shd w:val="clear" w:color="auto" w:fill="FFFFFF"/>
              </w:rPr>
            </w:pPr>
          </w:p>
          <w:p w14:paraId="3EC5CF5F" w14:textId="77777777" w:rsidR="00B31067" w:rsidRPr="00B31067"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32) фактичний рівень розрахунків ліцензіата з оператором системи передачі помісячно та наростаючим підсумком станом на 01.01.2025 та 31.12.2025.</w:t>
            </w:r>
          </w:p>
          <w:p w14:paraId="45B13BDD" w14:textId="77777777" w:rsidR="00B31067" w:rsidRPr="00B31067"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14:paraId="3B526AA5" w14:textId="77777777" w:rsidR="00B31067" w:rsidRPr="00B31067"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14:paraId="63D22237" w14:textId="77777777" w:rsidR="00B31067" w:rsidRPr="00B31067"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для погашення заборгованості перед оператором системи передачі;</w:t>
            </w:r>
          </w:p>
          <w:p w14:paraId="0F7795DD" w14:textId="77777777" w:rsidR="00B31067" w:rsidRPr="00B31067"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для проходження осінньо-зимового періоду 2025/2026;</w:t>
            </w:r>
          </w:p>
          <w:p w14:paraId="79BCF8C1" w14:textId="77777777" w:rsidR="00B31067" w:rsidRPr="00B31067" w:rsidRDefault="00B31067" w:rsidP="00B31067">
            <w:pPr>
              <w:ind w:firstLine="308"/>
              <w:jc w:val="both"/>
              <w:rPr>
                <w:rFonts w:ascii="Times New Roman" w:hAnsi="Times New Roman" w:cs="Times New Roman"/>
                <w:b/>
                <w:shd w:val="clear" w:color="auto" w:fill="FFFFFF"/>
              </w:rPr>
            </w:pPr>
          </w:p>
          <w:p w14:paraId="1F815776" w14:textId="619FEA2A" w:rsidR="00B31067" w:rsidRPr="00013D6C" w:rsidRDefault="00B31067" w:rsidP="00B31067">
            <w:pPr>
              <w:ind w:firstLine="308"/>
              <w:jc w:val="both"/>
              <w:rPr>
                <w:rFonts w:ascii="Times New Roman" w:hAnsi="Times New Roman" w:cs="Times New Roman"/>
                <w:b/>
                <w:shd w:val="clear" w:color="auto" w:fill="FFFFFF"/>
              </w:rPr>
            </w:pPr>
            <w:r w:rsidRPr="00B31067">
              <w:rPr>
                <w:rFonts w:ascii="Times New Roman" w:hAnsi="Times New Roman" w:cs="Times New Roman"/>
                <w:b/>
                <w:shd w:val="clear" w:color="auto" w:fill="FFFFFF"/>
              </w:rPr>
              <w:t xml:space="preserve">33) фіксація стану забезпечення умов першого регуляторного періоду, передбачених пунктом 2 постанови НКРЕ від 26 липня 2013 року № 1029 «Про застосування стимулюючого регулювання при провадженні </w:t>
            </w:r>
            <w:r w:rsidRPr="00B31067">
              <w:rPr>
                <w:rFonts w:ascii="Times New Roman" w:hAnsi="Times New Roman" w:cs="Times New Roman"/>
                <w:b/>
                <w:shd w:val="clear" w:color="auto" w:fill="FFFFFF"/>
              </w:rPr>
              <w:lastRenderedPageBreak/>
              <w:t>господарської діяльності з розподілу електричної енергії» (далі – постанова № 1029), та стану виконання цільових параметрів регулювання, що мають довгостроковий строк дії, для цілей стимулюючого регулювання, встановлених постановою НКРЕ від 23 липня 2013 року № 1009 «Про встановлення параметрів регулювання, що мають довгостроковий строк дії, для цілей стимулюючого регулювання» (далі – постанова № 1009), за результатом п’яти років першого регуляторного періоду та за результатом шести років першого регуляторного періоду (окремо), відповідно до додатка до цієї Методики.</w:t>
            </w:r>
          </w:p>
        </w:tc>
      </w:tr>
      <w:tr w:rsidR="003807D6" w:rsidRPr="00EC3012" w14:paraId="5C0EF009" w14:textId="77777777" w:rsidTr="00AD1642">
        <w:trPr>
          <w:trHeight w:val="610"/>
        </w:trPr>
        <w:tc>
          <w:tcPr>
            <w:tcW w:w="7724" w:type="dxa"/>
          </w:tcPr>
          <w:p w14:paraId="770BB3B6" w14:textId="77777777" w:rsidR="003807D6" w:rsidRPr="001472A1" w:rsidRDefault="003807D6" w:rsidP="003807D6">
            <w:pPr>
              <w:spacing w:after="75"/>
              <w:ind w:firstLine="240"/>
              <w:jc w:val="both"/>
            </w:pPr>
            <w:bookmarkStart w:id="68" w:name="18024"/>
            <w:r w:rsidRPr="001472A1">
              <w:rPr>
                <w:rFonts w:ascii="Times New Roman" w:hAnsi="Times New Roman"/>
                <w:sz w:val="24"/>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16FA4A07" w14:textId="77777777" w:rsidR="003807D6" w:rsidRPr="001472A1" w:rsidRDefault="003807D6" w:rsidP="003807D6">
            <w:pPr>
              <w:spacing w:after="75"/>
              <w:ind w:firstLine="240"/>
              <w:jc w:val="both"/>
            </w:pPr>
            <w:bookmarkStart w:id="69" w:name="20813"/>
            <w:bookmarkEnd w:id="68"/>
            <w:r w:rsidRPr="001472A1">
              <w:rPr>
                <w:rFonts w:ascii="Times New Roman" w:hAnsi="Times New Roman"/>
                <w:sz w:val="24"/>
              </w:rPr>
              <w:t>1) збільшена на 10 %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2022 - 2024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2025 року);</w:t>
            </w:r>
          </w:p>
          <w:p w14:paraId="1AF69A3B" w14:textId="77777777" w:rsidR="003807D6" w:rsidRPr="001472A1" w:rsidRDefault="003807D6" w:rsidP="003807D6">
            <w:pPr>
              <w:spacing w:after="75"/>
              <w:ind w:firstLine="240"/>
              <w:jc w:val="both"/>
            </w:pPr>
            <w:bookmarkStart w:id="70" w:name="18026"/>
            <w:bookmarkEnd w:id="69"/>
            <w:r w:rsidRPr="001472A1">
              <w:rPr>
                <w:rFonts w:ascii="Times New Roman" w:hAnsi="Times New Roman"/>
                <w:sz w:val="24"/>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018778F1" w14:textId="77777777" w:rsidR="003807D6" w:rsidRPr="001472A1" w:rsidRDefault="003807D6" w:rsidP="003807D6">
            <w:pPr>
              <w:spacing w:after="75"/>
              <w:ind w:firstLine="240"/>
              <w:jc w:val="both"/>
            </w:pPr>
            <w:bookmarkStart w:id="71" w:name="25490"/>
            <w:bookmarkEnd w:id="70"/>
            <w:r w:rsidRPr="001472A1">
              <w:rPr>
                <w:rFonts w:ascii="Times New Roman" w:hAnsi="Times New Roman"/>
                <w:sz w:val="24"/>
              </w:rPr>
              <w:t>За 2022 - 2024 роки для АТ "ДТЕК ДОНЕЦЬКІ ЕЛЕКТРОМЕРЕЖІ", ПАТ "ЗАПОРІЖЖЯОБЛЕНЕРГО", ТОВ "ДТЕК ВИСОКОВОЛЬТНІ МЕРЕЖІ" та за 2022 рік для АТ "ХЕРСОНОБЛЕНЕРГО" додатково отриманий або недоотриманий дохід ліцензіата визначається із застосуванням частки отриманого доходу (ЧОД), за вирахуванням статті "операційні контрольовані витрати", за формулою</w:t>
            </w:r>
          </w:p>
          <w:p w14:paraId="45376F2C" w14:textId="77777777" w:rsidR="003807D6" w:rsidRPr="001472A1" w:rsidRDefault="003807D6" w:rsidP="003807D6">
            <w:pPr>
              <w:spacing w:after="75"/>
              <w:jc w:val="center"/>
            </w:pPr>
            <w:bookmarkStart w:id="72" w:name="25491"/>
            <w:bookmarkEnd w:id="71"/>
            <w:r w:rsidRPr="001472A1">
              <w:rPr>
                <w:rFonts w:ascii="Times New Roman" w:hAnsi="Times New Roman"/>
                <w:sz w:val="24"/>
              </w:rPr>
              <w:t>ДД</w:t>
            </w:r>
            <w:r w:rsidRPr="001472A1">
              <w:rPr>
                <w:rFonts w:ascii="Times New Roman" w:hAnsi="Times New Roman"/>
                <w:vertAlign w:val="subscript"/>
              </w:rPr>
              <w:t>О(Н)</w:t>
            </w:r>
            <w:r w:rsidRPr="001472A1">
              <w:rPr>
                <w:rFonts w:ascii="Times New Roman" w:hAnsi="Times New Roman"/>
                <w:sz w:val="24"/>
              </w:rPr>
              <w:t xml:space="preserve"> = (</w:t>
            </w:r>
            <w:proofErr w:type="spellStart"/>
            <w:r w:rsidRPr="001472A1">
              <w:rPr>
                <w:rFonts w:ascii="Times New Roman" w:hAnsi="Times New Roman"/>
                <w:sz w:val="24"/>
              </w:rPr>
              <w:t>НД</w:t>
            </w:r>
            <w:r w:rsidRPr="001472A1">
              <w:rPr>
                <w:rFonts w:ascii="Times New Roman" w:hAnsi="Times New Roman"/>
                <w:vertAlign w:val="subscript"/>
              </w:rPr>
              <w:t>т</w:t>
            </w:r>
            <w:proofErr w:type="spellEnd"/>
            <w:r w:rsidRPr="001472A1">
              <w:rPr>
                <w:rFonts w:ascii="Times New Roman" w:hAnsi="Times New Roman"/>
                <w:sz w:val="24"/>
              </w:rPr>
              <w:t xml:space="preserve"> - </w:t>
            </w:r>
            <w:proofErr w:type="spellStart"/>
            <w:r w:rsidRPr="001472A1">
              <w:rPr>
                <w:rFonts w:ascii="Times New Roman" w:hAnsi="Times New Roman"/>
                <w:sz w:val="24"/>
              </w:rPr>
              <w:t>ОКВ</w:t>
            </w:r>
            <w:r w:rsidRPr="001472A1">
              <w:rPr>
                <w:rFonts w:ascii="Times New Roman" w:hAnsi="Times New Roman"/>
                <w:vertAlign w:val="subscript"/>
              </w:rPr>
              <w:t>т</w:t>
            </w:r>
            <w:proofErr w:type="spellEnd"/>
            <w:r w:rsidRPr="001472A1">
              <w:rPr>
                <w:rFonts w:ascii="Times New Roman" w:hAnsi="Times New Roman"/>
                <w:sz w:val="24"/>
              </w:rPr>
              <w:t>) х (ЧОД - 1),</w:t>
            </w:r>
          </w:p>
          <w:p w14:paraId="7AB0B89C" w14:textId="77777777" w:rsidR="003807D6" w:rsidRPr="001472A1" w:rsidRDefault="003807D6" w:rsidP="003807D6">
            <w:pPr>
              <w:spacing w:after="75"/>
              <w:ind w:firstLine="240"/>
              <w:jc w:val="both"/>
            </w:pPr>
            <w:bookmarkStart w:id="73" w:name="25492"/>
            <w:bookmarkEnd w:id="72"/>
            <w:r w:rsidRPr="001472A1">
              <w:rPr>
                <w:rFonts w:ascii="Times New Roman" w:hAnsi="Times New Roman"/>
                <w:sz w:val="24"/>
              </w:rPr>
              <w:lastRenderedPageBreak/>
              <w:t>де ДД</w:t>
            </w:r>
            <w:r w:rsidRPr="001472A1">
              <w:rPr>
                <w:rFonts w:ascii="Times New Roman" w:hAnsi="Times New Roman"/>
                <w:vertAlign w:val="subscript"/>
              </w:rPr>
              <w:t>О(Н)</w:t>
            </w:r>
            <w:r w:rsidRPr="001472A1">
              <w:rPr>
                <w:rFonts w:ascii="Times New Roman" w:hAnsi="Times New Roman"/>
                <w:sz w:val="24"/>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відповідний період, тис. грн;</w:t>
            </w:r>
          </w:p>
          <w:p w14:paraId="68A724DE" w14:textId="77777777" w:rsidR="003807D6" w:rsidRPr="001472A1" w:rsidRDefault="003807D6" w:rsidP="003807D6">
            <w:pPr>
              <w:spacing w:after="75"/>
              <w:ind w:firstLine="240"/>
              <w:jc w:val="both"/>
            </w:pPr>
            <w:bookmarkStart w:id="74" w:name="25493"/>
            <w:bookmarkEnd w:id="73"/>
            <w:proofErr w:type="spellStart"/>
            <w:r w:rsidRPr="001472A1">
              <w:rPr>
                <w:rFonts w:ascii="Times New Roman" w:hAnsi="Times New Roman"/>
                <w:sz w:val="24"/>
              </w:rPr>
              <w:t>НД</w:t>
            </w:r>
            <w:r w:rsidRPr="001472A1">
              <w:rPr>
                <w:rFonts w:ascii="Times New Roman" w:hAnsi="Times New Roman"/>
                <w:vertAlign w:val="subscript"/>
              </w:rPr>
              <w:t>т</w:t>
            </w:r>
            <w:proofErr w:type="spellEnd"/>
            <w:r w:rsidRPr="001472A1">
              <w:rPr>
                <w:rFonts w:ascii="Times New Roman" w:hAnsi="Times New Roman"/>
                <w:sz w:val="24"/>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6F3E3D93" w14:textId="77777777" w:rsidR="003807D6" w:rsidRPr="001472A1" w:rsidRDefault="003807D6" w:rsidP="003807D6">
            <w:pPr>
              <w:spacing w:after="75"/>
              <w:ind w:firstLine="240"/>
              <w:jc w:val="both"/>
            </w:pPr>
            <w:bookmarkStart w:id="75" w:name="25494"/>
            <w:bookmarkEnd w:id="74"/>
            <w:proofErr w:type="spellStart"/>
            <w:r w:rsidRPr="001472A1">
              <w:rPr>
                <w:rFonts w:ascii="Times New Roman" w:hAnsi="Times New Roman"/>
                <w:sz w:val="24"/>
              </w:rPr>
              <w:t>ОКВ</w:t>
            </w:r>
            <w:r w:rsidRPr="001472A1">
              <w:rPr>
                <w:rFonts w:ascii="Times New Roman" w:hAnsi="Times New Roman"/>
                <w:vertAlign w:val="subscript"/>
              </w:rPr>
              <w:t>т</w:t>
            </w:r>
            <w:proofErr w:type="spellEnd"/>
            <w:r w:rsidRPr="001472A1">
              <w:rPr>
                <w:rFonts w:ascii="Times New Roman" w:hAnsi="Times New Roman"/>
                <w:sz w:val="24"/>
              </w:rPr>
              <w:t xml:space="preserve"> - середньорічна сума витрат за статтею "операційні контрольовані витрати", врахована у встановлених структурах тарифів, які діяли у відповідні періоди звітного року, тис. грн;</w:t>
            </w:r>
          </w:p>
          <w:p w14:paraId="41CD23F1" w14:textId="77777777" w:rsidR="003807D6" w:rsidRPr="001472A1" w:rsidRDefault="003807D6" w:rsidP="003807D6">
            <w:pPr>
              <w:spacing w:after="75"/>
              <w:ind w:firstLine="240"/>
              <w:jc w:val="both"/>
            </w:pPr>
            <w:bookmarkStart w:id="76" w:name="25495"/>
            <w:bookmarkEnd w:id="75"/>
            <w:r w:rsidRPr="001472A1">
              <w:rPr>
                <w:rFonts w:ascii="Times New Roman" w:hAnsi="Times New Roman"/>
                <w:sz w:val="24"/>
              </w:rPr>
              <w:t>ЧОД - частка отриманого доходу, яка дорівнює співвідношенню фактичного доходу за 2022, 2023 або 2024 рік (визначеного як співвідношення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 в. о.</w:t>
            </w:r>
          </w:p>
          <w:p w14:paraId="75E8B1FC" w14:textId="77777777" w:rsidR="003807D6" w:rsidRPr="001472A1" w:rsidRDefault="003807D6" w:rsidP="003807D6">
            <w:pPr>
              <w:spacing w:after="75"/>
              <w:ind w:firstLine="240"/>
              <w:jc w:val="both"/>
            </w:pPr>
            <w:bookmarkStart w:id="77" w:name="25496"/>
            <w:bookmarkEnd w:id="76"/>
            <w:r w:rsidRPr="001472A1">
              <w:rPr>
                <w:rFonts w:ascii="Times New Roman" w:hAnsi="Times New Roman"/>
                <w:sz w:val="24"/>
              </w:rPr>
              <w:t>За 2023 та 2024 роки для АТ "ХЕРСОНОБЛЕНЕРГО" додатково отриманий (недоотриманий) дохід внаслідок збільшення (зменшення) фактичних обсягів розподілу електричної енергії (ДД</w:t>
            </w:r>
            <w:r w:rsidRPr="001472A1">
              <w:rPr>
                <w:rFonts w:ascii="Times New Roman" w:hAnsi="Times New Roman"/>
                <w:vertAlign w:val="subscript"/>
              </w:rPr>
              <w:t>О(Н)</w:t>
            </w:r>
            <w:r w:rsidRPr="001472A1">
              <w:rPr>
                <w:rFonts w:ascii="Times New Roman" w:hAnsi="Times New Roman"/>
                <w:sz w:val="24"/>
              </w:rPr>
              <w:t>) визначається з урахуванням різниці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 звітного року, за формулою</w:t>
            </w:r>
          </w:p>
          <w:p w14:paraId="7B00FDCA" w14:textId="77777777" w:rsidR="003807D6" w:rsidRPr="001472A1" w:rsidRDefault="003807D6" w:rsidP="003807D6">
            <w:pPr>
              <w:spacing w:after="75"/>
              <w:ind w:firstLine="240"/>
              <w:jc w:val="both"/>
            </w:pPr>
            <w:bookmarkStart w:id="78" w:name="25497"/>
            <w:bookmarkEnd w:id="77"/>
            <w:r w:rsidRPr="001472A1">
              <w:rPr>
                <w:rFonts w:ascii="Times New Roman" w:hAnsi="Times New Roman"/>
                <w:sz w:val="24"/>
              </w:rPr>
              <w:t>ДД</w:t>
            </w:r>
            <w:r w:rsidRPr="001472A1">
              <w:rPr>
                <w:rFonts w:ascii="Times New Roman" w:hAnsi="Times New Roman"/>
                <w:vertAlign w:val="subscript"/>
              </w:rPr>
              <w:t>О(Н)</w:t>
            </w:r>
            <w:r w:rsidRPr="001472A1">
              <w:rPr>
                <w:rFonts w:ascii="Times New Roman" w:hAnsi="Times New Roman"/>
                <w:sz w:val="24"/>
              </w:rPr>
              <w:t xml:space="preserve"> = ((</w:t>
            </w:r>
            <w:proofErr w:type="spellStart"/>
            <w:r w:rsidRPr="001472A1">
              <w:rPr>
                <w:rFonts w:ascii="Times New Roman" w:hAnsi="Times New Roman"/>
                <w:sz w:val="24"/>
              </w:rPr>
              <w:t>НД</w:t>
            </w:r>
            <w:r w:rsidRPr="001472A1">
              <w:rPr>
                <w:rFonts w:ascii="Times New Roman" w:hAnsi="Times New Roman"/>
                <w:vertAlign w:val="subscript"/>
              </w:rPr>
              <w:t>т</w:t>
            </w:r>
            <w:proofErr w:type="spellEnd"/>
            <w:r w:rsidRPr="001472A1">
              <w:rPr>
                <w:rFonts w:ascii="Times New Roman" w:hAnsi="Times New Roman"/>
                <w:sz w:val="24"/>
              </w:rPr>
              <w:t xml:space="preserve"> - </w:t>
            </w:r>
            <w:proofErr w:type="spellStart"/>
            <w:r w:rsidRPr="001472A1">
              <w:rPr>
                <w:rFonts w:ascii="Times New Roman" w:hAnsi="Times New Roman"/>
                <w:sz w:val="24"/>
              </w:rPr>
              <w:t>ОКВ</w:t>
            </w:r>
            <w:r w:rsidRPr="001472A1">
              <w:rPr>
                <w:rFonts w:ascii="Times New Roman" w:hAnsi="Times New Roman"/>
                <w:vertAlign w:val="subscript"/>
              </w:rPr>
              <w:t>т</w:t>
            </w:r>
            <w:proofErr w:type="spellEnd"/>
            <w:r w:rsidRPr="001472A1">
              <w:rPr>
                <w:rFonts w:ascii="Times New Roman" w:hAnsi="Times New Roman"/>
                <w:sz w:val="24"/>
              </w:rPr>
              <w:t xml:space="preserve"> + </w:t>
            </w:r>
            <w:proofErr w:type="spellStart"/>
            <w:r w:rsidRPr="001472A1">
              <w:rPr>
                <w:rFonts w:ascii="Times New Roman" w:hAnsi="Times New Roman"/>
                <w:sz w:val="24"/>
              </w:rPr>
              <w:t>ННД</w:t>
            </w:r>
            <w:r w:rsidRPr="001472A1">
              <w:rPr>
                <w:rFonts w:ascii="Times New Roman" w:hAnsi="Times New Roman"/>
                <w:vertAlign w:val="subscript"/>
              </w:rPr>
              <w:t>т</w:t>
            </w:r>
            <w:proofErr w:type="spellEnd"/>
            <w:r w:rsidRPr="001472A1">
              <w:rPr>
                <w:rFonts w:ascii="Times New Roman" w:hAnsi="Times New Roman"/>
                <w:sz w:val="24"/>
              </w:rPr>
              <w:t>) х (ЧОД - 1)),</w:t>
            </w:r>
          </w:p>
          <w:p w14:paraId="7015284A" w14:textId="77777777" w:rsidR="003807D6" w:rsidRPr="001472A1" w:rsidRDefault="003807D6" w:rsidP="003807D6">
            <w:pPr>
              <w:spacing w:after="75"/>
              <w:ind w:firstLine="240"/>
              <w:jc w:val="both"/>
            </w:pPr>
            <w:bookmarkStart w:id="79" w:name="25498"/>
            <w:bookmarkEnd w:id="78"/>
            <w:r w:rsidRPr="001472A1">
              <w:rPr>
                <w:rFonts w:ascii="Times New Roman" w:hAnsi="Times New Roman"/>
                <w:sz w:val="24"/>
              </w:rPr>
              <w:t xml:space="preserve">де </w:t>
            </w:r>
            <w:proofErr w:type="spellStart"/>
            <w:r w:rsidRPr="001472A1">
              <w:rPr>
                <w:rFonts w:ascii="Times New Roman" w:hAnsi="Times New Roman"/>
                <w:sz w:val="24"/>
              </w:rPr>
              <w:t>ННД</w:t>
            </w:r>
            <w:r w:rsidRPr="001472A1">
              <w:rPr>
                <w:rFonts w:ascii="Times New Roman" w:hAnsi="Times New Roman"/>
                <w:vertAlign w:val="subscript"/>
              </w:rPr>
              <w:t>т</w:t>
            </w:r>
            <w:proofErr w:type="spellEnd"/>
            <w:r w:rsidRPr="001472A1">
              <w:rPr>
                <w:rFonts w:ascii="Times New Roman" w:hAnsi="Times New Roman"/>
                <w:sz w:val="24"/>
              </w:rPr>
              <w:t xml:space="preserve"> - недоотриманий необхідний дохід, розрахований на підставі середньорічної структури тарифів у звітному році, тис. грн, та визначається за формулою</w:t>
            </w:r>
          </w:p>
          <w:p w14:paraId="76B78D19" w14:textId="77777777" w:rsidR="003807D6" w:rsidRPr="001472A1" w:rsidRDefault="003807D6" w:rsidP="003807D6">
            <w:pPr>
              <w:spacing w:after="75"/>
              <w:ind w:firstLine="240"/>
              <w:jc w:val="both"/>
            </w:pPr>
            <w:bookmarkStart w:id="80" w:name="25499"/>
            <w:bookmarkEnd w:id="79"/>
            <w:proofErr w:type="spellStart"/>
            <w:r w:rsidRPr="001472A1">
              <w:rPr>
                <w:rFonts w:ascii="Times New Roman" w:hAnsi="Times New Roman"/>
                <w:sz w:val="24"/>
              </w:rPr>
              <w:t>ННД</w:t>
            </w:r>
            <w:r w:rsidRPr="001472A1">
              <w:rPr>
                <w:rFonts w:ascii="Times New Roman" w:hAnsi="Times New Roman"/>
                <w:vertAlign w:val="subscript"/>
              </w:rPr>
              <w:t>т</w:t>
            </w:r>
            <w:proofErr w:type="spellEnd"/>
            <w:r w:rsidRPr="001472A1">
              <w:rPr>
                <w:rFonts w:ascii="Times New Roman" w:hAnsi="Times New Roman"/>
                <w:sz w:val="24"/>
              </w:rPr>
              <w:t xml:space="preserve"> = </w:t>
            </w:r>
            <w:proofErr w:type="spellStart"/>
            <w:r w:rsidRPr="001472A1">
              <w:rPr>
                <w:rFonts w:ascii="Times New Roman" w:hAnsi="Times New Roman"/>
                <w:sz w:val="24"/>
              </w:rPr>
              <w:t>НД</w:t>
            </w:r>
            <w:r w:rsidRPr="001472A1">
              <w:rPr>
                <w:rFonts w:ascii="Times New Roman" w:hAnsi="Times New Roman"/>
                <w:vertAlign w:val="subscript"/>
              </w:rPr>
              <w:t>т</w:t>
            </w:r>
            <w:proofErr w:type="spellEnd"/>
            <w:r w:rsidRPr="001472A1">
              <w:rPr>
                <w:rFonts w:ascii="Times New Roman" w:hAnsi="Times New Roman"/>
                <w:sz w:val="24"/>
              </w:rPr>
              <w:t xml:space="preserve"> - ФД,</w:t>
            </w:r>
          </w:p>
          <w:bookmarkEnd w:id="80"/>
          <w:p w14:paraId="138134F7" w14:textId="77777777" w:rsidR="003807D6" w:rsidRPr="001472A1" w:rsidRDefault="003807D6" w:rsidP="003807D6">
            <w:pPr>
              <w:ind w:firstLine="308"/>
              <w:jc w:val="both"/>
              <w:rPr>
                <w:rFonts w:ascii="Times New Roman" w:hAnsi="Times New Roman"/>
                <w:sz w:val="24"/>
              </w:rPr>
            </w:pPr>
            <w:r w:rsidRPr="001472A1">
              <w:rPr>
                <w:rFonts w:ascii="Times New Roman" w:hAnsi="Times New Roman"/>
                <w:sz w:val="24"/>
              </w:rPr>
              <w:t>де ФД - фактичний дохід, розрахований як добуток фактичних помісячних обсягів розподілу електричної енергії і тарифів, що діяли у відповідному періоді звітного року, тис. грн;</w:t>
            </w:r>
          </w:p>
          <w:p w14:paraId="5BB9E238" w14:textId="77777777" w:rsidR="007F5EE2" w:rsidRPr="001472A1" w:rsidRDefault="007F5EE2" w:rsidP="003807D6">
            <w:pPr>
              <w:ind w:firstLine="308"/>
              <w:jc w:val="both"/>
              <w:rPr>
                <w:rFonts w:ascii="Times New Roman" w:hAnsi="Times New Roman" w:cs="Times New Roman"/>
                <w:shd w:val="clear" w:color="auto" w:fill="FFFFFF"/>
              </w:rPr>
            </w:pPr>
          </w:p>
          <w:p w14:paraId="7ACE3215" w14:textId="77777777" w:rsidR="007F5EE2" w:rsidRPr="001472A1" w:rsidRDefault="007F5EE2" w:rsidP="003807D6">
            <w:pPr>
              <w:ind w:firstLine="308"/>
              <w:jc w:val="both"/>
              <w:rPr>
                <w:rFonts w:ascii="Times New Roman" w:hAnsi="Times New Roman" w:cs="Times New Roman"/>
                <w:shd w:val="clear" w:color="auto" w:fill="FFFFFF"/>
              </w:rPr>
            </w:pPr>
          </w:p>
          <w:p w14:paraId="4B7CA2EF" w14:textId="77777777" w:rsidR="007F5EE2" w:rsidRPr="001472A1" w:rsidRDefault="007F5EE2" w:rsidP="003807D6">
            <w:pPr>
              <w:ind w:firstLine="308"/>
              <w:jc w:val="both"/>
              <w:rPr>
                <w:rFonts w:ascii="Times New Roman" w:hAnsi="Times New Roman" w:cs="Times New Roman"/>
                <w:shd w:val="clear" w:color="auto" w:fill="FFFFFF"/>
              </w:rPr>
            </w:pPr>
          </w:p>
          <w:p w14:paraId="5CBE9155" w14:textId="77777777" w:rsidR="007F5EE2" w:rsidRPr="001472A1" w:rsidRDefault="007F5EE2" w:rsidP="003807D6">
            <w:pPr>
              <w:ind w:firstLine="308"/>
              <w:jc w:val="both"/>
              <w:rPr>
                <w:rFonts w:ascii="Times New Roman" w:hAnsi="Times New Roman" w:cs="Times New Roman"/>
                <w:shd w:val="clear" w:color="auto" w:fill="FFFFFF"/>
              </w:rPr>
            </w:pPr>
          </w:p>
          <w:p w14:paraId="72FFC905" w14:textId="77777777" w:rsidR="007F5EE2" w:rsidRPr="001472A1" w:rsidRDefault="007F5EE2" w:rsidP="003807D6">
            <w:pPr>
              <w:ind w:firstLine="308"/>
              <w:jc w:val="both"/>
              <w:rPr>
                <w:rFonts w:ascii="Times New Roman" w:hAnsi="Times New Roman" w:cs="Times New Roman"/>
                <w:shd w:val="clear" w:color="auto" w:fill="FFFFFF"/>
              </w:rPr>
            </w:pPr>
          </w:p>
          <w:p w14:paraId="10A11B31" w14:textId="77777777" w:rsidR="007F5EE2" w:rsidRPr="001472A1" w:rsidRDefault="007F5EE2" w:rsidP="003807D6">
            <w:pPr>
              <w:ind w:firstLine="308"/>
              <w:jc w:val="both"/>
              <w:rPr>
                <w:rFonts w:ascii="Times New Roman" w:hAnsi="Times New Roman" w:cs="Times New Roman"/>
                <w:shd w:val="clear" w:color="auto" w:fill="FFFFFF"/>
              </w:rPr>
            </w:pPr>
          </w:p>
          <w:p w14:paraId="125725F9" w14:textId="77777777" w:rsidR="007F5EE2" w:rsidRPr="001472A1" w:rsidRDefault="007F5EE2" w:rsidP="003807D6">
            <w:pPr>
              <w:ind w:firstLine="308"/>
              <w:jc w:val="both"/>
              <w:rPr>
                <w:rFonts w:ascii="Times New Roman" w:hAnsi="Times New Roman" w:cs="Times New Roman"/>
                <w:shd w:val="clear" w:color="auto" w:fill="FFFFFF"/>
              </w:rPr>
            </w:pPr>
          </w:p>
          <w:p w14:paraId="417F1B81" w14:textId="77777777" w:rsidR="007F5EE2" w:rsidRPr="001472A1" w:rsidRDefault="007F5EE2" w:rsidP="003807D6">
            <w:pPr>
              <w:ind w:firstLine="308"/>
              <w:jc w:val="both"/>
              <w:rPr>
                <w:rFonts w:ascii="Times New Roman" w:hAnsi="Times New Roman" w:cs="Times New Roman"/>
                <w:shd w:val="clear" w:color="auto" w:fill="FFFFFF"/>
              </w:rPr>
            </w:pPr>
          </w:p>
          <w:p w14:paraId="2495DD81" w14:textId="77777777" w:rsidR="007F5EE2" w:rsidRPr="001472A1" w:rsidRDefault="007F5EE2" w:rsidP="003807D6">
            <w:pPr>
              <w:ind w:firstLine="308"/>
              <w:jc w:val="both"/>
              <w:rPr>
                <w:rFonts w:ascii="Times New Roman" w:hAnsi="Times New Roman" w:cs="Times New Roman"/>
                <w:shd w:val="clear" w:color="auto" w:fill="FFFFFF"/>
              </w:rPr>
            </w:pPr>
          </w:p>
          <w:p w14:paraId="7C85F14F" w14:textId="77777777" w:rsidR="007F5EE2" w:rsidRPr="001472A1" w:rsidRDefault="007F5EE2" w:rsidP="003807D6">
            <w:pPr>
              <w:ind w:firstLine="308"/>
              <w:jc w:val="both"/>
              <w:rPr>
                <w:rFonts w:ascii="Times New Roman" w:hAnsi="Times New Roman" w:cs="Times New Roman"/>
                <w:shd w:val="clear" w:color="auto" w:fill="FFFFFF"/>
              </w:rPr>
            </w:pPr>
          </w:p>
          <w:p w14:paraId="1BFBF0A1" w14:textId="77777777" w:rsidR="007F5EE2" w:rsidRPr="001472A1" w:rsidRDefault="007F5EE2" w:rsidP="003807D6">
            <w:pPr>
              <w:ind w:firstLine="308"/>
              <w:jc w:val="both"/>
              <w:rPr>
                <w:rFonts w:ascii="Times New Roman" w:hAnsi="Times New Roman" w:cs="Times New Roman"/>
                <w:shd w:val="clear" w:color="auto" w:fill="FFFFFF"/>
              </w:rPr>
            </w:pPr>
          </w:p>
          <w:p w14:paraId="77CA0D90" w14:textId="77777777" w:rsidR="007F5EE2" w:rsidRPr="001472A1" w:rsidRDefault="007F5EE2" w:rsidP="003807D6">
            <w:pPr>
              <w:ind w:firstLine="308"/>
              <w:jc w:val="both"/>
              <w:rPr>
                <w:rFonts w:ascii="Times New Roman" w:hAnsi="Times New Roman" w:cs="Times New Roman"/>
                <w:shd w:val="clear" w:color="auto" w:fill="FFFFFF"/>
              </w:rPr>
            </w:pPr>
          </w:p>
          <w:p w14:paraId="04A3759A" w14:textId="77777777" w:rsidR="007F5EE2" w:rsidRPr="001472A1" w:rsidRDefault="007F5EE2" w:rsidP="003807D6">
            <w:pPr>
              <w:ind w:firstLine="308"/>
              <w:jc w:val="both"/>
              <w:rPr>
                <w:rFonts w:ascii="Times New Roman" w:hAnsi="Times New Roman" w:cs="Times New Roman"/>
                <w:shd w:val="clear" w:color="auto" w:fill="FFFFFF"/>
              </w:rPr>
            </w:pPr>
          </w:p>
          <w:p w14:paraId="6601AA83" w14:textId="77777777" w:rsidR="007F5EE2" w:rsidRPr="001472A1" w:rsidRDefault="007F5EE2" w:rsidP="003807D6">
            <w:pPr>
              <w:ind w:firstLine="308"/>
              <w:jc w:val="both"/>
              <w:rPr>
                <w:rFonts w:ascii="Times New Roman" w:hAnsi="Times New Roman" w:cs="Times New Roman"/>
                <w:shd w:val="clear" w:color="auto" w:fill="FFFFFF"/>
              </w:rPr>
            </w:pPr>
          </w:p>
          <w:p w14:paraId="7443A55B" w14:textId="77777777" w:rsidR="007F5EE2" w:rsidRPr="001472A1" w:rsidRDefault="007F5EE2" w:rsidP="003807D6">
            <w:pPr>
              <w:ind w:firstLine="308"/>
              <w:jc w:val="both"/>
              <w:rPr>
                <w:rFonts w:ascii="Times New Roman" w:hAnsi="Times New Roman" w:cs="Times New Roman"/>
                <w:shd w:val="clear" w:color="auto" w:fill="FFFFFF"/>
              </w:rPr>
            </w:pPr>
          </w:p>
          <w:p w14:paraId="3D3CBC27" w14:textId="77777777" w:rsidR="007F5EE2" w:rsidRPr="001472A1" w:rsidRDefault="007F5EE2" w:rsidP="003807D6">
            <w:pPr>
              <w:ind w:firstLine="308"/>
              <w:jc w:val="both"/>
              <w:rPr>
                <w:rFonts w:ascii="Times New Roman" w:hAnsi="Times New Roman" w:cs="Times New Roman"/>
                <w:shd w:val="clear" w:color="auto" w:fill="FFFFFF"/>
              </w:rPr>
            </w:pPr>
          </w:p>
          <w:p w14:paraId="66DF02F9" w14:textId="77777777" w:rsidR="007F5EE2" w:rsidRPr="001472A1" w:rsidRDefault="007F5EE2" w:rsidP="003807D6">
            <w:pPr>
              <w:ind w:firstLine="308"/>
              <w:jc w:val="both"/>
              <w:rPr>
                <w:rFonts w:ascii="Times New Roman" w:hAnsi="Times New Roman" w:cs="Times New Roman"/>
                <w:shd w:val="clear" w:color="auto" w:fill="FFFFFF"/>
              </w:rPr>
            </w:pPr>
          </w:p>
          <w:p w14:paraId="5AC333DE" w14:textId="77777777" w:rsidR="007F5EE2" w:rsidRPr="001472A1" w:rsidRDefault="007F5EE2" w:rsidP="003807D6">
            <w:pPr>
              <w:ind w:firstLine="308"/>
              <w:jc w:val="both"/>
              <w:rPr>
                <w:rFonts w:ascii="Times New Roman" w:hAnsi="Times New Roman" w:cs="Times New Roman"/>
                <w:shd w:val="clear" w:color="auto" w:fill="FFFFFF"/>
              </w:rPr>
            </w:pPr>
          </w:p>
          <w:p w14:paraId="43D374D4" w14:textId="77777777" w:rsidR="007F5EE2" w:rsidRPr="001472A1" w:rsidRDefault="007F5EE2" w:rsidP="003807D6">
            <w:pPr>
              <w:ind w:firstLine="308"/>
              <w:jc w:val="both"/>
              <w:rPr>
                <w:rFonts w:ascii="Times New Roman" w:hAnsi="Times New Roman" w:cs="Times New Roman"/>
                <w:shd w:val="clear" w:color="auto" w:fill="FFFFFF"/>
              </w:rPr>
            </w:pPr>
          </w:p>
          <w:p w14:paraId="01E60FBA" w14:textId="77777777" w:rsidR="007F5EE2" w:rsidRPr="001472A1" w:rsidRDefault="007F5EE2" w:rsidP="003807D6">
            <w:pPr>
              <w:ind w:firstLine="308"/>
              <w:jc w:val="both"/>
              <w:rPr>
                <w:rFonts w:ascii="Times New Roman" w:hAnsi="Times New Roman" w:cs="Times New Roman"/>
                <w:shd w:val="clear" w:color="auto" w:fill="FFFFFF"/>
              </w:rPr>
            </w:pPr>
          </w:p>
          <w:p w14:paraId="085554E3" w14:textId="77777777" w:rsidR="007F5EE2" w:rsidRPr="001472A1" w:rsidRDefault="007F5EE2" w:rsidP="003807D6">
            <w:pPr>
              <w:ind w:firstLine="308"/>
              <w:jc w:val="both"/>
              <w:rPr>
                <w:rFonts w:ascii="Times New Roman" w:hAnsi="Times New Roman" w:cs="Times New Roman"/>
                <w:shd w:val="clear" w:color="auto" w:fill="FFFFFF"/>
              </w:rPr>
            </w:pPr>
          </w:p>
          <w:p w14:paraId="2267466E" w14:textId="77777777" w:rsidR="007F5EE2" w:rsidRPr="001472A1" w:rsidRDefault="007F5EE2" w:rsidP="003807D6">
            <w:pPr>
              <w:ind w:firstLine="308"/>
              <w:jc w:val="both"/>
              <w:rPr>
                <w:rFonts w:ascii="Times New Roman" w:hAnsi="Times New Roman" w:cs="Times New Roman"/>
                <w:shd w:val="clear" w:color="auto" w:fill="FFFFFF"/>
              </w:rPr>
            </w:pPr>
          </w:p>
          <w:p w14:paraId="46BD549E" w14:textId="77777777" w:rsidR="007F5EE2" w:rsidRPr="001472A1" w:rsidRDefault="007F5EE2" w:rsidP="003807D6">
            <w:pPr>
              <w:ind w:firstLine="308"/>
              <w:jc w:val="both"/>
              <w:rPr>
                <w:rFonts w:ascii="Times New Roman" w:hAnsi="Times New Roman" w:cs="Times New Roman"/>
                <w:shd w:val="clear" w:color="auto" w:fill="FFFFFF"/>
              </w:rPr>
            </w:pPr>
          </w:p>
          <w:p w14:paraId="5F9485E7" w14:textId="77777777" w:rsidR="007F5EE2" w:rsidRPr="001472A1" w:rsidRDefault="007F5EE2" w:rsidP="003807D6">
            <w:pPr>
              <w:ind w:firstLine="308"/>
              <w:jc w:val="both"/>
              <w:rPr>
                <w:rFonts w:ascii="Times New Roman" w:hAnsi="Times New Roman" w:cs="Times New Roman"/>
                <w:shd w:val="clear" w:color="auto" w:fill="FFFFFF"/>
              </w:rPr>
            </w:pPr>
          </w:p>
          <w:p w14:paraId="74D6C106" w14:textId="77777777" w:rsidR="007F5EE2" w:rsidRPr="001472A1" w:rsidRDefault="007F5EE2" w:rsidP="003807D6">
            <w:pPr>
              <w:ind w:firstLine="308"/>
              <w:jc w:val="both"/>
              <w:rPr>
                <w:rFonts w:ascii="Times New Roman" w:hAnsi="Times New Roman" w:cs="Times New Roman"/>
                <w:shd w:val="clear" w:color="auto" w:fill="FFFFFF"/>
              </w:rPr>
            </w:pPr>
          </w:p>
          <w:p w14:paraId="45F6A8E7" w14:textId="77777777" w:rsidR="007F5EE2" w:rsidRPr="001472A1" w:rsidRDefault="007F5EE2" w:rsidP="003807D6">
            <w:pPr>
              <w:ind w:firstLine="308"/>
              <w:jc w:val="both"/>
              <w:rPr>
                <w:rFonts w:ascii="Times New Roman" w:hAnsi="Times New Roman" w:cs="Times New Roman"/>
                <w:shd w:val="clear" w:color="auto" w:fill="FFFFFF"/>
              </w:rPr>
            </w:pPr>
          </w:p>
          <w:p w14:paraId="67510C52" w14:textId="77777777" w:rsidR="007F5EE2" w:rsidRPr="001472A1" w:rsidRDefault="007F5EE2" w:rsidP="003807D6">
            <w:pPr>
              <w:ind w:firstLine="308"/>
              <w:jc w:val="both"/>
              <w:rPr>
                <w:rFonts w:ascii="Times New Roman" w:hAnsi="Times New Roman" w:cs="Times New Roman"/>
                <w:shd w:val="clear" w:color="auto" w:fill="FFFFFF"/>
              </w:rPr>
            </w:pPr>
          </w:p>
          <w:p w14:paraId="3B0EE585" w14:textId="77777777" w:rsidR="007F5EE2" w:rsidRPr="001472A1" w:rsidRDefault="007F5EE2" w:rsidP="007F5EE2">
            <w:pPr>
              <w:ind w:firstLine="308"/>
              <w:jc w:val="both"/>
              <w:rPr>
                <w:rFonts w:ascii="Times New Roman" w:hAnsi="Times New Roman" w:cs="Times New Roman"/>
                <w:shd w:val="clear" w:color="auto" w:fill="FFFFFF"/>
              </w:rPr>
            </w:pPr>
          </w:p>
          <w:p w14:paraId="4587F376" w14:textId="77777777" w:rsidR="007F5EE2" w:rsidRPr="001472A1" w:rsidRDefault="007F5EE2" w:rsidP="007F5EE2">
            <w:pPr>
              <w:ind w:firstLine="308"/>
              <w:jc w:val="both"/>
              <w:rPr>
                <w:rFonts w:ascii="Times New Roman" w:hAnsi="Times New Roman" w:cs="Times New Roman"/>
                <w:shd w:val="clear" w:color="auto" w:fill="FFFFFF"/>
              </w:rPr>
            </w:pPr>
            <w:r w:rsidRPr="001472A1">
              <w:rPr>
                <w:rFonts w:ascii="Times New Roman" w:hAnsi="Times New Roman" w:cs="Times New Roman"/>
                <w:shd w:val="clear" w:color="auto" w:fill="FFFFFF"/>
              </w:rPr>
              <w:t>&lt;…&gt;</w:t>
            </w:r>
          </w:p>
          <w:p w14:paraId="0B93CF09" w14:textId="77777777" w:rsidR="007F5EE2" w:rsidRPr="001472A1" w:rsidRDefault="007F5EE2" w:rsidP="007F5EE2">
            <w:pPr>
              <w:ind w:firstLine="308"/>
              <w:jc w:val="both"/>
              <w:rPr>
                <w:rFonts w:ascii="Times New Roman" w:hAnsi="Times New Roman" w:cs="Times New Roman"/>
                <w:shd w:val="clear" w:color="auto" w:fill="FFFFFF"/>
              </w:rPr>
            </w:pPr>
          </w:p>
          <w:p w14:paraId="6F88CC07" w14:textId="77777777" w:rsidR="001472A1" w:rsidRPr="001472A1" w:rsidRDefault="001472A1" w:rsidP="001472A1">
            <w:pPr>
              <w:spacing w:after="75"/>
              <w:ind w:firstLine="240"/>
              <w:jc w:val="both"/>
            </w:pPr>
            <w:bookmarkStart w:id="81" w:name="18028"/>
            <w:r w:rsidRPr="001472A1">
              <w:rPr>
                <w:rFonts w:ascii="Times New Roman" w:hAnsi="Times New Roman"/>
                <w:sz w:val="24"/>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1472A1">
              <w:rPr>
                <w:noProof/>
              </w:rPr>
              <w:drawing>
                <wp:inline distT="0" distB="0" distL="0" distR="0" wp14:anchorId="3D059B00" wp14:editId="36A39DD3">
                  <wp:extent cx="371475" cy="161511"/>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5001" cy="167392"/>
                          </a:xfrm>
                          <a:prstGeom prst="rect">
                            <a:avLst/>
                          </a:prstGeom>
                        </pic:spPr>
                      </pic:pic>
                    </a:graphicData>
                  </a:graphic>
                </wp:inline>
              </w:drawing>
            </w:r>
            <w:r w:rsidRPr="001472A1">
              <w:rPr>
                <w:rFonts w:ascii="Times New Roman" w:hAnsi="Times New Roman"/>
                <w:sz w:val="24"/>
              </w:rPr>
              <w:t>, тис. грн, що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3696"/>
              <w:gridCol w:w="2568"/>
            </w:tblGrid>
            <w:tr w:rsidR="001472A1" w:rsidRPr="001472A1" w14:paraId="7C045FE5" w14:textId="77777777" w:rsidTr="001472A1">
              <w:trPr>
                <w:trHeight w:val="27"/>
                <w:tblCellSpacing w:w="0" w:type="auto"/>
              </w:trPr>
              <w:tc>
                <w:tcPr>
                  <w:tcW w:w="3696" w:type="dxa"/>
                  <w:vAlign w:val="center"/>
                </w:tcPr>
                <w:p w14:paraId="6E08115D" w14:textId="77777777" w:rsidR="001472A1" w:rsidRPr="001472A1" w:rsidRDefault="001472A1" w:rsidP="001472A1">
                  <w:pPr>
                    <w:spacing w:after="75"/>
                  </w:pPr>
                  <w:bookmarkStart w:id="82" w:name="18029"/>
                  <w:bookmarkEnd w:id="81"/>
                  <w:r w:rsidRPr="001472A1">
                    <w:rPr>
                      <w:noProof/>
                    </w:rPr>
                    <w:drawing>
                      <wp:inline distT="0" distB="0" distL="0" distR="0" wp14:anchorId="056B59BE" wp14:editId="36DA409A">
                        <wp:extent cx="2105025" cy="364650"/>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48611" cy="372200"/>
                                </a:xfrm>
                                <a:prstGeom prst="rect">
                                  <a:avLst/>
                                </a:prstGeom>
                              </pic:spPr>
                            </pic:pic>
                          </a:graphicData>
                        </a:graphic>
                      </wp:inline>
                    </w:drawing>
                  </w:r>
                </w:p>
              </w:tc>
              <w:tc>
                <w:tcPr>
                  <w:tcW w:w="2568" w:type="dxa"/>
                  <w:vAlign w:val="center"/>
                </w:tcPr>
                <w:p w14:paraId="468F217C" w14:textId="77777777" w:rsidR="001472A1" w:rsidRPr="001472A1" w:rsidRDefault="001472A1" w:rsidP="001472A1">
                  <w:pPr>
                    <w:spacing w:after="75"/>
                    <w:jc w:val="both"/>
                  </w:pPr>
                  <w:bookmarkStart w:id="83" w:name="18030"/>
                  <w:bookmarkEnd w:id="82"/>
                  <w:r w:rsidRPr="001472A1">
                    <w:rPr>
                      <w:rFonts w:ascii="Times New Roman" w:hAnsi="Times New Roman"/>
                      <w:sz w:val="15"/>
                    </w:rPr>
                    <w:t>,</w:t>
                  </w:r>
                </w:p>
              </w:tc>
              <w:bookmarkEnd w:id="83"/>
            </w:tr>
          </w:tbl>
          <w:p w14:paraId="4EDFC9D4" w14:textId="77777777" w:rsidR="001472A1" w:rsidRPr="001472A1" w:rsidRDefault="001472A1" w:rsidP="001472A1">
            <w:pPr>
              <w:spacing w:after="75"/>
              <w:ind w:firstLine="240"/>
              <w:jc w:val="both"/>
            </w:pPr>
            <w:bookmarkStart w:id="84" w:name="18031"/>
            <w:r w:rsidRPr="001472A1">
              <w:rPr>
                <w:rFonts w:ascii="Times New Roman" w:hAnsi="Times New Roman"/>
                <w:sz w:val="24"/>
              </w:rPr>
              <w:t>де i - місяць,</w:t>
            </w:r>
          </w:p>
          <w:p w14:paraId="7A4EAABF" w14:textId="77777777" w:rsidR="001472A1" w:rsidRPr="001472A1" w:rsidRDefault="001472A1" w:rsidP="001472A1">
            <w:pPr>
              <w:spacing w:after="75"/>
              <w:ind w:firstLine="240"/>
              <w:jc w:val="both"/>
            </w:pPr>
            <w:bookmarkStart w:id="85" w:name="18032"/>
            <w:bookmarkEnd w:id="84"/>
            <w:r w:rsidRPr="001472A1">
              <w:rPr>
                <w:rFonts w:ascii="Times New Roman" w:hAnsi="Times New Roman"/>
                <w:sz w:val="24"/>
              </w:rPr>
              <w:t>n - кількість місяців,</w:t>
            </w:r>
          </w:p>
          <w:p w14:paraId="36F94E55" w14:textId="77777777" w:rsidR="001472A1" w:rsidRPr="001472A1" w:rsidRDefault="001472A1" w:rsidP="001472A1">
            <w:pPr>
              <w:spacing w:after="75"/>
              <w:ind w:firstLine="240"/>
              <w:jc w:val="both"/>
            </w:pPr>
            <w:bookmarkStart w:id="86" w:name="18033"/>
            <w:bookmarkEnd w:id="85"/>
            <w:r w:rsidRPr="001472A1">
              <w:rPr>
                <w:rFonts w:ascii="Times New Roman" w:hAnsi="Times New Roman"/>
                <w:sz w:val="24"/>
              </w:rPr>
              <w:t>Д</w:t>
            </w:r>
            <w:r w:rsidRPr="001472A1">
              <w:rPr>
                <w:rFonts w:ascii="Times New Roman" w:hAnsi="Times New Roman"/>
                <w:vertAlign w:val="subscript"/>
              </w:rPr>
              <w:t>ТВЕ т</w:t>
            </w:r>
            <w:r w:rsidRPr="001472A1">
              <w:rPr>
                <w:rFonts w:ascii="Times New Roman" w:hAnsi="Times New Roman"/>
                <w:sz w:val="24"/>
              </w:rPr>
              <w:t xml:space="preserve"> - вартість технологічних витрат електричної енергії, урахована в тарифі на звітний рік, тис. грн,</w:t>
            </w:r>
          </w:p>
          <w:p w14:paraId="153EF0EB" w14:textId="77777777" w:rsidR="001472A1" w:rsidRPr="001472A1" w:rsidRDefault="001472A1" w:rsidP="001472A1">
            <w:pPr>
              <w:spacing w:after="75"/>
              <w:ind w:firstLine="240"/>
              <w:jc w:val="both"/>
            </w:pPr>
            <w:bookmarkStart w:id="87" w:name="18034"/>
            <w:bookmarkEnd w:id="86"/>
            <w:r w:rsidRPr="001472A1">
              <w:rPr>
                <w:rFonts w:ascii="Times New Roman" w:hAnsi="Times New Roman"/>
                <w:sz w:val="24"/>
              </w:rPr>
              <w:lastRenderedPageBreak/>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i</w:t>
            </w:r>
            <w:r w:rsidRPr="001472A1">
              <w:rPr>
                <w:rFonts w:ascii="Times New Roman" w:hAnsi="Times New Roman"/>
                <w:sz w:val="24"/>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2AAD1946" w14:textId="77777777" w:rsidR="001472A1" w:rsidRPr="001472A1" w:rsidRDefault="001472A1" w:rsidP="001472A1">
            <w:pPr>
              <w:spacing w:after="75"/>
              <w:jc w:val="center"/>
            </w:pPr>
            <w:bookmarkStart w:id="88" w:name="18035"/>
            <w:bookmarkEnd w:id="87"/>
            <w:r w:rsidRPr="001472A1">
              <w:rPr>
                <w:rFonts w:ascii="Times New Roman" w:hAnsi="Times New Roman"/>
                <w:sz w:val="24"/>
              </w:rPr>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і</w:t>
            </w:r>
            <w:r w:rsidRPr="001472A1">
              <w:rPr>
                <w:rFonts w:ascii="Times New Roman" w:hAnsi="Times New Roman"/>
                <w:sz w:val="24"/>
              </w:rPr>
              <w:t xml:space="preserve"> = О</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i</w:t>
            </w:r>
            <w:r w:rsidRPr="001472A1">
              <w:rPr>
                <w:rFonts w:ascii="Times New Roman" w:hAnsi="Times New Roman"/>
                <w:sz w:val="24"/>
              </w:rPr>
              <w:t xml:space="preserve"> × Ц</w:t>
            </w:r>
            <w:r w:rsidRPr="001472A1">
              <w:rPr>
                <w:rFonts w:ascii="Times New Roman" w:hAnsi="Times New Roman"/>
                <w:vertAlign w:val="subscript"/>
              </w:rPr>
              <w:t>ТВЕ i</w:t>
            </w:r>
            <w:r w:rsidRPr="001472A1">
              <w:rPr>
                <w:rFonts w:ascii="Times New Roman" w:hAnsi="Times New Roman"/>
                <w:sz w:val="24"/>
              </w:rPr>
              <w:t xml:space="preserve"> ,</w:t>
            </w:r>
          </w:p>
          <w:p w14:paraId="4DAF6B38" w14:textId="77777777" w:rsidR="001472A1" w:rsidRPr="001472A1" w:rsidRDefault="001472A1" w:rsidP="001472A1">
            <w:pPr>
              <w:spacing w:after="75"/>
              <w:ind w:firstLine="240"/>
              <w:jc w:val="both"/>
            </w:pPr>
            <w:bookmarkStart w:id="89" w:name="18036"/>
            <w:bookmarkEnd w:id="88"/>
            <w:r w:rsidRPr="001472A1">
              <w:rPr>
                <w:rFonts w:ascii="Times New Roman" w:hAnsi="Times New Roman"/>
                <w:sz w:val="24"/>
              </w:rPr>
              <w:t>де О</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i</w:t>
            </w:r>
            <w:r w:rsidRPr="001472A1">
              <w:rPr>
                <w:rFonts w:ascii="Times New Roman" w:hAnsi="Times New Roman"/>
                <w:sz w:val="24"/>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 що розраховується за формулою</w:t>
            </w:r>
          </w:p>
          <w:tbl>
            <w:tblPr>
              <w:tblW w:w="7330" w:type="dxa"/>
              <w:tblCellSpacing w:w="0" w:type="auto"/>
              <w:tblBorders>
                <w:top w:val="single" w:sz="8" w:space="0" w:color="E5E2FF"/>
              </w:tblBorders>
              <w:tblLayout w:type="fixed"/>
              <w:tblLook w:val="04A0" w:firstRow="1" w:lastRow="0" w:firstColumn="1" w:lastColumn="0" w:noHBand="0" w:noVBand="1"/>
            </w:tblPr>
            <w:tblGrid>
              <w:gridCol w:w="5339"/>
              <w:gridCol w:w="1991"/>
            </w:tblGrid>
            <w:tr w:rsidR="001472A1" w:rsidRPr="001472A1" w14:paraId="31E2DE1C" w14:textId="77777777" w:rsidTr="001472A1">
              <w:trPr>
                <w:trHeight w:val="24"/>
                <w:tblCellSpacing w:w="0" w:type="auto"/>
              </w:trPr>
              <w:tc>
                <w:tcPr>
                  <w:tcW w:w="5339" w:type="dxa"/>
                  <w:vAlign w:val="center"/>
                </w:tcPr>
                <w:p w14:paraId="5DB1268C" w14:textId="77777777" w:rsidR="001472A1" w:rsidRPr="001472A1" w:rsidRDefault="001472A1" w:rsidP="001472A1">
                  <w:pPr>
                    <w:spacing w:after="75"/>
                  </w:pPr>
                  <w:bookmarkStart w:id="90" w:name="18037"/>
                  <w:bookmarkEnd w:id="89"/>
                  <w:r w:rsidRPr="001472A1">
                    <w:rPr>
                      <w:noProof/>
                    </w:rPr>
                    <w:drawing>
                      <wp:inline distT="0" distB="0" distL="0" distR="0" wp14:anchorId="7FA63124" wp14:editId="5BE6EA12">
                        <wp:extent cx="3114675" cy="434606"/>
                        <wp:effectExtent l="0" t="0" r="0" b="381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29512" cy="436676"/>
                                </a:xfrm>
                                <a:prstGeom prst="rect">
                                  <a:avLst/>
                                </a:prstGeom>
                              </pic:spPr>
                            </pic:pic>
                          </a:graphicData>
                        </a:graphic>
                      </wp:inline>
                    </w:drawing>
                  </w:r>
                </w:p>
              </w:tc>
              <w:tc>
                <w:tcPr>
                  <w:tcW w:w="1991" w:type="dxa"/>
                  <w:vAlign w:val="center"/>
                </w:tcPr>
                <w:p w14:paraId="7020B594" w14:textId="77777777" w:rsidR="001472A1" w:rsidRPr="001472A1" w:rsidRDefault="001472A1" w:rsidP="001472A1">
                  <w:pPr>
                    <w:spacing w:after="75"/>
                    <w:jc w:val="both"/>
                  </w:pPr>
                  <w:bookmarkStart w:id="91" w:name="18038"/>
                  <w:bookmarkEnd w:id="90"/>
                  <w:r w:rsidRPr="001472A1">
                    <w:rPr>
                      <w:rFonts w:ascii="Times New Roman" w:hAnsi="Times New Roman"/>
                      <w:sz w:val="15"/>
                    </w:rPr>
                    <w:t>,</w:t>
                  </w:r>
                </w:p>
              </w:tc>
              <w:bookmarkEnd w:id="91"/>
            </w:tr>
          </w:tbl>
          <w:p w14:paraId="676FAF03" w14:textId="77777777" w:rsidR="001472A1" w:rsidRPr="001472A1" w:rsidRDefault="001472A1" w:rsidP="001472A1">
            <w:pPr>
              <w:spacing w:after="75"/>
              <w:ind w:firstLine="240"/>
              <w:jc w:val="both"/>
            </w:pPr>
            <w:bookmarkStart w:id="92" w:name="18039"/>
            <w:r w:rsidRPr="001472A1">
              <w:rPr>
                <w:rFonts w:ascii="Times New Roman" w:hAnsi="Times New Roman"/>
                <w:sz w:val="24"/>
              </w:rPr>
              <w:t xml:space="preserve">де </w:t>
            </w:r>
            <w:r w:rsidRPr="001472A1">
              <w:rPr>
                <w:rFonts w:ascii="Times New Roman" w:hAnsi="Times New Roman"/>
                <w:i/>
                <w:sz w:val="24"/>
              </w:rPr>
              <w:t>W</w:t>
            </w:r>
            <w:r w:rsidRPr="001472A1">
              <w:rPr>
                <w:rFonts w:ascii="Times New Roman" w:hAnsi="Times New Roman"/>
                <w:vertAlign w:val="subscript"/>
              </w:rPr>
              <w:t>1 i</w:t>
            </w:r>
            <w:r w:rsidRPr="001472A1">
              <w:rPr>
                <w:rFonts w:ascii="Times New Roman" w:hAnsi="Times New Roman"/>
                <w:sz w:val="24"/>
              </w:rPr>
              <w:t xml:space="preserve"> , - фактичний обсяг корисного відпуску електричної енергії споживачам на 1 класі напруги у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4299F3EF" w14:textId="77777777" w:rsidR="001472A1" w:rsidRPr="001472A1" w:rsidRDefault="001472A1" w:rsidP="001472A1">
            <w:pPr>
              <w:spacing w:after="75"/>
              <w:ind w:firstLine="240"/>
              <w:jc w:val="both"/>
            </w:pPr>
            <w:bookmarkStart w:id="93" w:name="18040"/>
            <w:bookmarkEnd w:id="92"/>
            <w:r w:rsidRPr="001472A1">
              <w:rPr>
                <w:rFonts w:ascii="Times New Roman" w:hAnsi="Times New Roman"/>
                <w:i/>
                <w:sz w:val="24"/>
              </w:rPr>
              <w:t>W</w:t>
            </w:r>
            <w:r w:rsidRPr="001472A1">
              <w:rPr>
                <w:rFonts w:ascii="Times New Roman" w:hAnsi="Times New Roman"/>
                <w:vertAlign w:val="subscript"/>
              </w:rPr>
              <w:t>2 i</w:t>
            </w:r>
            <w:r w:rsidRPr="001472A1">
              <w:rPr>
                <w:rFonts w:ascii="Times New Roman" w:hAnsi="Times New Roman"/>
                <w:sz w:val="24"/>
              </w:rPr>
              <w:t xml:space="preserve"> - фактичний обсяг розподілу електричної енергії споживачам на 2 класі напруги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272FFC9B" w14:textId="77777777" w:rsidR="001472A1" w:rsidRPr="001472A1" w:rsidRDefault="001472A1" w:rsidP="001472A1">
            <w:pPr>
              <w:spacing w:after="75"/>
              <w:ind w:firstLine="240"/>
              <w:jc w:val="both"/>
            </w:pPr>
            <w:bookmarkStart w:id="94" w:name="18041"/>
            <w:bookmarkEnd w:id="93"/>
            <w:r w:rsidRPr="001472A1">
              <w:rPr>
                <w:rFonts w:ascii="Times New Roman" w:hAnsi="Times New Roman"/>
                <w:sz w:val="24"/>
              </w:rPr>
              <w:t>К</w:t>
            </w:r>
            <w:r w:rsidRPr="001472A1">
              <w:rPr>
                <w:rFonts w:ascii="Times New Roman" w:hAnsi="Times New Roman"/>
                <w:vertAlign w:val="subscript"/>
              </w:rPr>
              <w:t>1</w:t>
            </w:r>
            <w:r w:rsidRPr="001472A1">
              <w:rPr>
                <w:rFonts w:ascii="Times New Roman" w:hAnsi="Times New Roman"/>
                <w:sz w:val="24"/>
              </w:rPr>
              <w:t>, К</w:t>
            </w:r>
            <w:r w:rsidRPr="001472A1">
              <w:rPr>
                <w:rFonts w:ascii="Times New Roman" w:hAnsi="Times New Roman"/>
                <w:vertAlign w:val="subscript"/>
              </w:rPr>
              <w:t>2</w:t>
            </w:r>
            <w:r w:rsidRPr="001472A1">
              <w:rPr>
                <w:rFonts w:ascii="Times New Roman" w:hAnsi="Times New Roman"/>
                <w:sz w:val="24"/>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76FA858C" w14:textId="77777777" w:rsidR="001472A1" w:rsidRPr="001472A1" w:rsidRDefault="001472A1" w:rsidP="001472A1">
            <w:pPr>
              <w:spacing w:after="75"/>
              <w:ind w:firstLine="240"/>
              <w:jc w:val="both"/>
            </w:pPr>
            <w:bookmarkStart w:id="95" w:name="18042"/>
            <w:bookmarkEnd w:id="94"/>
            <w:r w:rsidRPr="001472A1">
              <w:rPr>
                <w:rFonts w:ascii="Times New Roman" w:hAnsi="Times New Roman"/>
                <w:sz w:val="24"/>
              </w:rPr>
              <w:t>Ц</w:t>
            </w:r>
            <w:r w:rsidRPr="001472A1">
              <w:rPr>
                <w:rFonts w:ascii="Times New Roman" w:hAnsi="Times New Roman"/>
                <w:vertAlign w:val="subscript"/>
              </w:rPr>
              <w:t>ТВЕ i</w:t>
            </w:r>
            <w:r w:rsidRPr="001472A1">
              <w:rPr>
                <w:rFonts w:ascii="Times New Roman" w:hAnsi="Times New Roman"/>
                <w:sz w:val="24"/>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1472A1">
              <w:rPr>
                <w:rFonts w:ascii="Times New Roman" w:hAnsi="Times New Roman"/>
                <w:sz w:val="24"/>
              </w:rPr>
              <w:t>МВт·год</w:t>
            </w:r>
            <w:proofErr w:type="spellEnd"/>
            <w:r w:rsidRPr="001472A1">
              <w:rPr>
                <w:rFonts w:ascii="Times New Roman" w:hAnsi="Times New Roman"/>
                <w:sz w:val="24"/>
              </w:rPr>
              <w:t>, та розраховується за формулою</w:t>
            </w:r>
          </w:p>
          <w:p w14:paraId="03E23164" w14:textId="77777777" w:rsidR="001472A1" w:rsidRPr="001472A1" w:rsidRDefault="001472A1" w:rsidP="001472A1">
            <w:pPr>
              <w:spacing w:after="75"/>
              <w:jc w:val="center"/>
            </w:pPr>
            <w:bookmarkStart w:id="96" w:name="18043"/>
            <w:bookmarkEnd w:id="95"/>
            <w:r w:rsidRPr="001472A1">
              <w:rPr>
                <w:rFonts w:ascii="Times New Roman" w:hAnsi="Times New Roman"/>
                <w:sz w:val="24"/>
              </w:rPr>
              <w:t>Ц</w:t>
            </w:r>
            <w:r w:rsidRPr="001472A1">
              <w:rPr>
                <w:rFonts w:ascii="Times New Roman" w:hAnsi="Times New Roman"/>
                <w:vertAlign w:val="subscript"/>
              </w:rPr>
              <w:t>ТВЕ i</w:t>
            </w:r>
            <w:r w:rsidRPr="001472A1">
              <w:rPr>
                <w:rFonts w:ascii="Times New Roman" w:hAnsi="Times New Roman"/>
                <w:sz w:val="24"/>
              </w:rPr>
              <w:t xml:space="preserve"> </w:t>
            </w:r>
            <w:r w:rsidRPr="001472A1">
              <w:rPr>
                <w:rFonts w:ascii="Times New Roman" w:hAnsi="Times New Roman"/>
                <w:vertAlign w:val="subscript"/>
              </w:rPr>
              <w:t>=</w:t>
            </w:r>
            <w:r w:rsidRPr="001472A1">
              <w:rPr>
                <w:rFonts w:ascii="Times New Roman" w:hAnsi="Times New Roman"/>
                <w:sz w:val="24"/>
              </w:rPr>
              <w:t xml:space="preserve"> Ц </w:t>
            </w:r>
            <w:r w:rsidRPr="001472A1">
              <w:rPr>
                <w:rFonts w:ascii="Times New Roman" w:hAnsi="Times New Roman"/>
                <w:vertAlign w:val="subscript"/>
              </w:rPr>
              <w:t>РДН ф i</w:t>
            </w:r>
            <w:r w:rsidRPr="001472A1">
              <w:rPr>
                <w:rFonts w:ascii="Times New Roman" w:hAnsi="Times New Roman"/>
                <w:sz w:val="24"/>
              </w:rPr>
              <w:t xml:space="preserve"> × (1 -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xml:space="preserve">) + Ц </w:t>
            </w:r>
            <w:r w:rsidRPr="001472A1">
              <w:rPr>
                <w:rFonts w:ascii="Times New Roman" w:hAnsi="Times New Roman"/>
                <w:vertAlign w:val="subscript"/>
              </w:rPr>
              <w:t>РДН ф i</w:t>
            </w:r>
            <w:r w:rsidRPr="001472A1">
              <w:rPr>
                <w:rFonts w:ascii="Times New Roman" w:hAnsi="Times New Roman"/>
                <w:sz w:val="24"/>
              </w:rPr>
              <w:t xml:space="preserve"> × (1 + К</w:t>
            </w:r>
            <w:r w:rsidRPr="001472A1">
              <w:rPr>
                <w:rFonts w:ascii="Times New Roman" w:hAnsi="Times New Roman"/>
                <w:vertAlign w:val="superscript"/>
              </w:rPr>
              <w:t>БР</w:t>
            </w:r>
            <w:r w:rsidRPr="001472A1">
              <w:rPr>
                <w:rFonts w:ascii="Times New Roman" w:hAnsi="Times New Roman"/>
                <w:vertAlign w:val="subscript"/>
              </w:rPr>
              <w:t>Ц</w:t>
            </w:r>
            <w:r w:rsidRPr="001472A1">
              <w:rPr>
                <w:rFonts w:ascii="Times New Roman" w:hAnsi="Times New Roman"/>
                <w:sz w:val="24"/>
              </w:rPr>
              <w:t>) ×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Ц </w:t>
            </w:r>
            <w:r w:rsidRPr="001472A1">
              <w:rPr>
                <w:rFonts w:ascii="Times New Roman" w:hAnsi="Times New Roman"/>
                <w:vertAlign w:val="subscript"/>
              </w:rPr>
              <w:t>РДД ф i</w:t>
            </w:r>
            <w:r w:rsidRPr="001472A1">
              <w:rPr>
                <w:rFonts w:ascii="Times New Roman" w:hAnsi="Times New Roman"/>
                <w:sz w:val="24"/>
              </w:rPr>
              <w:t xml:space="preserve"> × К</w:t>
            </w:r>
            <w:r w:rsidRPr="001472A1">
              <w:rPr>
                <w:rFonts w:ascii="Times New Roman" w:hAnsi="Times New Roman"/>
                <w:vertAlign w:val="superscript"/>
              </w:rPr>
              <w:t>ДД</w:t>
            </w:r>
            <w:r w:rsidRPr="001472A1">
              <w:rPr>
                <w:rFonts w:ascii="Times New Roman" w:hAnsi="Times New Roman"/>
                <w:vertAlign w:val="subscript"/>
              </w:rPr>
              <w:t>W,</w:t>
            </w:r>
          </w:p>
          <w:p w14:paraId="178D819A" w14:textId="77777777" w:rsidR="001472A1" w:rsidRPr="001472A1" w:rsidRDefault="001472A1" w:rsidP="001472A1">
            <w:pPr>
              <w:spacing w:after="75"/>
              <w:ind w:firstLine="240"/>
              <w:jc w:val="both"/>
            </w:pPr>
            <w:bookmarkStart w:id="97" w:name="18044"/>
            <w:bookmarkEnd w:id="96"/>
            <w:r w:rsidRPr="001472A1">
              <w:rPr>
                <w:rFonts w:ascii="Times New Roman" w:hAnsi="Times New Roman"/>
                <w:sz w:val="24"/>
              </w:rPr>
              <w:t xml:space="preserve">де Ц </w:t>
            </w:r>
            <w:r w:rsidRPr="001472A1">
              <w:rPr>
                <w:rFonts w:ascii="Times New Roman" w:hAnsi="Times New Roman"/>
                <w:vertAlign w:val="subscript"/>
              </w:rPr>
              <w:t>РДН ф i</w:t>
            </w:r>
            <w:r w:rsidRPr="001472A1">
              <w:rPr>
                <w:rFonts w:ascii="Times New Roman" w:hAnsi="Times New Roman"/>
                <w:sz w:val="24"/>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2AB1B43C" w14:textId="77777777" w:rsidR="001472A1" w:rsidRPr="001472A1" w:rsidRDefault="001472A1" w:rsidP="001472A1">
            <w:pPr>
              <w:spacing w:after="75"/>
              <w:ind w:firstLine="240"/>
              <w:jc w:val="both"/>
            </w:pPr>
            <w:bookmarkStart w:id="98" w:name="18045"/>
            <w:bookmarkEnd w:id="97"/>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коефіцієнт, що враховує граничний відносний обсяг небалансів електричної енергії в i-му місяці звітного року, застосований під час </w:t>
            </w:r>
            <w:r w:rsidRPr="001472A1">
              <w:rPr>
                <w:rFonts w:ascii="Times New Roman" w:hAnsi="Times New Roman"/>
                <w:sz w:val="24"/>
              </w:rPr>
              <w:lastRenderedPageBreak/>
              <w:t>розрахунку встановлених тарифів на послуги з розподілу електричної енергії</w:t>
            </w:r>
            <w:r w:rsidRPr="001472A1">
              <w:rPr>
                <w:rFonts w:ascii="Times New Roman" w:hAnsi="Times New Roman"/>
                <w:b/>
                <w:sz w:val="24"/>
              </w:rPr>
              <w:t>,</w:t>
            </w:r>
            <w:r w:rsidRPr="001472A1">
              <w:rPr>
                <w:rFonts w:ascii="Times New Roman" w:hAnsi="Times New Roman"/>
                <w:sz w:val="24"/>
              </w:rPr>
              <w:t xml:space="preserve"> відносні одиниці;</w:t>
            </w:r>
          </w:p>
          <w:p w14:paraId="7E5C199D" w14:textId="77777777" w:rsidR="001472A1" w:rsidRPr="001472A1" w:rsidRDefault="001472A1" w:rsidP="001472A1">
            <w:pPr>
              <w:spacing w:after="75"/>
              <w:ind w:firstLine="240"/>
              <w:jc w:val="both"/>
            </w:pPr>
            <w:bookmarkStart w:id="99" w:name="18046"/>
            <w:bookmarkEnd w:id="98"/>
            <w:r w:rsidRPr="001472A1">
              <w:rPr>
                <w:rFonts w:ascii="Times New Roman" w:hAnsi="Times New Roman"/>
                <w:sz w:val="24"/>
              </w:rPr>
              <w:t>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2E4FA89A" w14:textId="77777777" w:rsidR="001472A1" w:rsidRPr="001472A1" w:rsidRDefault="001472A1" w:rsidP="001472A1">
            <w:pPr>
              <w:spacing w:after="75"/>
              <w:ind w:firstLine="240"/>
              <w:jc w:val="both"/>
            </w:pPr>
            <w:bookmarkStart w:id="100" w:name="18047"/>
            <w:bookmarkEnd w:id="99"/>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vertAlign w:val="subscript"/>
              </w:rPr>
              <w:t>Ц</w:t>
            </w:r>
            <w:r w:rsidRPr="001472A1">
              <w:rPr>
                <w:rFonts w:ascii="Times New Roman" w:hAnsi="Times New Roman"/>
                <w:sz w:val="24"/>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4103EC7E" w14:textId="77777777" w:rsidR="001472A1" w:rsidRPr="001472A1" w:rsidRDefault="001472A1" w:rsidP="001472A1">
            <w:pPr>
              <w:spacing w:after="75"/>
              <w:ind w:firstLine="240"/>
              <w:jc w:val="both"/>
            </w:pPr>
            <w:bookmarkStart w:id="101" w:name="18048"/>
            <w:bookmarkEnd w:id="100"/>
            <w:r w:rsidRPr="001472A1">
              <w:rPr>
                <w:rFonts w:ascii="Times New Roman" w:hAnsi="Times New Roman"/>
                <w:sz w:val="24"/>
              </w:rPr>
              <w:t xml:space="preserve">Ц </w:t>
            </w:r>
            <w:r w:rsidRPr="001472A1">
              <w:rPr>
                <w:rFonts w:ascii="Times New Roman" w:hAnsi="Times New Roman"/>
                <w:vertAlign w:val="subscript"/>
              </w:rPr>
              <w:t>РДД ф i</w:t>
            </w:r>
            <w:r w:rsidRPr="001472A1">
              <w:rPr>
                <w:rFonts w:ascii="Times New Roman" w:hAnsi="Times New Roman"/>
                <w:sz w:val="24"/>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4E9481BA" w14:textId="77777777" w:rsidR="001472A1" w:rsidRPr="001472A1" w:rsidRDefault="001472A1" w:rsidP="001472A1">
            <w:pPr>
              <w:spacing w:after="75"/>
              <w:ind w:firstLine="240"/>
              <w:jc w:val="both"/>
            </w:pPr>
            <w:bookmarkStart w:id="102" w:name="20821"/>
            <w:bookmarkEnd w:id="101"/>
            <w:r w:rsidRPr="001472A1">
              <w:rPr>
                <w:rFonts w:ascii="Times New Roman" w:hAnsi="Times New Roman"/>
                <w:sz w:val="24"/>
              </w:rPr>
              <w:t>Для цілей розрахунку складова (1 -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приймається рівною нулю у разі, якщо її значення менше нуля.</w:t>
            </w:r>
          </w:p>
          <w:p w14:paraId="3241A240" w14:textId="77777777" w:rsidR="001472A1" w:rsidRPr="001472A1" w:rsidRDefault="001472A1" w:rsidP="001472A1">
            <w:pPr>
              <w:spacing w:after="75"/>
              <w:ind w:firstLine="240"/>
              <w:jc w:val="both"/>
            </w:pPr>
            <w:bookmarkStart w:id="103" w:name="20822"/>
            <w:bookmarkEnd w:id="102"/>
            <w:r w:rsidRPr="001472A1">
              <w:rPr>
                <w:rFonts w:ascii="Times New Roman" w:hAnsi="Times New Roman"/>
                <w:sz w:val="24"/>
              </w:rPr>
              <w:t>Починаючи з 2023 року:</w:t>
            </w:r>
          </w:p>
          <w:p w14:paraId="1AFA3763" w14:textId="77777777" w:rsidR="001472A1" w:rsidRPr="001472A1" w:rsidRDefault="001472A1" w:rsidP="001472A1">
            <w:pPr>
              <w:spacing w:after="75"/>
              <w:ind w:firstLine="240"/>
              <w:jc w:val="both"/>
            </w:pPr>
            <w:bookmarkStart w:id="104" w:name="20823"/>
            <w:bookmarkEnd w:id="103"/>
            <w:r w:rsidRPr="001472A1">
              <w:rPr>
                <w:rFonts w:ascii="Times New Roman" w:hAnsi="Times New Roman"/>
                <w:sz w:val="24"/>
              </w:rPr>
              <w:t xml:space="preserve">Ц </w:t>
            </w:r>
            <w:r w:rsidRPr="001472A1">
              <w:rPr>
                <w:rFonts w:ascii="Times New Roman" w:hAnsi="Times New Roman"/>
                <w:vertAlign w:val="subscript"/>
              </w:rPr>
              <w:t>ТВЕ і</w:t>
            </w:r>
            <w:r w:rsidRPr="001472A1">
              <w:rPr>
                <w:rFonts w:ascii="Times New Roman" w:hAnsi="Times New Roman"/>
                <w:sz w:val="24"/>
              </w:rPr>
              <w:t xml:space="preserve"> = Ц </w:t>
            </w:r>
            <w:r w:rsidRPr="001472A1">
              <w:rPr>
                <w:rFonts w:ascii="Times New Roman" w:hAnsi="Times New Roman"/>
                <w:vertAlign w:val="subscript"/>
              </w:rPr>
              <w:t>РДН ф і</w:t>
            </w:r>
            <w:r w:rsidRPr="001472A1">
              <w:rPr>
                <w:rFonts w:ascii="Times New Roman" w:hAnsi="Times New Roman"/>
                <w:sz w:val="24"/>
              </w:rPr>
              <w:t xml:space="preserve"> × (1 - </w:t>
            </w:r>
            <w:proofErr w:type="spellStart"/>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sz w:val="24"/>
              </w:rPr>
              <w:t>w</w:t>
            </w:r>
            <w:proofErr w:type="spellEnd"/>
            <w:r w:rsidRPr="001472A1">
              <w:rPr>
                <w:rFonts w:ascii="Times New Roman" w:hAnsi="Times New Roman"/>
                <w:sz w:val="24"/>
              </w:rPr>
              <w:t xml:space="preserve"> - </w:t>
            </w:r>
            <w:proofErr w:type="spellStart"/>
            <w:r w:rsidRPr="001472A1">
              <w:rPr>
                <w:rFonts w:ascii="Times New Roman" w:hAnsi="Times New Roman"/>
                <w:sz w:val="24"/>
              </w:rPr>
              <w:t>К</w:t>
            </w:r>
            <w:r w:rsidRPr="001472A1">
              <w:rPr>
                <w:rFonts w:ascii="Times New Roman" w:hAnsi="Times New Roman"/>
                <w:vertAlign w:val="superscript"/>
              </w:rPr>
              <w:t>ДД</w:t>
            </w:r>
            <w:r w:rsidRPr="001472A1">
              <w:rPr>
                <w:rFonts w:ascii="Times New Roman" w:hAnsi="Times New Roman"/>
                <w:sz w:val="24"/>
              </w:rPr>
              <w:t>w</w:t>
            </w:r>
            <w:proofErr w:type="spellEnd"/>
            <w:r w:rsidRPr="001472A1">
              <w:rPr>
                <w:rFonts w:ascii="Times New Roman" w:hAnsi="Times New Roman"/>
                <w:sz w:val="24"/>
              </w:rPr>
              <w:t xml:space="preserve">) + Ц </w:t>
            </w:r>
            <w:r w:rsidRPr="001472A1">
              <w:rPr>
                <w:rFonts w:ascii="Times New Roman" w:hAnsi="Times New Roman"/>
                <w:vertAlign w:val="subscript"/>
              </w:rPr>
              <w:t>РДН ф і</w:t>
            </w:r>
            <w:r w:rsidRPr="001472A1">
              <w:rPr>
                <w:rFonts w:ascii="Times New Roman" w:hAnsi="Times New Roman"/>
                <w:sz w:val="24"/>
              </w:rPr>
              <w:t xml:space="preserve"> × (1 + </w:t>
            </w:r>
            <w:proofErr w:type="spellStart"/>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sz w:val="24"/>
              </w:rPr>
              <w:t>ц</w:t>
            </w:r>
            <w:proofErr w:type="spellEnd"/>
            <w:r w:rsidRPr="001472A1">
              <w:rPr>
                <w:rFonts w:ascii="Times New Roman" w:hAnsi="Times New Roman"/>
                <w:sz w:val="24"/>
              </w:rPr>
              <w:t xml:space="preserve">) × </w:t>
            </w:r>
            <w:proofErr w:type="spellStart"/>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sz w:val="24"/>
              </w:rPr>
              <w:t>w</w:t>
            </w:r>
            <w:proofErr w:type="spellEnd"/>
            <w:r w:rsidRPr="001472A1">
              <w:rPr>
                <w:rFonts w:ascii="Times New Roman" w:hAnsi="Times New Roman"/>
                <w:sz w:val="24"/>
              </w:rPr>
              <w:t xml:space="preserve"> + Ц </w:t>
            </w:r>
            <w:r w:rsidRPr="001472A1">
              <w:rPr>
                <w:rFonts w:ascii="Times New Roman" w:hAnsi="Times New Roman"/>
                <w:vertAlign w:val="subscript"/>
              </w:rPr>
              <w:t>РДД ф і</w:t>
            </w:r>
            <w:r w:rsidRPr="001472A1">
              <w:rPr>
                <w:rFonts w:ascii="Times New Roman" w:hAnsi="Times New Roman"/>
                <w:sz w:val="24"/>
              </w:rPr>
              <w:t xml:space="preserve"> × К × </w:t>
            </w:r>
            <w:proofErr w:type="spellStart"/>
            <w:r w:rsidRPr="001472A1">
              <w:rPr>
                <w:rFonts w:ascii="Times New Roman" w:hAnsi="Times New Roman"/>
                <w:sz w:val="24"/>
              </w:rPr>
              <w:t>К</w:t>
            </w:r>
            <w:r w:rsidRPr="001472A1">
              <w:rPr>
                <w:rFonts w:ascii="Times New Roman" w:hAnsi="Times New Roman"/>
                <w:vertAlign w:val="superscript"/>
              </w:rPr>
              <w:t>ДД</w:t>
            </w:r>
            <w:r w:rsidRPr="001472A1">
              <w:rPr>
                <w:rFonts w:ascii="Times New Roman" w:hAnsi="Times New Roman"/>
                <w:sz w:val="24"/>
              </w:rPr>
              <w:t>w</w:t>
            </w:r>
            <w:proofErr w:type="spellEnd"/>
            <w:r w:rsidRPr="001472A1">
              <w:rPr>
                <w:rFonts w:ascii="Times New Roman" w:hAnsi="Times New Roman"/>
                <w:sz w:val="24"/>
              </w:rPr>
              <w:t>;</w:t>
            </w:r>
          </w:p>
          <w:p w14:paraId="0C2B850B" w14:textId="77777777" w:rsidR="001472A1" w:rsidRPr="001472A1" w:rsidRDefault="001472A1" w:rsidP="001472A1">
            <w:pPr>
              <w:spacing w:after="75"/>
              <w:ind w:firstLine="240"/>
              <w:jc w:val="both"/>
            </w:pPr>
            <w:bookmarkStart w:id="105" w:name="20824"/>
            <w:bookmarkEnd w:id="104"/>
            <w:r w:rsidRPr="001472A1">
              <w:rPr>
                <w:rFonts w:ascii="Times New Roman" w:hAnsi="Times New Roman"/>
                <w:sz w:val="24"/>
              </w:rPr>
              <w:t>де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xml:space="preserve"> та К</w:t>
            </w:r>
            <w:r w:rsidRPr="001472A1">
              <w:rPr>
                <w:rFonts w:ascii="Times New Roman" w:hAnsi="Times New Roman"/>
                <w:vertAlign w:val="superscript"/>
              </w:rPr>
              <w:t>БР</w:t>
            </w:r>
            <w:r w:rsidRPr="001472A1">
              <w:rPr>
                <w:rFonts w:ascii="Times New Roman" w:hAnsi="Times New Roman"/>
                <w:vertAlign w:val="subscript"/>
              </w:rPr>
              <w:t>Ц</w:t>
            </w:r>
            <w:r w:rsidRPr="001472A1">
              <w:rPr>
                <w:rFonts w:ascii="Times New Roman" w:hAnsi="Times New Roman"/>
                <w:sz w:val="24"/>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7C9BB3AF" w14:textId="65A9E7F2" w:rsidR="001472A1" w:rsidRPr="00116FC7" w:rsidRDefault="001472A1" w:rsidP="00116FC7">
            <w:pPr>
              <w:ind w:firstLine="240"/>
              <w:jc w:val="both"/>
              <w:rPr>
                <w:rFonts w:ascii="Times New Roman" w:hAnsi="Times New Roman" w:cs="Times New Roman"/>
                <w:sz w:val="24"/>
                <w:szCs w:val="24"/>
              </w:rPr>
            </w:pPr>
            <w:bookmarkStart w:id="106" w:name="20825"/>
            <w:bookmarkEnd w:id="105"/>
            <w:r w:rsidRPr="001472A1">
              <w:rPr>
                <w:rFonts w:ascii="Times New Roman" w:hAnsi="Times New Roman"/>
                <w:sz w:val="24"/>
              </w:rPr>
              <w:t>Ц</w:t>
            </w:r>
            <w:r w:rsidRPr="001472A1">
              <w:rPr>
                <w:rFonts w:ascii="Times New Roman" w:hAnsi="Times New Roman"/>
                <w:vertAlign w:val="subscript"/>
              </w:rPr>
              <w:t>РДД ф і</w:t>
            </w:r>
            <w:r w:rsidRPr="001472A1">
              <w:rPr>
                <w:rFonts w:ascii="Times New Roman" w:hAnsi="Times New Roman"/>
                <w:sz w:val="24"/>
              </w:rPr>
              <w:t xml:space="preserve"> - місячний індекс базового навантаження на ринку двосторонніх договорів в і-му місяці звітного року, який оприлюднюється ТОВ "</w:t>
            </w:r>
            <w:r w:rsidRPr="00116FC7">
              <w:rPr>
                <w:rFonts w:ascii="Times New Roman" w:hAnsi="Times New Roman" w:cs="Times New Roman"/>
                <w:sz w:val="24"/>
                <w:szCs w:val="24"/>
              </w:rPr>
              <w:t xml:space="preserve">Українська енергетична біржа" на його офіційному </w:t>
            </w:r>
            <w:proofErr w:type="spellStart"/>
            <w:r w:rsidRPr="00116FC7">
              <w:rPr>
                <w:rFonts w:ascii="Times New Roman" w:hAnsi="Times New Roman" w:cs="Times New Roman"/>
                <w:sz w:val="24"/>
                <w:szCs w:val="24"/>
              </w:rPr>
              <w:t>вебсайті</w:t>
            </w:r>
            <w:proofErr w:type="spellEnd"/>
            <w:r w:rsidRPr="00116FC7">
              <w:rPr>
                <w:rFonts w:ascii="Times New Roman" w:hAnsi="Times New Roman" w:cs="Times New Roman"/>
                <w:sz w:val="24"/>
                <w:szCs w:val="24"/>
              </w:rPr>
              <w:t xml:space="preserve"> в мережі Інтернет, грн/</w:t>
            </w:r>
            <w:proofErr w:type="spellStart"/>
            <w:r w:rsidRPr="00116FC7">
              <w:rPr>
                <w:rFonts w:ascii="Times New Roman" w:hAnsi="Times New Roman" w:cs="Times New Roman"/>
                <w:sz w:val="24"/>
                <w:szCs w:val="24"/>
              </w:rPr>
              <w:t>МВт·год</w:t>
            </w:r>
            <w:proofErr w:type="spellEnd"/>
            <w:r w:rsidRPr="00116FC7">
              <w:rPr>
                <w:rFonts w:ascii="Times New Roman" w:hAnsi="Times New Roman" w:cs="Times New Roman"/>
                <w:sz w:val="24"/>
                <w:szCs w:val="24"/>
              </w:rPr>
              <w:t>;</w:t>
            </w:r>
          </w:p>
          <w:p w14:paraId="42341DBC" w14:textId="6CE0AA95" w:rsidR="00116FC7" w:rsidRPr="00116FC7" w:rsidRDefault="00116FC7" w:rsidP="00116FC7">
            <w:pPr>
              <w:ind w:firstLine="240"/>
              <w:jc w:val="both"/>
              <w:rPr>
                <w:rFonts w:ascii="Times New Roman" w:hAnsi="Times New Roman" w:cs="Times New Roman"/>
                <w:sz w:val="24"/>
                <w:szCs w:val="24"/>
              </w:rPr>
            </w:pPr>
          </w:p>
          <w:p w14:paraId="01FCF97D" w14:textId="64685FFA" w:rsidR="00116FC7" w:rsidRPr="00116FC7" w:rsidRDefault="00116FC7" w:rsidP="00116FC7">
            <w:pPr>
              <w:ind w:firstLine="240"/>
              <w:jc w:val="both"/>
              <w:rPr>
                <w:rFonts w:ascii="Times New Roman" w:hAnsi="Times New Roman" w:cs="Times New Roman"/>
                <w:sz w:val="24"/>
                <w:szCs w:val="24"/>
              </w:rPr>
            </w:pPr>
          </w:p>
          <w:p w14:paraId="1336F0BC" w14:textId="1117E78E" w:rsidR="00116FC7" w:rsidRPr="00116FC7" w:rsidRDefault="00116FC7" w:rsidP="00116FC7">
            <w:pPr>
              <w:ind w:firstLine="240"/>
              <w:jc w:val="both"/>
              <w:rPr>
                <w:rFonts w:ascii="Times New Roman" w:hAnsi="Times New Roman" w:cs="Times New Roman"/>
                <w:sz w:val="24"/>
                <w:szCs w:val="24"/>
              </w:rPr>
            </w:pPr>
          </w:p>
          <w:p w14:paraId="59F003C7" w14:textId="77777777" w:rsidR="00116FC7" w:rsidRPr="00116FC7" w:rsidRDefault="00116FC7" w:rsidP="00116FC7">
            <w:pPr>
              <w:ind w:firstLine="240"/>
              <w:jc w:val="both"/>
              <w:rPr>
                <w:rFonts w:ascii="Times New Roman" w:hAnsi="Times New Roman" w:cs="Times New Roman"/>
                <w:sz w:val="24"/>
                <w:szCs w:val="24"/>
              </w:rPr>
            </w:pPr>
          </w:p>
          <w:p w14:paraId="7C4945B8" w14:textId="77777777" w:rsidR="001472A1" w:rsidRPr="001472A1" w:rsidRDefault="001472A1" w:rsidP="00116FC7">
            <w:pPr>
              <w:ind w:firstLine="240"/>
              <w:jc w:val="both"/>
            </w:pPr>
            <w:bookmarkStart w:id="107" w:name="20826"/>
            <w:bookmarkEnd w:id="106"/>
            <w:r w:rsidRPr="00116FC7">
              <w:rPr>
                <w:rFonts w:ascii="Times New Roman" w:hAnsi="Times New Roman" w:cs="Times New Roman"/>
                <w:sz w:val="24"/>
                <w:szCs w:val="24"/>
              </w:rPr>
              <w:t>К - коефіцієнт, що враховує відхилення фактичної середньозваженої ціни купівлі</w:t>
            </w:r>
            <w:r w:rsidRPr="001472A1">
              <w:rPr>
                <w:rFonts w:ascii="Times New Roman" w:hAnsi="Times New Roman"/>
                <w:sz w:val="24"/>
              </w:rPr>
              <w:t xml:space="preserve">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22049B82" w14:textId="77777777" w:rsidR="001472A1" w:rsidRPr="001472A1" w:rsidRDefault="001472A1" w:rsidP="001472A1">
            <w:pPr>
              <w:spacing w:after="75"/>
              <w:ind w:firstLine="240"/>
              <w:jc w:val="both"/>
            </w:pPr>
            <w:bookmarkStart w:id="108" w:name="20827"/>
            <w:bookmarkEnd w:id="107"/>
            <w:r w:rsidRPr="001472A1">
              <w:rPr>
                <w:rFonts w:ascii="Times New Roman" w:hAnsi="Times New Roman"/>
                <w:sz w:val="24"/>
              </w:rPr>
              <w:t xml:space="preserve">К = Ц </w:t>
            </w:r>
            <w:r w:rsidRPr="001472A1">
              <w:rPr>
                <w:rFonts w:ascii="Times New Roman" w:hAnsi="Times New Roman"/>
                <w:vertAlign w:val="subscript"/>
              </w:rPr>
              <w:t>РДН ф і</w:t>
            </w:r>
            <w:r w:rsidRPr="001472A1">
              <w:rPr>
                <w:rFonts w:ascii="Times New Roman" w:hAnsi="Times New Roman"/>
                <w:sz w:val="24"/>
              </w:rPr>
              <w:t xml:space="preserve"> / Ц </w:t>
            </w:r>
            <w:r w:rsidRPr="001472A1">
              <w:rPr>
                <w:rFonts w:ascii="Times New Roman" w:hAnsi="Times New Roman"/>
                <w:vertAlign w:val="subscript"/>
              </w:rPr>
              <w:t>база і</w:t>
            </w:r>
            <w:r w:rsidRPr="001472A1">
              <w:rPr>
                <w:rFonts w:ascii="Times New Roman" w:hAnsi="Times New Roman"/>
                <w:sz w:val="24"/>
              </w:rPr>
              <w:t>;</w:t>
            </w:r>
          </w:p>
          <w:p w14:paraId="25CE80DA" w14:textId="77777777" w:rsidR="001472A1" w:rsidRPr="001472A1" w:rsidRDefault="001472A1" w:rsidP="001472A1">
            <w:pPr>
              <w:spacing w:after="75"/>
              <w:ind w:firstLine="240"/>
              <w:jc w:val="both"/>
            </w:pPr>
            <w:bookmarkStart w:id="109" w:name="20828"/>
            <w:bookmarkEnd w:id="108"/>
            <w:r w:rsidRPr="001472A1">
              <w:rPr>
                <w:rFonts w:ascii="Times New Roman" w:hAnsi="Times New Roman"/>
                <w:sz w:val="24"/>
              </w:rPr>
              <w:t xml:space="preserve">Ц </w:t>
            </w:r>
            <w:r w:rsidRPr="001472A1">
              <w:rPr>
                <w:rFonts w:ascii="Times New Roman" w:hAnsi="Times New Roman"/>
                <w:vertAlign w:val="subscript"/>
              </w:rPr>
              <w:t>база і</w:t>
            </w:r>
            <w:r w:rsidRPr="001472A1">
              <w:rPr>
                <w:rFonts w:ascii="Times New Roman" w:hAnsi="Times New Roman"/>
                <w:sz w:val="24"/>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1472A1">
              <w:rPr>
                <w:rFonts w:ascii="Times New Roman" w:hAnsi="Times New Roman"/>
                <w:sz w:val="24"/>
              </w:rPr>
              <w:t>вебсайті</w:t>
            </w:r>
            <w:proofErr w:type="spellEnd"/>
            <w:r w:rsidRPr="001472A1">
              <w:rPr>
                <w:rFonts w:ascii="Times New Roman" w:hAnsi="Times New Roman"/>
                <w:sz w:val="24"/>
              </w:rPr>
              <w:t xml:space="preserve"> в мережі Інтернет, грн/МВт.</w:t>
            </w:r>
          </w:p>
          <w:p w14:paraId="7E31EEA1" w14:textId="77777777" w:rsidR="001472A1" w:rsidRPr="001472A1" w:rsidRDefault="001472A1" w:rsidP="001472A1">
            <w:pPr>
              <w:spacing w:after="75"/>
              <w:ind w:firstLine="240"/>
              <w:jc w:val="both"/>
            </w:pPr>
            <w:bookmarkStart w:id="110" w:name="19200"/>
            <w:bookmarkEnd w:id="109"/>
            <w:r w:rsidRPr="001472A1">
              <w:rPr>
                <w:rFonts w:ascii="Times New Roman" w:hAnsi="Times New Roman"/>
                <w:sz w:val="24"/>
              </w:rPr>
              <w:t>Якщо порушена схема нормального режиму роботи системи розподілу / змінені обсяги розподілу/надходження/віддачі/транзиту електричної енергії тощо внаслідок введення воєнного стану та/або бойових дій в Україні та за умови, що</w:t>
            </w:r>
          </w:p>
          <w:p w14:paraId="7B4B78B4" w14:textId="1B3221E1" w:rsidR="001472A1" w:rsidRPr="001472A1" w:rsidRDefault="001472A1" w:rsidP="001472A1">
            <w:pPr>
              <w:spacing w:after="75"/>
              <w:jc w:val="center"/>
            </w:pPr>
            <w:bookmarkStart w:id="111" w:name="19201"/>
            <w:bookmarkEnd w:id="110"/>
            <w:r w:rsidRPr="001472A1">
              <w:rPr>
                <w:rFonts w:ascii="Times New Roman" w:hAnsi="Times New Roman"/>
                <w:sz w:val="24"/>
              </w:rPr>
              <w:t xml:space="preserve"> </w:t>
            </w:r>
            <w:bookmarkStart w:id="112" w:name="19202"/>
            <w:bookmarkEnd w:id="111"/>
            <w:r w:rsidRPr="001472A1">
              <w:rPr>
                <w:noProof/>
              </w:rPr>
              <w:drawing>
                <wp:inline distT="0" distB="0" distL="0" distR="0" wp14:anchorId="266AFD0A" wp14:editId="0F0A5A2D">
                  <wp:extent cx="2276475" cy="297693"/>
                  <wp:effectExtent l="0" t="0" r="0" b="762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6556" cy="310781"/>
                          </a:xfrm>
                          <a:prstGeom prst="rect">
                            <a:avLst/>
                          </a:prstGeom>
                        </pic:spPr>
                      </pic:pic>
                    </a:graphicData>
                  </a:graphic>
                </wp:inline>
              </w:drawing>
            </w:r>
            <w:r w:rsidRPr="001472A1">
              <w:rPr>
                <w:rFonts w:ascii="Times New Roman" w:hAnsi="Times New Roman"/>
                <w:sz w:val="24"/>
              </w:rPr>
              <w:t>,</w:t>
            </w:r>
          </w:p>
          <w:p w14:paraId="753BE8C1" w14:textId="6D4A6AAF" w:rsidR="001472A1" w:rsidRPr="001472A1" w:rsidRDefault="001472A1" w:rsidP="001472A1">
            <w:pPr>
              <w:spacing w:after="75"/>
              <w:jc w:val="center"/>
            </w:pPr>
            <w:bookmarkStart w:id="113" w:name="19203"/>
            <w:bookmarkEnd w:id="112"/>
            <w:r w:rsidRPr="001472A1">
              <w:rPr>
                <w:rFonts w:ascii="Times New Roman" w:hAnsi="Times New Roman"/>
                <w:sz w:val="24"/>
              </w:rPr>
              <w:t xml:space="preserve"> </w:t>
            </w:r>
            <w:bookmarkStart w:id="114" w:name="19204"/>
            <w:bookmarkEnd w:id="113"/>
            <w:r w:rsidRPr="001472A1">
              <w:rPr>
                <w:rFonts w:ascii="Times New Roman" w:hAnsi="Times New Roman"/>
                <w:sz w:val="24"/>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61BA964B" w14:textId="3958FA6A" w:rsidR="000B7670" w:rsidRPr="001472A1" w:rsidRDefault="001472A1" w:rsidP="001472A1">
            <w:pPr>
              <w:spacing w:after="75"/>
              <w:ind w:firstLine="240"/>
              <w:jc w:val="both"/>
            </w:pPr>
            <w:bookmarkStart w:id="115" w:name="19205"/>
            <w:bookmarkEnd w:id="114"/>
            <w:r w:rsidRPr="001472A1">
              <w:rPr>
                <w:rFonts w:ascii="Times New Roman" w:hAnsi="Times New Roman"/>
                <w:sz w:val="24"/>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0E6B133F" w14:textId="258B8B6D" w:rsidR="001472A1" w:rsidRPr="000B7670" w:rsidRDefault="001472A1" w:rsidP="000B7670">
            <w:pPr>
              <w:ind w:firstLine="240"/>
              <w:jc w:val="both"/>
              <w:rPr>
                <w:rFonts w:ascii="Times New Roman" w:hAnsi="Times New Roman" w:cs="Times New Roman"/>
                <w:sz w:val="24"/>
                <w:szCs w:val="24"/>
              </w:rPr>
            </w:pPr>
            <w:bookmarkStart w:id="116" w:name="19206"/>
            <w:bookmarkEnd w:id="115"/>
            <w:r w:rsidRPr="001472A1">
              <w:rPr>
                <w:rFonts w:ascii="Times New Roman" w:hAnsi="Times New Roman"/>
                <w:sz w:val="24"/>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розподілу/надходження/віддачі/транзиту електричної енергії тощо за 2022 - 2024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w:t>
            </w:r>
            <w:r w:rsidRPr="001472A1">
              <w:rPr>
                <w:rFonts w:ascii="Times New Roman" w:hAnsi="Times New Roman"/>
                <w:sz w:val="24"/>
              </w:rPr>
              <w:lastRenderedPageBreak/>
              <w:t xml:space="preserve">відповідності вихідних даних для проведення таких розрахунків, фактичному режиму роботи мережі у 2022 - 2024 роках (з 2024 року за умови, що величина загального обсягу віддачі електричної енергії (у тис. </w:t>
            </w:r>
            <w:proofErr w:type="spellStart"/>
            <w:r w:rsidRPr="001472A1">
              <w:rPr>
                <w:rFonts w:ascii="Times New Roman" w:hAnsi="Times New Roman"/>
                <w:sz w:val="24"/>
              </w:rPr>
              <w:t>кВт·год</w:t>
            </w:r>
            <w:proofErr w:type="spellEnd"/>
            <w:r w:rsidRPr="001472A1">
              <w:rPr>
                <w:rFonts w:ascii="Times New Roman" w:hAnsi="Times New Roman"/>
                <w:sz w:val="24"/>
              </w:rPr>
              <w:t xml:space="preserve">), що визначена за фактичними показами розрахункових засобів обліку електроенергії за звітний рік, складає не менше ніж 97 % від суми величин загального обсягу віддачі електричної енергії (у тис. </w:t>
            </w:r>
            <w:proofErr w:type="spellStart"/>
            <w:r w:rsidRPr="001472A1">
              <w:rPr>
                <w:rFonts w:ascii="Times New Roman" w:hAnsi="Times New Roman"/>
                <w:sz w:val="24"/>
              </w:rPr>
              <w:t>кВт·год</w:t>
            </w:r>
            <w:proofErr w:type="spellEnd"/>
            <w:r w:rsidRPr="001472A1">
              <w:rPr>
                <w:rFonts w:ascii="Times New Roman" w:hAnsi="Times New Roman"/>
                <w:sz w:val="24"/>
              </w:rPr>
              <w:t xml:space="preserve">), що наведені у формі звітності N 5 НКРЕКП-моніторинг-розподіл (місячна) за відповідний звітний рік). Для операторів систем розподілу, частина основних фондів яких знаходиться на територіях, на яких ведуться (велися) бойові дії або тимчасово окупованих російською федерацією, перелік яких наведено в додатку 30 до Порядку N 1175, за умови </w:t>
            </w:r>
            <w:r w:rsidRPr="000B7670">
              <w:rPr>
                <w:rFonts w:ascii="Times New Roman" w:hAnsi="Times New Roman" w:cs="Times New Roman"/>
                <w:sz w:val="24"/>
                <w:szCs w:val="24"/>
              </w:rPr>
              <w:t>належного обґрунтування може бути застосований інший відсоток фактичних показів розрахункових засобів обліку електроенергії.).</w:t>
            </w:r>
          </w:p>
          <w:p w14:paraId="7570A30B" w14:textId="4A919BB3" w:rsidR="000B7670" w:rsidRPr="000B7670" w:rsidRDefault="000B7670" w:rsidP="000B7670">
            <w:pPr>
              <w:ind w:firstLine="240"/>
              <w:jc w:val="both"/>
              <w:rPr>
                <w:rFonts w:ascii="Times New Roman" w:hAnsi="Times New Roman" w:cs="Times New Roman"/>
                <w:sz w:val="24"/>
                <w:szCs w:val="24"/>
              </w:rPr>
            </w:pPr>
          </w:p>
          <w:p w14:paraId="4F0F0335" w14:textId="757E231F" w:rsidR="000B7670" w:rsidRDefault="000B7670" w:rsidP="000B7670">
            <w:pPr>
              <w:ind w:firstLine="240"/>
              <w:jc w:val="both"/>
              <w:rPr>
                <w:rFonts w:ascii="Times New Roman" w:hAnsi="Times New Roman" w:cs="Times New Roman"/>
                <w:sz w:val="24"/>
                <w:szCs w:val="24"/>
              </w:rPr>
            </w:pPr>
          </w:p>
          <w:p w14:paraId="03164F5B" w14:textId="77777777" w:rsidR="001D1F44" w:rsidRPr="000B7670" w:rsidRDefault="001D1F44" w:rsidP="000B7670">
            <w:pPr>
              <w:ind w:firstLine="240"/>
              <w:jc w:val="both"/>
              <w:rPr>
                <w:rFonts w:ascii="Times New Roman" w:hAnsi="Times New Roman" w:cs="Times New Roman"/>
                <w:sz w:val="24"/>
                <w:szCs w:val="24"/>
              </w:rPr>
            </w:pPr>
          </w:p>
          <w:p w14:paraId="7738B340" w14:textId="7B81458C" w:rsidR="000B7670" w:rsidRDefault="000B7670" w:rsidP="000B7670">
            <w:pPr>
              <w:ind w:firstLine="240"/>
              <w:jc w:val="both"/>
              <w:rPr>
                <w:rFonts w:ascii="Times New Roman" w:hAnsi="Times New Roman" w:cs="Times New Roman"/>
                <w:sz w:val="24"/>
                <w:szCs w:val="24"/>
              </w:rPr>
            </w:pPr>
          </w:p>
          <w:p w14:paraId="2956191A" w14:textId="77777777" w:rsidR="000B7670" w:rsidRPr="000B7670" w:rsidRDefault="000B7670" w:rsidP="000B7670">
            <w:pPr>
              <w:ind w:firstLine="240"/>
              <w:jc w:val="both"/>
              <w:rPr>
                <w:rFonts w:ascii="Times New Roman" w:hAnsi="Times New Roman" w:cs="Times New Roman"/>
                <w:sz w:val="24"/>
                <w:szCs w:val="24"/>
              </w:rPr>
            </w:pPr>
          </w:p>
          <w:p w14:paraId="7A86F5BF" w14:textId="77777777" w:rsidR="000B7670" w:rsidRPr="000B7670" w:rsidRDefault="000B7670" w:rsidP="000B7670">
            <w:pPr>
              <w:ind w:firstLine="240"/>
              <w:jc w:val="both"/>
              <w:rPr>
                <w:rFonts w:ascii="Times New Roman" w:hAnsi="Times New Roman" w:cs="Times New Roman"/>
                <w:sz w:val="24"/>
                <w:szCs w:val="24"/>
              </w:rPr>
            </w:pPr>
          </w:p>
          <w:p w14:paraId="3CCE0931" w14:textId="77777777" w:rsidR="001472A1" w:rsidRPr="000B7670" w:rsidRDefault="001472A1" w:rsidP="000B7670">
            <w:pPr>
              <w:jc w:val="center"/>
              <w:rPr>
                <w:rFonts w:ascii="Times New Roman" w:hAnsi="Times New Roman" w:cs="Times New Roman"/>
                <w:sz w:val="24"/>
                <w:szCs w:val="24"/>
              </w:rPr>
            </w:pPr>
            <w:bookmarkStart w:id="117" w:name="19208"/>
            <w:bookmarkEnd w:id="116"/>
            <w:r w:rsidRPr="000B7670">
              <w:rPr>
                <w:rFonts w:ascii="Times New Roman" w:hAnsi="Times New Roman" w:cs="Times New Roman"/>
                <w:sz w:val="24"/>
                <w:szCs w:val="24"/>
              </w:rPr>
              <w:t>Д</w:t>
            </w:r>
            <w:r w:rsidRPr="000B7670">
              <w:rPr>
                <w:rFonts w:ascii="Times New Roman" w:hAnsi="Times New Roman" w:cs="Times New Roman"/>
                <w:sz w:val="24"/>
                <w:szCs w:val="24"/>
                <w:vertAlign w:val="subscript"/>
              </w:rPr>
              <w:t xml:space="preserve">ТВЕ </w:t>
            </w:r>
            <w:proofErr w:type="spellStart"/>
            <w:r w:rsidRPr="000B7670">
              <w:rPr>
                <w:rFonts w:ascii="Times New Roman" w:hAnsi="Times New Roman" w:cs="Times New Roman"/>
                <w:sz w:val="24"/>
                <w:szCs w:val="24"/>
                <w:vertAlign w:val="subscript"/>
              </w:rPr>
              <w:t>нф</w:t>
            </w:r>
            <w:proofErr w:type="spellEnd"/>
            <w:r w:rsidRPr="000B7670">
              <w:rPr>
                <w:rFonts w:ascii="Times New Roman" w:hAnsi="Times New Roman" w:cs="Times New Roman"/>
                <w:sz w:val="24"/>
                <w:szCs w:val="24"/>
                <w:vertAlign w:val="subscript"/>
              </w:rPr>
              <w:t xml:space="preserve"> і</w:t>
            </w:r>
            <w:r w:rsidRPr="000B7670">
              <w:rPr>
                <w:rFonts w:ascii="Times New Roman" w:hAnsi="Times New Roman" w:cs="Times New Roman"/>
                <w:sz w:val="24"/>
                <w:szCs w:val="24"/>
              </w:rPr>
              <w:t xml:space="preserve"> за 2022 - 2024 роки визначається за формулою</w:t>
            </w:r>
          </w:p>
          <w:p w14:paraId="47436435" w14:textId="77777777" w:rsidR="001472A1" w:rsidRPr="001472A1" w:rsidRDefault="001472A1" w:rsidP="001472A1">
            <w:pPr>
              <w:spacing w:after="75"/>
              <w:jc w:val="center"/>
            </w:pPr>
            <w:bookmarkStart w:id="118" w:name="24420"/>
            <w:bookmarkEnd w:id="117"/>
            <w:r w:rsidRPr="001472A1">
              <w:rPr>
                <w:rFonts w:ascii="Times New Roman" w:hAnsi="Times New Roman"/>
                <w:sz w:val="24"/>
              </w:rPr>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і</w:t>
            </w:r>
            <w:r w:rsidRPr="001472A1">
              <w:rPr>
                <w:rFonts w:ascii="Times New Roman" w:hAnsi="Times New Roman"/>
                <w:sz w:val="24"/>
              </w:rPr>
              <w:t xml:space="preserve"> = (О</w:t>
            </w:r>
            <w:r w:rsidRPr="001472A1">
              <w:rPr>
                <w:rFonts w:ascii="Times New Roman" w:hAnsi="Times New Roman"/>
                <w:vertAlign w:val="subscript"/>
              </w:rPr>
              <w:t>ТВЕ ф і</w:t>
            </w:r>
            <w:r w:rsidRPr="001472A1">
              <w:rPr>
                <w:rFonts w:ascii="Times New Roman" w:hAnsi="Times New Roman"/>
                <w:sz w:val="24"/>
              </w:rPr>
              <w:t xml:space="preserve"> - О</w:t>
            </w:r>
            <w:r w:rsidRPr="001472A1">
              <w:rPr>
                <w:rFonts w:ascii="Times New Roman" w:hAnsi="Times New Roman"/>
                <w:vertAlign w:val="subscript"/>
              </w:rPr>
              <w:t>ТВЕ он і</w:t>
            </w:r>
            <w:r w:rsidRPr="001472A1">
              <w:rPr>
                <w:rFonts w:ascii="Times New Roman" w:hAnsi="Times New Roman"/>
                <w:sz w:val="24"/>
              </w:rPr>
              <w:t>) x Ц</w:t>
            </w:r>
            <w:r w:rsidRPr="001472A1">
              <w:rPr>
                <w:rFonts w:ascii="Times New Roman" w:hAnsi="Times New Roman"/>
                <w:vertAlign w:val="subscript"/>
              </w:rPr>
              <w:t>ТВЕ і</w:t>
            </w:r>
            <w:r w:rsidRPr="001472A1">
              <w:rPr>
                <w:rFonts w:ascii="Times New Roman" w:hAnsi="Times New Roman"/>
                <w:sz w:val="24"/>
              </w:rPr>
              <w:t>,</w:t>
            </w:r>
          </w:p>
          <w:p w14:paraId="7F682310" w14:textId="77777777" w:rsidR="001472A1" w:rsidRPr="001472A1" w:rsidRDefault="001472A1" w:rsidP="001472A1">
            <w:pPr>
              <w:spacing w:after="75"/>
              <w:ind w:firstLine="240"/>
              <w:jc w:val="both"/>
            </w:pPr>
            <w:bookmarkStart w:id="119" w:name="19209"/>
            <w:bookmarkEnd w:id="118"/>
            <w:r w:rsidRPr="001472A1">
              <w:rPr>
                <w:rFonts w:ascii="Times New Roman" w:hAnsi="Times New Roman"/>
                <w:sz w:val="24"/>
              </w:rPr>
              <w:t>де О</w:t>
            </w:r>
            <w:r w:rsidRPr="001472A1">
              <w:rPr>
                <w:rFonts w:ascii="Times New Roman" w:hAnsi="Times New Roman"/>
                <w:vertAlign w:val="subscript"/>
              </w:rPr>
              <w:t>ТВЕ ф і</w:t>
            </w:r>
            <w:r w:rsidRPr="001472A1">
              <w:rPr>
                <w:rFonts w:ascii="Times New Roman" w:hAnsi="Times New Roman"/>
                <w:sz w:val="24"/>
              </w:rPr>
              <w:t xml:space="preserve"> - фактичний обсяг технологічних витрат електричної енергії на її розподіл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bookmarkEnd w:id="119"/>
          <w:p w14:paraId="2D56DBA8" w14:textId="59160689" w:rsidR="007F5EE2" w:rsidRPr="001472A1" w:rsidRDefault="001472A1" w:rsidP="001472A1">
            <w:pPr>
              <w:ind w:firstLine="308"/>
              <w:jc w:val="both"/>
              <w:rPr>
                <w:rFonts w:ascii="Times New Roman" w:hAnsi="Times New Roman" w:cs="Times New Roman"/>
                <w:shd w:val="clear" w:color="auto" w:fill="FFFFFF"/>
              </w:rPr>
            </w:pPr>
            <w:r w:rsidRPr="001472A1">
              <w:rPr>
                <w:rFonts w:ascii="Times New Roman" w:hAnsi="Times New Roman"/>
                <w:sz w:val="24"/>
              </w:rPr>
              <w:t>О</w:t>
            </w:r>
            <w:r w:rsidRPr="001472A1">
              <w:rPr>
                <w:rFonts w:ascii="Times New Roman" w:hAnsi="Times New Roman"/>
                <w:vertAlign w:val="subscript"/>
              </w:rPr>
              <w:t>ТВЕ он і</w:t>
            </w:r>
            <w:r w:rsidRPr="001472A1">
              <w:rPr>
                <w:rFonts w:ascii="Times New Roman" w:hAnsi="Times New Roman"/>
                <w:sz w:val="24"/>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розподілу/надходження/віддачі/транзиту електричної енергії тощо внаслідок введення воєнного стану та/або бойових дій в Україні,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25A00F77" w14:textId="77777777" w:rsidR="001D1F44" w:rsidRPr="00EC3012" w:rsidRDefault="001D1F44" w:rsidP="001D1F44">
            <w:pPr>
              <w:ind w:firstLine="308"/>
              <w:jc w:val="both"/>
              <w:rPr>
                <w:rFonts w:ascii="Times New Roman" w:hAnsi="Times New Roman" w:cs="Times New Roman"/>
                <w:shd w:val="clear" w:color="auto" w:fill="FFFFFF"/>
              </w:rPr>
            </w:pPr>
          </w:p>
          <w:p w14:paraId="087E1782" w14:textId="77777777" w:rsidR="001D1F44" w:rsidRPr="00EC3012" w:rsidRDefault="001D1F44" w:rsidP="001D1F44">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68589072" w14:textId="77777777" w:rsidR="001D1F44" w:rsidRPr="001D1F44" w:rsidRDefault="001D1F44" w:rsidP="001D1F44">
            <w:pPr>
              <w:ind w:firstLine="308"/>
              <w:jc w:val="both"/>
              <w:rPr>
                <w:rFonts w:ascii="Times New Roman" w:hAnsi="Times New Roman" w:cs="Times New Roman"/>
                <w:shd w:val="clear" w:color="auto" w:fill="FFFFFF"/>
              </w:rPr>
            </w:pPr>
          </w:p>
          <w:p w14:paraId="615062A0" w14:textId="77777777" w:rsidR="001D1F44" w:rsidRPr="001D1F44" w:rsidRDefault="001D1F44" w:rsidP="001D1F44">
            <w:pPr>
              <w:spacing w:after="75"/>
              <w:ind w:firstLine="240"/>
              <w:jc w:val="both"/>
            </w:pPr>
            <w:bookmarkStart w:id="120" w:name="18050"/>
            <w:r w:rsidRPr="001D1F44">
              <w:rPr>
                <w:rFonts w:ascii="Times New Roman" w:hAnsi="Times New Roman"/>
                <w:sz w:val="24"/>
              </w:rPr>
              <w:t>6) дельта за статтею "операційні контрольовані витрати" (</w:t>
            </w:r>
            <w:r w:rsidRPr="001D1F44">
              <w:rPr>
                <w:rFonts w:ascii="Times New Roman" w:hAnsi="Times New Roman"/>
                <w:vertAlign w:val="subscript"/>
              </w:rPr>
              <w:t>D</w:t>
            </w:r>
            <w:r w:rsidRPr="001D1F44">
              <w:rPr>
                <w:rFonts w:ascii="Times New Roman" w:hAnsi="Times New Roman"/>
                <w:sz w:val="24"/>
              </w:rPr>
              <w:t>ОКВ) тис. грн, що визначається за формулою</w:t>
            </w:r>
          </w:p>
          <w:p w14:paraId="63E48FC1" w14:textId="77777777" w:rsidR="001D1F44" w:rsidRPr="001D1F44" w:rsidRDefault="001D1F44" w:rsidP="001D1F44">
            <w:pPr>
              <w:spacing w:after="75"/>
              <w:jc w:val="center"/>
            </w:pPr>
            <w:bookmarkStart w:id="121" w:name="18051"/>
            <w:bookmarkEnd w:id="120"/>
            <w:r w:rsidRPr="001D1F44">
              <w:rPr>
                <w:rFonts w:ascii="Symbol" w:hAnsi="Symbol"/>
              </w:rPr>
              <w:lastRenderedPageBreak/>
              <w:t></w:t>
            </w:r>
            <w:r w:rsidRPr="001D1F44">
              <w:rPr>
                <w:rFonts w:ascii="Times New Roman" w:hAnsi="Times New Roman"/>
                <w:sz w:val="18"/>
              </w:rPr>
              <w:t>ОКВ = ОКВ</w:t>
            </w:r>
            <w:r w:rsidRPr="001D1F44">
              <w:rPr>
                <w:rFonts w:ascii="Times New Roman" w:hAnsi="Times New Roman"/>
              </w:rPr>
              <w:t xml:space="preserve"> </w:t>
            </w:r>
            <w:r w:rsidRPr="001D1F44">
              <w:rPr>
                <w:rFonts w:ascii="Times New Roman" w:hAnsi="Times New Roman"/>
                <w:vertAlign w:val="subscript"/>
              </w:rPr>
              <w:t>т</w:t>
            </w:r>
            <w:r w:rsidRPr="001D1F44">
              <w:rPr>
                <w:rFonts w:ascii="Times New Roman" w:hAnsi="Times New Roman"/>
              </w:rPr>
              <w:t xml:space="preserve"> </w:t>
            </w:r>
            <w:r w:rsidRPr="001D1F44">
              <w:rPr>
                <w:rFonts w:ascii="Times New Roman" w:hAnsi="Times New Roman"/>
                <w:sz w:val="18"/>
              </w:rPr>
              <w:t>- ОКВ</w:t>
            </w:r>
            <w:r w:rsidRPr="001D1F44">
              <w:rPr>
                <w:rFonts w:ascii="Times New Roman" w:hAnsi="Times New Roman"/>
              </w:rPr>
              <w:t xml:space="preserve"> </w:t>
            </w:r>
            <w:r w:rsidRPr="001D1F44">
              <w:rPr>
                <w:rFonts w:ascii="Times New Roman" w:hAnsi="Times New Roman"/>
                <w:vertAlign w:val="subscript"/>
              </w:rPr>
              <w:t>у</w:t>
            </w:r>
            <w:r w:rsidRPr="001D1F44">
              <w:rPr>
                <w:rFonts w:ascii="Times New Roman" w:hAnsi="Times New Roman"/>
                <w:sz w:val="18"/>
              </w:rPr>
              <w:t>,</w:t>
            </w:r>
          </w:p>
          <w:p w14:paraId="526BD413" w14:textId="77777777" w:rsidR="001D1F44" w:rsidRPr="001D1F44" w:rsidRDefault="001D1F44" w:rsidP="001D1F44">
            <w:pPr>
              <w:spacing w:after="75"/>
              <w:ind w:firstLine="240"/>
              <w:jc w:val="both"/>
            </w:pPr>
            <w:bookmarkStart w:id="122" w:name="18052"/>
            <w:bookmarkEnd w:id="121"/>
            <w:r w:rsidRPr="001D1F44">
              <w:rPr>
                <w:rFonts w:ascii="Times New Roman" w:hAnsi="Times New Roman"/>
                <w:sz w:val="24"/>
              </w:rPr>
              <w:t xml:space="preserve">де ОКВ </w:t>
            </w:r>
            <w:r w:rsidRPr="001D1F44">
              <w:rPr>
                <w:rFonts w:ascii="Times New Roman" w:hAnsi="Times New Roman"/>
                <w:vertAlign w:val="subscript"/>
              </w:rPr>
              <w:t>т</w:t>
            </w:r>
            <w:r w:rsidRPr="001D1F44">
              <w:rPr>
                <w:rFonts w:ascii="Times New Roman" w:hAnsi="Times New Roman"/>
                <w:sz w:val="24"/>
              </w:rPr>
              <w:t xml:space="preserve"> - витрати за статтею "операційні контрольовані витрати", враховані при розрахунку тарифу на звітний рік, тис. грн;</w:t>
            </w:r>
          </w:p>
          <w:p w14:paraId="0DB3CB80" w14:textId="7864698D" w:rsidR="001D1F44" w:rsidRDefault="001D1F44" w:rsidP="001D1F44">
            <w:pPr>
              <w:spacing w:after="75"/>
              <w:ind w:firstLine="240"/>
              <w:jc w:val="both"/>
              <w:rPr>
                <w:rFonts w:ascii="Times New Roman" w:hAnsi="Times New Roman"/>
                <w:sz w:val="24"/>
              </w:rPr>
            </w:pPr>
            <w:bookmarkStart w:id="123" w:name="18053"/>
            <w:bookmarkEnd w:id="122"/>
            <w:r w:rsidRPr="001D1F44">
              <w:rPr>
                <w:rFonts w:ascii="Times New Roman" w:hAnsi="Times New Roman"/>
                <w:sz w:val="24"/>
              </w:rPr>
              <w:t xml:space="preserve">ОКВ </w:t>
            </w:r>
            <w:r w:rsidRPr="001D1F44">
              <w:rPr>
                <w:rFonts w:ascii="Times New Roman" w:hAnsi="Times New Roman"/>
                <w:vertAlign w:val="subscript"/>
              </w:rPr>
              <w:t>у</w:t>
            </w:r>
            <w:r w:rsidRPr="001D1F44">
              <w:rPr>
                <w:rFonts w:ascii="Times New Roman" w:hAnsi="Times New Roman"/>
                <w:sz w:val="24"/>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1D1F44">
              <w:rPr>
                <w:rFonts w:ascii="Times New Roman" w:hAnsi="Times New Roman"/>
                <w:sz w:val="24"/>
              </w:rPr>
              <w:t>ОКВ</w:t>
            </w:r>
            <w:r w:rsidRPr="001D1F44">
              <w:rPr>
                <w:rFonts w:ascii="Times New Roman" w:hAnsi="Times New Roman"/>
                <w:vertAlign w:val="subscript"/>
              </w:rPr>
              <w:t>у</w:t>
            </w:r>
            <w:proofErr w:type="spellEnd"/>
            <w:r w:rsidRPr="001D1F44">
              <w:rPr>
                <w:rFonts w:ascii="Times New Roman" w:hAnsi="Times New Roman"/>
                <w:sz w:val="24"/>
              </w:rPr>
              <w:t xml:space="preserve"> показник </w:t>
            </w:r>
            <w:r w:rsidRPr="001D1F44">
              <w:rPr>
                <w:noProof/>
              </w:rPr>
              <w:drawing>
                <wp:inline distT="0" distB="0" distL="0" distR="0" wp14:anchorId="19A1057B" wp14:editId="47D39AE4">
                  <wp:extent cx="400050" cy="192332"/>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5545" cy="194974"/>
                          </a:xfrm>
                          <a:prstGeom prst="rect">
                            <a:avLst/>
                          </a:prstGeom>
                        </pic:spPr>
                      </pic:pic>
                    </a:graphicData>
                  </a:graphic>
                </wp:inline>
              </w:drawing>
            </w:r>
            <w:r w:rsidRPr="001D1F44">
              <w:rPr>
                <w:rFonts w:ascii="Times New Roman" w:hAnsi="Times New Roman"/>
                <w:sz w:val="24"/>
              </w:rPr>
              <w:t xml:space="preserve"> приймається на рівні прогнозованого індексу цін виробників промислової продукції для року t-1 (</w:t>
            </w:r>
            <w:r w:rsidRPr="001D1F44">
              <w:rPr>
                <w:noProof/>
              </w:rPr>
              <w:drawing>
                <wp:inline distT="0" distB="0" distL="0" distR="0" wp14:anchorId="50BA0FFD" wp14:editId="17F7F05A">
                  <wp:extent cx="381000" cy="124558"/>
                  <wp:effectExtent l="0" t="0" r="0" b="889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386" cy="128607"/>
                          </a:xfrm>
                          <a:prstGeom prst="rect">
                            <a:avLst/>
                          </a:prstGeom>
                        </pic:spPr>
                      </pic:pic>
                    </a:graphicData>
                  </a:graphic>
                </wp:inline>
              </w:drawing>
            </w:r>
            <w:r w:rsidRPr="001D1F44">
              <w:rPr>
                <w:rFonts w:ascii="Times New Roman" w:hAnsi="Times New Roman"/>
                <w:sz w:val="24"/>
              </w:rPr>
              <w:t>)), тис. грн.</w:t>
            </w:r>
          </w:p>
          <w:p w14:paraId="3F3243E1" w14:textId="50C55E58" w:rsidR="00CA0539" w:rsidRDefault="00CA0539" w:rsidP="001D1F44">
            <w:pPr>
              <w:spacing w:after="75"/>
              <w:ind w:firstLine="240"/>
              <w:jc w:val="both"/>
            </w:pPr>
          </w:p>
          <w:p w14:paraId="3EC1289D" w14:textId="5C4BCF2D" w:rsidR="00CA0539" w:rsidRDefault="00CA0539" w:rsidP="001D1F44">
            <w:pPr>
              <w:spacing w:after="75"/>
              <w:ind w:firstLine="240"/>
              <w:jc w:val="both"/>
            </w:pPr>
          </w:p>
          <w:p w14:paraId="6357DC45" w14:textId="062921C6" w:rsidR="00CA0539" w:rsidRDefault="00CA0539" w:rsidP="001D1F44">
            <w:pPr>
              <w:spacing w:after="75"/>
              <w:ind w:firstLine="240"/>
              <w:jc w:val="both"/>
            </w:pPr>
          </w:p>
          <w:p w14:paraId="73015103" w14:textId="39D36A8E" w:rsidR="00CA0539" w:rsidRDefault="00CA0539" w:rsidP="001D1F44">
            <w:pPr>
              <w:spacing w:after="75"/>
              <w:ind w:firstLine="240"/>
              <w:jc w:val="both"/>
            </w:pPr>
          </w:p>
          <w:p w14:paraId="7EAB8B4B" w14:textId="77777777" w:rsidR="00CA0539" w:rsidRPr="001D1F44" w:rsidRDefault="00CA0539" w:rsidP="001D1F44">
            <w:pPr>
              <w:spacing w:after="75"/>
              <w:ind w:firstLine="240"/>
              <w:jc w:val="both"/>
            </w:pPr>
          </w:p>
          <w:p w14:paraId="4592A4DF" w14:textId="77777777" w:rsidR="001D1F44" w:rsidRPr="001D1F44" w:rsidRDefault="001D1F44" w:rsidP="001D1F44">
            <w:pPr>
              <w:spacing w:after="75"/>
              <w:ind w:firstLine="240"/>
              <w:jc w:val="both"/>
            </w:pPr>
            <w:bookmarkStart w:id="124" w:name="20829"/>
            <w:bookmarkEnd w:id="123"/>
            <w:r w:rsidRPr="001D1F44">
              <w:rPr>
                <w:rFonts w:ascii="Times New Roman" w:hAnsi="Times New Roman"/>
                <w:sz w:val="24"/>
              </w:rPr>
              <w:t>За 2022 - 2024 роки для АТ "ДТЕК ДОНЕЦЬКІ ЕЛЕКТРОМЕРЕЖІ"; ПАТ "ЗАПОРІЖЖЯОБЛЕНЕРГО"; АТ "ХЕРСОНОБЛЕНЕРГО" та ТОВ "ДТЕК ВИСОКОВОЛЬТНІ МЕРЕЖІ" дельта за статтею "операційні контрольовані витрати" (DОКВ) не визначається.</w:t>
            </w:r>
          </w:p>
          <w:bookmarkEnd w:id="124"/>
          <w:p w14:paraId="3FE43273" w14:textId="1A73B5DA" w:rsidR="007F5EE2" w:rsidRPr="001472A1" w:rsidRDefault="001D1F44" w:rsidP="00940443">
            <w:pPr>
              <w:ind w:firstLine="308"/>
              <w:jc w:val="both"/>
              <w:rPr>
                <w:rFonts w:ascii="Times New Roman" w:hAnsi="Times New Roman" w:cs="Times New Roman"/>
                <w:shd w:val="clear" w:color="auto" w:fill="FFFFFF"/>
              </w:rPr>
            </w:pPr>
            <w:r w:rsidRPr="001D1F44">
              <w:rPr>
                <w:rFonts w:ascii="Times New Roman" w:hAnsi="Times New Roman"/>
                <w:sz w:val="24"/>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при виконанні ремонтів та інвестиційної програми;</w:t>
            </w:r>
          </w:p>
        </w:tc>
        <w:tc>
          <w:tcPr>
            <w:tcW w:w="7725" w:type="dxa"/>
          </w:tcPr>
          <w:p w14:paraId="66214429" w14:textId="77777777" w:rsidR="003807D6" w:rsidRPr="003807D6" w:rsidRDefault="003807D6" w:rsidP="003807D6">
            <w:pPr>
              <w:spacing w:after="75"/>
              <w:ind w:firstLine="240"/>
              <w:jc w:val="both"/>
            </w:pPr>
            <w:r w:rsidRPr="003807D6">
              <w:rPr>
                <w:rFonts w:ascii="Times New Roman" w:hAnsi="Times New Roman"/>
                <w:sz w:val="24"/>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540D3DB" w14:textId="75AB0AF1" w:rsidR="003807D6" w:rsidRPr="003807D6" w:rsidRDefault="003807D6" w:rsidP="003807D6">
            <w:pPr>
              <w:spacing w:after="75"/>
              <w:ind w:firstLine="240"/>
              <w:jc w:val="both"/>
            </w:pPr>
            <w:r w:rsidRPr="003807D6">
              <w:rPr>
                <w:rFonts w:ascii="Times New Roman" w:hAnsi="Times New Roman"/>
                <w:sz w:val="24"/>
              </w:rPr>
              <w:t xml:space="preserve">1) збільшена на 10 %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 </w:t>
            </w:r>
            <w:r w:rsidR="005204FB" w:rsidRPr="005204FB">
              <w:rPr>
                <w:rFonts w:ascii="Times New Roman" w:hAnsi="Times New Roman"/>
                <w:b/>
                <w:sz w:val="24"/>
              </w:rPr>
              <w:t>2025</w:t>
            </w:r>
            <w:r w:rsidRPr="003807D6">
              <w:rPr>
                <w:rFonts w:ascii="Times New Roman" w:hAnsi="Times New Roman"/>
                <w:sz w:val="24"/>
              </w:rPr>
              <w:t xml:space="preserve">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w:t>
            </w:r>
            <w:r w:rsidR="005204FB" w:rsidRPr="005204FB">
              <w:rPr>
                <w:rFonts w:ascii="Times New Roman" w:hAnsi="Times New Roman"/>
                <w:b/>
                <w:sz w:val="24"/>
              </w:rPr>
              <w:t>2026</w:t>
            </w:r>
            <w:r w:rsidRPr="003807D6">
              <w:rPr>
                <w:rFonts w:ascii="Times New Roman" w:hAnsi="Times New Roman"/>
                <w:sz w:val="24"/>
              </w:rPr>
              <w:t xml:space="preserve"> року);</w:t>
            </w:r>
          </w:p>
          <w:p w14:paraId="430C2ECF" w14:textId="77777777" w:rsidR="003807D6" w:rsidRPr="003807D6" w:rsidRDefault="003807D6" w:rsidP="003807D6">
            <w:pPr>
              <w:spacing w:after="75"/>
              <w:ind w:firstLine="240"/>
              <w:jc w:val="both"/>
            </w:pPr>
            <w:r w:rsidRPr="003807D6">
              <w:rPr>
                <w:rFonts w:ascii="Times New Roman" w:hAnsi="Times New Roman"/>
                <w:sz w:val="24"/>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456C8228" w14:textId="254E313D" w:rsidR="003807D6" w:rsidRPr="003807D6" w:rsidRDefault="003807D6" w:rsidP="003807D6">
            <w:pPr>
              <w:spacing w:after="75"/>
              <w:ind w:firstLine="240"/>
              <w:jc w:val="both"/>
            </w:pPr>
            <w:r w:rsidRPr="003807D6">
              <w:rPr>
                <w:rFonts w:ascii="Times New Roman" w:hAnsi="Times New Roman"/>
                <w:sz w:val="24"/>
              </w:rPr>
              <w:t xml:space="preserve">За 2022 - </w:t>
            </w:r>
            <w:r w:rsidR="005204FB" w:rsidRPr="005204FB">
              <w:rPr>
                <w:rFonts w:ascii="Times New Roman" w:hAnsi="Times New Roman"/>
                <w:b/>
                <w:sz w:val="24"/>
              </w:rPr>
              <w:t>2025</w:t>
            </w:r>
            <w:r w:rsidRPr="003807D6">
              <w:rPr>
                <w:rFonts w:ascii="Times New Roman" w:hAnsi="Times New Roman"/>
                <w:sz w:val="24"/>
              </w:rPr>
              <w:t xml:space="preserve"> роки для АТ "ДТЕК ДОНЕЦЬКІ ЕЛЕКТРОМЕРЕЖІ", </w:t>
            </w:r>
            <w:r w:rsidRPr="005204FB">
              <w:rPr>
                <w:rFonts w:ascii="Times New Roman" w:hAnsi="Times New Roman"/>
                <w:b/>
                <w:sz w:val="24"/>
              </w:rPr>
              <w:t>АТ</w:t>
            </w:r>
            <w:r w:rsidR="005204FB">
              <w:rPr>
                <w:rFonts w:ascii="Times New Roman" w:hAnsi="Times New Roman"/>
                <w:b/>
                <w:sz w:val="24"/>
              </w:rPr>
              <w:t> </w:t>
            </w:r>
            <w:r w:rsidRPr="003807D6">
              <w:rPr>
                <w:rFonts w:ascii="Times New Roman" w:hAnsi="Times New Roman"/>
                <w:sz w:val="24"/>
              </w:rPr>
              <w:t>"ЗАПОРІЖЖЯОБЛЕНЕРГО", ТОВ "ДТЕК ВИСОКОВОЛЬТНІ МЕРЕЖІ" та за 2022 рік для АТ "ХЕРСОНОБЛЕНЕРГО" додатково отриманий або недоотриманий дохід ліцензіата визначається із застосуванням частки отриманого доходу (ЧОД), за вирахуванням статті "операційні контрольовані витрати", за формулою</w:t>
            </w:r>
          </w:p>
          <w:p w14:paraId="6ECA12E4" w14:textId="77777777" w:rsidR="003807D6" w:rsidRPr="003807D6" w:rsidRDefault="003807D6" w:rsidP="003807D6">
            <w:pPr>
              <w:spacing w:after="75"/>
              <w:jc w:val="center"/>
            </w:pPr>
            <w:r w:rsidRPr="003807D6">
              <w:rPr>
                <w:rFonts w:ascii="Times New Roman" w:hAnsi="Times New Roman"/>
                <w:sz w:val="24"/>
              </w:rPr>
              <w:t>ДД</w:t>
            </w:r>
            <w:r w:rsidRPr="003807D6">
              <w:rPr>
                <w:rFonts w:ascii="Times New Roman" w:hAnsi="Times New Roman"/>
                <w:vertAlign w:val="subscript"/>
              </w:rPr>
              <w:t>О(Н)</w:t>
            </w:r>
            <w:r w:rsidRPr="003807D6">
              <w:rPr>
                <w:rFonts w:ascii="Times New Roman" w:hAnsi="Times New Roman"/>
                <w:sz w:val="24"/>
              </w:rPr>
              <w:t xml:space="preserve"> = (</w:t>
            </w:r>
            <w:proofErr w:type="spellStart"/>
            <w:r w:rsidRPr="003807D6">
              <w:rPr>
                <w:rFonts w:ascii="Times New Roman" w:hAnsi="Times New Roman"/>
                <w:sz w:val="24"/>
              </w:rPr>
              <w:t>НД</w:t>
            </w:r>
            <w:r w:rsidRPr="003807D6">
              <w:rPr>
                <w:rFonts w:ascii="Times New Roman" w:hAnsi="Times New Roman"/>
                <w:vertAlign w:val="subscript"/>
              </w:rPr>
              <w:t>т</w:t>
            </w:r>
            <w:proofErr w:type="spellEnd"/>
            <w:r w:rsidRPr="003807D6">
              <w:rPr>
                <w:rFonts w:ascii="Times New Roman" w:hAnsi="Times New Roman"/>
                <w:sz w:val="24"/>
              </w:rPr>
              <w:t xml:space="preserve"> - </w:t>
            </w:r>
            <w:proofErr w:type="spellStart"/>
            <w:r w:rsidRPr="003807D6">
              <w:rPr>
                <w:rFonts w:ascii="Times New Roman" w:hAnsi="Times New Roman"/>
                <w:sz w:val="24"/>
              </w:rPr>
              <w:t>ОКВ</w:t>
            </w:r>
            <w:r w:rsidRPr="003807D6">
              <w:rPr>
                <w:rFonts w:ascii="Times New Roman" w:hAnsi="Times New Roman"/>
                <w:vertAlign w:val="subscript"/>
              </w:rPr>
              <w:t>т</w:t>
            </w:r>
            <w:proofErr w:type="spellEnd"/>
            <w:r w:rsidRPr="003807D6">
              <w:rPr>
                <w:rFonts w:ascii="Times New Roman" w:hAnsi="Times New Roman"/>
                <w:sz w:val="24"/>
              </w:rPr>
              <w:t>) х (ЧОД - 1),</w:t>
            </w:r>
          </w:p>
          <w:p w14:paraId="5943B747" w14:textId="77777777" w:rsidR="003807D6" w:rsidRPr="003807D6" w:rsidRDefault="003807D6" w:rsidP="003807D6">
            <w:pPr>
              <w:spacing w:after="75"/>
              <w:ind w:firstLine="240"/>
              <w:jc w:val="both"/>
            </w:pPr>
            <w:r w:rsidRPr="003807D6">
              <w:rPr>
                <w:rFonts w:ascii="Times New Roman" w:hAnsi="Times New Roman"/>
                <w:sz w:val="24"/>
              </w:rPr>
              <w:lastRenderedPageBreak/>
              <w:t>де ДД</w:t>
            </w:r>
            <w:r w:rsidRPr="003807D6">
              <w:rPr>
                <w:rFonts w:ascii="Times New Roman" w:hAnsi="Times New Roman"/>
                <w:vertAlign w:val="subscript"/>
              </w:rPr>
              <w:t>О(Н)</w:t>
            </w:r>
            <w:r w:rsidRPr="003807D6">
              <w:rPr>
                <w:rFonts w:ascii="Times New Roman" w:hAnsi="Times New Roman"/>
                <w:sz w:val="24"/>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відповідний період, тис. грн;</w:t>
            </w:r>
          </w:p>
          <w:p w14:paraId="15DB01C7" w14:textId="77777777" w:rsidR="003807D6" w:rsidRPr="003807D6" w:rsidRDefault="003807D6" w:rsidP="003807D6">
            <w:pPr>
              <w:spacing w:after="75"/>
              <w:ind w:firstLine="240"/>
              <w:jc w:val="both"/>
            </w:pPr>
            <w:proofErr w:type="spellStart"/>
            <w:r w:rsidRPr="003807D6">
              <w:rPr>
                <w:rFonts w:ascii="Times New Roman" w:hAnsi="Times New Roman"/>
                <w:sz w:val="24"/>
              </w:rPr>
              <w:t>НД</w:t>
            </w:r>
            <w:r w:rsidRPr="003807D6">
              <w:rPr>
                <w:rFonts w:ascii="Times New Roman" w:hAnsi="Times New Roman"/>
                <w:vertAlign w:val="subscript"/>
              </w:rPr>
              <w:t>т</w:t>
            </w:r>
            <w:proofErr w:type="spellEnd"/>
            <w:r w:rsidRPr="003807D6">
              <w:rPr>
                <w:rFonts w:ascii="Times New Roman" w:hAnsi="Times New Roman"/>
                <w:sz w:val="24"/>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0DDFE0C0" w14:textId="77777777" w:rsidR="003807D6" w:rsidRPr="003807D6" w:rsidRDefault="003807D6" w:rsidP="003807D6">
            <w:pPr>
              <w:spacing w:after="75"/>
              <w:ind w:firstLine="240"/>
              <w:jc w:val="both"/>
            </w:pPr>
            <w:proofErr w:type="spellStart"/>
            <w:r w:rsidRPr="003807D6">
              <w:rPr>
                <w:rFonts w:ascii="Times New Roman" w:hAnsi="Times New Roman"/>
                <w:sz w:val="24"/>
              </w:rPr>
              <w:t>ОКВ</w:t>
            </w:r>
            <w:r w:rsidRPr="003807D6">
              <w:rPr>
                <w:rFonts w:ascii="Times New Roman" w:hAnsi="Times New Roman"/>
                <w:vertAlign w:val="subscript"/>
              </w:rPr>
              <w:t>т</w:t>
            </w:r>
            <w:proofErr w:type="spellEnd"/>
            <w:r w:rsidRPr="003807D6">
              <w:rPr>
                <w:rFonts w:ascii="Times New Roman" w:hAnsi="Times New Roman"/>
                <w:sz w:val="24"/>
              </w:rPr>
              <w:t xml:space="preserve"> - середньорічна сума витрат за статтею "операційні контрольовані витрати", врахована у встановлених структурах тарифів, які діяли у відповідні періоди звітного року, тис. грн;</w:t>
            </w:r>
          </w:p>
          <w:p w14:paraId="60BDD4BA" w14:textId="77777777" w:rsidR="003807D6" w:rsidRPr="003807D6" w:rsidRDefault="003807D6" w:rsidP="003807D6">
            <w:pPr>
              <w:spacing w:after="75"/>
              <w:ind w:firstLine="240"/>
              <w:jc w:val="both"/>
            </w:pPr>
            <w:r w:rsidRPr="003807D6">
              <w:rPr>
                <w:rFonts w:ascii="Times New Roman" w:hAnsi="Times New Roman"/>
                <w:sz w:val="24"/>
              </w:rPr>
              <w:t>ЧОД - частка отриманого доходу, яка дорівнює співвідношенню фактичного доходу за 2022, 2023 або 2024 рік (визначеного як співвідношення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 в. о.</w:t>
            </w:r>
          </w:p>
          <w:p w14:paraId="6D96DF80" w14:textId="77777777" w:rsidR="003807D6" w:rsidRPr="003807D6" w:rsidRDefault="003807D6" w:rsidP="003807D6">
            <w:pPr>
              <w:spacing w:after="75"/>
              <w:ind w:firstLine="240"/>
              <w:jc w:val="both"/>
            </w:pPr>
            <w:r w:rsidRPr="003807D6">
              <w:rPr>
                <w:rFonts w:ascii="Times New Roman" w:hAnsi="Times New Roman"/>
                <w:sz w:val="24"/>
              </w:rPr>
              <w:t>За 2023 та 2024 роки для АТ "ХЕРСОНОБЛЕНЕРГО" додатково отриманий (недоотриманий) дохід внаслідок збільшення (зменшення) фактичних обсягів розподілу електричної енергії (ДД</w:t>
            </w:r>
            <w:r w:rsidRPr="003807D6">
              <w:rPr>
                <w:rFonts w:ascii="Times New Roman" w:hAnsi="Times New Roman"/>
                <w:vertAlign w:val="subscript"/>
              </w:rPr>
              <w:t>О(Н)</w:t>
            </w:r>
            <w:r w:rsidRPr="003807D6">
              <w:rPr>
                <w:rFonts w:ascii="Times New Roman" w:hAnsi="Times New Roman"/>
                <w:sz w:val="24"/>
              </w:rPr>
              <w:t>) визначається з урахуванням різниці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 звітного року, за формулою</w:t>
            </w:r>
          </w:p>
          <w:p w14:paraId="50091BF9" w14:textId="77777777" w:rsidR="003807D6" w:rsidRPr="003807D6" w:rsidRDefault="003807D6" w:rsidP="003807D6">
            <w:pPr>
              <w:spacing w:after="75"/>
              <w:ind w:firstLine="240"/>
              <w:jc w:val="both"/>
            </w:pPr>
            <w:r w:rsidRPr="003807D6">
              <w:rPr>
                <w:rFonts w:ascii="Times New Roman" w:hAnsi="Times New Roman"/>
                <w:sz w:val="24"/>
              </w:rPr>
              <w:t>ДД</w:t>
            </w:r>
            <w:r w:rsidRPr="003807D6">
              <w:rPr>
                <w:rFonts w:ascii="Times New Roman" w:hAnsi="Times New Roman"/>
                <w:vertAlign w:val="subscript"/>
              </w:rPr>
              <w:t>О(Н)</w:t>
            </w:r>
            <w:r w:rsidRPr="003807D6">
              <w:rPr>
                <w:rFonts w:ascii="Times New Roman" w:hAnsi="Times New Roman"/>
                <w:sz w:val="24"/>
              </w:rPr>
              <w:t xml:space="preserve"> = ((</w:t>
            </w:r>
            <w:proofErr w:type="spellStart"/>
            <w:r w:rsidRPr="003807D6">
              <w:rPr>
                <w:rFonts w:ascii="Times New Roman" w:hAnsi="Times New Roman"/>
                <w:sz w:val="24"/>
              </w:rPr>
              <w:t>НД</w:t>
            </w:r>
            <w:r w:rsidRPr="003807D6">
              <w:rPr>
                <w:rFonts w:ascii="Times New Roman" w:hAnsi="Times New Roman"/>
                <w:vertAlign w:val="subscript"/>
              </w:rPr>
              <w:t>т</w:t>
            </w:r>
            <w:proofErr w:type="spellEnd"/>
            <w:r w:rsidRPr="003807D6">
              <w:rPr>
                <w:rFonts w:ascii="Times New Roman" w:hAnsi="Times New Roman"/>
                <w:sz w:val="24"/>
              </w:rPr>
              <w:t xml:space="preserve"> - </w:t>
            </w:r>
            <w:proofErr w:type="spellStart"/>
            <w:r w:rsidRPr="003807D6">
              <w:rPr>
                <w:rFonts w:ascii="Times New Roman" w:hAnsi="Times New Roman"/>
                <w:sz w:val="24"/>
              </w:rPr>
              <w:t>ОКВ</w:t>
            </w:r>
            <w:r w:rsidRPr="003807D6">
              <w:rPr>
                <w:rFonts w:ascii="Times New Roman" w:hAnsi="Times New Roman"/>
                <w:vertAlign w:val="subscript"/>
              </w:rPr>
              <w:t>т</w:t>
            </w:r>
            <w:proofErr w:type="spellEnd"/>
            <w:r w:rsidRPr="003807D6">
              <w:rPr>
                <w:rFonts w:ascii="Times New Roman" w:hAnsi="Times New Roman"/>
                <w:sz w:val="24"/>
              </w:rPr>
              <w:t xml:space="preserve"> + </w:t>
            </w:r>
            <w:proofErr w:type="spellStart"/>
            <w:r w:rsidRPr="003807D6">
              <w:rPr>
                <w:rFonts w:ascii="Times New Roman" w:hAnsi="Times New Roman"/>
                <w:sz w:val="24"/>
              </w:rPr>
              <w:t>ННД</w:t>
            </w:r>
            <w:r w:rsidRPr="003807D6">
              <w:rPr>
                <w:rFonts w:ascii="Times New Roman" w:hAnsi="Times New Roman"/>
                <w:vertAlign w:val="subscript"/>
              </w:rPr>
              <w:t>т</w:t>
            </w:r>
            <w:proofErr w:type="spellEnd"/>
            <w:r w:rsidRPr="003807D6">
              <w:rPr>
                <w:rFonts w:ascii="Times New Roman" w:hAnsi="Times New Roman"/>
                <w:sz w:val="24"/>
              </w:rPr>
              <w:t>) х (ЧОД - 1)),</w:t>
            </w:r>
          </w:p>
          <w:p w14:paraId="0882FDA5" w14:textId="77777777" w:rsidR="003807D6" w:rsidRPr="003807D6" w:rsidRDefault="003807D6" w:rsidP="003807D6">
            <w:pPr>
              <w:spacing w:after="75"/>
              <w:ind w:firstLine="240"/>
              <w:jc w:val="both"/>
            </w:pPr>
            <w:r w:rsidRPr="003807D6">
              <w:rPr>
                <w:rFonts w:ascii="Times New Roman" w:hAnsi="Times New Roman"/>
                <w:sz w:val="24"/>
              </w:rPr>
              <w:t xml:space="preserve">де </w:t>
            </w:r>
            <w:proofErr w:type="spellStart"/>
            <w:r w:rsidRPr="003807D6">
              <w:rPr>
                <w:rFonts w:ascii="Times New Roman" w:hAnsi="Times New Roman"/>
                <w:sz w:val="24"/>
              </w:rPr>
              <w:t>ННД</w:t>
            </w:r>
            <w:r w:rsidRPr="003807D6">
              <w:rPr>
                <w:rFonts w:ascii="Times New Roman" w:hAnsi="Times New Roman"/>
                <w:vertAlign w:val="subscript"/>
              </w:rPr>
              <w:t>т</w:t>
            </w:r>
            <w:proofErr w:type="spellEnd"/>
            <w:r w:rsidRPr="003807D6">
              <w:rPr>
                <w:rFonts w:ascii="Times New Roman" w:hAnsi="Times New Roman"/>
                <w:sz w:val="24"/>
              </w:rPr>
              <w:t xml:space="preserve"> - недоотриманий необхідний дохід, розрахований на підставі середньорічної структури тарифів у звітному році, тис. грн, та визначається за формулою</w:t>
            </w:r>
          </w:p>
          <w:p w14:paraId="244962C8" w14:textId="77777777" w:rsidR="003807D6" w:rsidRPr="003807D6" w:rsidRDefault="003807D6" w:rsidP="003807D6">
            <w:pPr>
              <w:spacing w:after="75"/>
              <w:ind w:firstLine="240"/>
              <w:jc w:val="both"/>
            </w:pPr>
            <w:proofErr w:type="spellStart"/>
            <w:r w:rsidRPr="003807D6">
              <w:rPr>
                <w:rFonts w:ascii="Times New Roman" w:hAnsi="Times New Roman"/>
                <w:sz w:val="24"/>
              </w:rPr>
              <w:t>ННД</w:t>
            </w:r>
            <w:r w:rsidRPr="003807D6">
              <w:rPr>
                <w:rFonts w:ascii="Times New Roman" w:hAnsi="Times New Roman"/>
                <w:vertAlign w:val="subscript"/>
              </w:rPr>
              <w:t>т</w:t>
            </w:r>
            <w:proofErr w:type="spellEnd"/>
            <w:r w:rsidRPr="003807D6">
              <w:rPr>
                <w:rFonts w:ascii="Times New Roman" w:hAnsi="Times New Roman"/>
                <w:sz w:val="24"/>
              </w:rPr>
              <w:t xml:space="preserve"> = </w:t>
            </w:r>
            <w:proofErr w:type="spellStart"/>
            <w:r w:rsidRPr="003807D6">
              <w:rPr>
                <w:rFonts w:ascii="Times New Roman" w:hAnsi="Times New Roman"/>
                <w:sz w:val="24"/>
              </w:rPr>
              <w:t>НД</w:t>
            </w:r>
            <w:r w:rsidRPr="003807D6">
              <w:rPr>
                <w:rFonts w:ascii="Times New Roman" w:hAnsi="Times New Roman"/>
                <w:vertAlign w:val="subscript"/>
              </w:rPr>
              <w:t>т</w:t>
            </w:r>
            <w:proofErr w:type="spellEnd"/>
            <w:r w:rsidRPr="003807D6">
              <w:rPr>
                <w:rFonts w:ascii="Times New Roman" w:hAnsi="Times New Roman"/>
                <w:sz w:val="24"/>
              </w:rPr>
              <w:t xml:space="preserve"> - ФД,</w:t>
            </w:r>
          </w:p>
          <w:p w14:paraId="5CB90185" w14:textId="77777777" w:rsidR="003807D6" w:rsidRDefault="003807D6" w:rsidP="003807D6">
            <w:pPr>
              <w:ind w:firstLine="308"/>
              <w:jc w:val="both"/>
              <w:rPr>
                <w:rFonts w:ascii="Times New Roman" w:hAnsi="Times New Roman"/>
                <w:sz w:val="24"/>
              </w:rPr>
            </w:pPr>
            <w:r w:rsidRPr="003807D6">
              <w:rPr>
                <w:rFonts w:ascii="Times New Roman" w:hAnsi="Times New Roman"/>
                <w:sz w:val="24"/>
              </w:rPr>
              <w:t>де ФД - фактичний дохід, розрахований як добуток фактичних помісячних обсягів розподілу електричної енергії і тарифів, що діяли у відповідному періоді звітного року, тис. грн;</w:t>
            </w:r>
          </w:p>
          <w:p w14:paraId="77793795" w14:textId="77777777" w:rsidR="00302D0A" w:rsidRPr="00302D0A" w:rsidRDefault="00302D0A" w:rsidP="00302D0A">
            <w:pPr>
              <w:ind w:firstLine="308"/>
              <w:jc w:val="both"/>
              <w:rPr>
                <w:rFonts w:ascii="Times New Roman" w:hAnsi="Times New Roman" w:cs="Times New Roman"/>
                <w:b/>
                <w:shd w:val="clear" w:color="auto" w:fill="FFFFFF"/>
              </w:rPr>
            </w:pPr>
            <w:r w:rsidRPr="00302D0A">
              <w:rPr>
                <w:rFonts w:ascii="Times New Roman" w:hAnsi="Times New Roman" w:cs="Times New Roman"/>
                <w:b/>
                <w:shd w:val="clear" w:color="auto" w:fill="FFFFFF"/>
              </w:rPr>
              <w:t xml:space="preserve">Починаючи з 2025 року, для АТ «ДТЕК ДОНЕЦЬКI ЕЛЕКТРОМЕРЕЖI», АТ «ЗАПОРIЖЖЯОБЛЕНЕРГО», АТ «ХЕРСОНОБЛЕНЕРГО» та ТОВ «ДТЕК ВИСОКОВОЛЬТНI МЕРЕЖI» додатково отриманий (недоотриманий) дохід ліцензіата внаслідок </w:t>
            </w:r>
            <w:r w:rsidRPr="00302D0A">
              <w:rPr>
                <w:rFonts w:ascii="Times New Roman" w:hAnsi="Times New Roman" w:cs="Times New Roman"/>
                <w:b/>
                <w:shd w:val="clear" w:color="auto" w:fill="FFFFFF"/>
              </w:rPr>
              <w:lastRenderedPageBreak/>
              <w:t xml:space="preserve">збільшення (зменшення) фактичних обсягів розподілу електричної енергії за звітний період визначається як різниця між добутком фактичних помісячних обсягів розподілу електричної енергії і тарифів, що діяли у відповідному періоді, та сумою необхідного доходу, передбаченого встановленою річною структурою тарифів на звітний рік із застосуванням </w:t>
            </w:r>
            <w:proofErr w:type="spellStart"/>
            <w:r w:rsidRPr="00302D0A">
              <w:rPr>
                <w:rFonts w:ascii="Times New Roman" w:hAnsi="Times New Roman" w:cs="Times New Roman"/>
                <w:b/>
                <w:shd w:val="clear" w:color="auto" w:fill="FFFFFF"/>
              </w:rPr>
              <w:t>КФУу</w:t>
            </w:r>
            <w:proofErr w:type="spellEnd"/>
            <w:r w:rsidRPr="00302D0A">
              <w:rPr>
                <w:rFonts w:ascii="Times New Roman" w:hAnsi="Times New Roman" w:cs="Times New Roman"/>
                <w:b/>
                <w:shd w:val="clear" w:color="auto" w:fill="FFFFFF"/>
              </w:rPr>
              <w:t>, за формулою</w:t>
            </w:r>
          </w:p>
          <w:p w14:paraId="00563A5B" w14:textId="77777777" w:rsidR="00302D0A" w:rsidRPr="00302D0A" w:rsidRDefault="00302D0A" w:rsidP="00302D0A">
            <w:pPr>
              <w:ind w:firstLine="308"/>
              <w:jc w:val="both"/>
              <w:rPr>
                <w:rFonts w:ascii="Times New Roman" w:hAnsi="Times New Roman" w:cs="Times New Roman"/>
                <w:b/>
                <w:shd w:val="clear" w:color="auto" w:fill="FFFFFF"/>
              </w:rPr>
            </w:pPr>
            <w:r w:rsidRPr="00302D0A">
              <w:rPr>
                <w:rFonts w:ascii="Times New Roman" w:hAnsi="Times New Roman" w:cs="Times New Roman"/>
                <w:b/>
                <w:shd w:val="clear" w:color="auto" w:fill="FFFFFF"/>
              </w:rPr>
              <w:t>ДД</w:t>
            </w:r>
            <w:r w:rsidRPr="00302D0A">
              <w:rPr>
                <w:rFonts w:ascii="Times New Roman" w:hAnsi="Times New Roman" w:cs="Times New Roman"/>
                <w:b/>
                <w:shd w:val="clear" w:color="auto" w:fill="FFFFFF"/>
                <w:vertAlign w:val="subscript"/>
              </w:rPr>
              <w:t>О(Н)</w:t>
            </w:r>
            <w:r w:rsidRPr="00302D0A">
              <w:rPr>
                <w:rFonts w:ascii="Times New Roman" w:hAnsi="Times New Roman" w:cs="Times New Roman"/>
                <w:b/>
                <w:shd w:val="clear" w:color="auto" w:fill="FFFFFF"/>
              </w:rPr>
              <w:t xml:space="preserve"> = ФД – (</w:t>
            </w:r>
            <w:proofErr w:type="spellStart"/>
            <w:r w:rsidRPr="00302D0A">
              <w:rPr>
                <w:rFonts w:ascii="Times New Roman" w:hAnsi="Times New Roman" w:cs="Times New Roman"/>
                <w:b/>
                <w:shd w:val="clear" w:color="auto" w:fill="FFFFFF"/>
              </w:rPr>
              <w:t>ЧНДт</w:t>
            </w:r>
            <w:proofErr w:type="spellEnd"/>
            <w:r w:rsidRPr="00302D0A">
              <w:rPr>
                <w:rFonts w:ascii="Times New Roman" w:hAnsi="Times New Roman" w:cs="Times New Roman"/>
                <w:b/>
                <w:shd w:val="clear" w:color="auto" w:fill="FFFFFF"/>
              </w:rPr>
              <w:t xml:space="preserve"> + (</w:t>
            </w:r>
            <w:proofErr w:type="spellStart"/>
            <w:r w:rsidRPr="00302D0A">
              <w:rPr>
                <w:rFonts w:ascii="Times New Roman" w:hAnsi="Times New Roman" w:cs="Times New Roman"/>
                <w:b/>
                <w:shd w:val="clear" w:color="auto" w:fill="FFFFFF"/>
              </w:rPr>
              <w:t>ОКВт</w:t>
            </w:r>
            <w:proofErr w:type="spellEnd"/>
            <w:r w:rsidRPr="00302D0A">
              <w:rPr>
                <w:rFonts w:ascii="Times New Roman" w:hAnsi="Times New Roman" w:cs="Times New Roman"/>
                <w:b/>
                <w:shd w:val="clear" w:color="auto" w:fill="FFFFFF"/>
              </w:rPr>
              <w:t xml:space="preserve"> × </w:t>
            </w:r>
            <w:proofErr w:type="spellStart"/>
            <w:r w:rsidRPr="00302D0A">
              <w:rPr>
                <w:rFonts w:ascii="Times New Roman" w:hAnsi="Times New Roman" w:cs="Times New Roman"/>
                <w:b/>
                <w:shd w:val="clear" w:color="auto" w:fill="FFFFFF"/>
              </w:rPr>
              <w:t>КФУу</w:t>
            </w:r>
            <w:proofErr w:type="spellEnd"/>
            <w:r w:rsidRPr="00302D0A">
              <w:rPr>
                <w:rFonts w:ascii="Times New Roman" w:hAnsi="Times New Roman" w:cs="Times New Roman"/>
                <w:b/>
                <w:shd w:val="clear" w:color="auto" w:fill="FFFFFF"/>
              </w:rPr>
              <w:t>)), тис. грн,</w:t>
            </w:r>
          </w:p>
          <w:p w14:paraId="070965D7" w14:textId="77777777" w:rsidR="00302D0A" w:rsidRPr="00302D0A" w:rsidRDefault="00302D0A" w:rsidP="00302D0A">
            <w:pPr>
              <w:ind w:firstLine="308"/>
              <w:jc w:val="both"/>
              <w:rPr>
                <w:rFonts w:ascii="Times New Roman" w:hAnsi="Times New Roman" w:cs="Times New Roman"/>
                <w:b/>
                <w:shd w:val="clear" w:color="auto" w:fill="FFFFFF"/>
              </w:rPr>
            </w:pPr>
            <w:r w:rsidRPr="00302D0A">
              <w:rPr>
                <w:rFonts w:ascii="Times New Roman" w:hAnsi="Times New Roman" w:cs="Times New Roman"/>
                <w:b/>
                <w:shd w:val="clear" w:color="auto" w:fill="FFFFFF"/>
              </w:rPr>
              <w:t>де ДД</w:t>
            </w:r>
            <w:r w:rsidRPr="00302D0A">
              <w:rPr>
                <w:rFonts w:ascii="Times New Roman" w:hAnsi="Times New Roman" w:cs="Times New Roman"/>
                <w:b/>
                <w:shd w:val="clear" w:color="auto" w:fill="FFFFFF"/>
                <w:vertAlign w:val="subscript"/>
              </w:rPr>
              <w:t>О(Н)</w:t>
            </w:r>
            <w:r w:rsidRPr="00302D0A">
              <w:rPr>
                <w:rFonts w:ascii="Times New Roman" w:hAnsi="Times New Roman" w:cs="Times New Roman"/>
                <w:b/>
                <w:shd w:val="clear" w:color="auto" w:fill="FFFFFF"/>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тис. грн;</w:t>
            </w:r>
          </w:p>
          <w:p w14:paraId="0E94A61A" w14:textId="77777777" w:rsidR="00302D0A" w:rsidRPr="00302D0A" w:rsidRDefault="00302D0A" w:rsidP="00302D0A">
            <w:pPr>
              <w:ind w:firstLine="308"/>
              <w:jc w:val="both"/>
              <w:rPr>
                <w:rFonts w:ascii="Times New Roman" w:hAnsi="Times New Roman" w:cs="Times New Roman"/>
                <w:b/>
                <w:shd w:val="clear" w:color="auto" w:fill="FFFFFF"/>
              </w:rPr>
            </w:pPr>
            <w:r w:rsidRPr="00302D0A">
              <w:rPr>
                <w:rFonts w:ascii="Times New Roman" w:hAnsi="Times New Roman" w:cs="Times New Roman"/>
                <w:b/>
                <w:shd w:val="clear" w:color="auto" w:fill="FFFFFF"/>
              </w:rPr>
              <w:t>ФД – фактичний дохід ліцензіата, розрахований як добуток фактичних помісячних обсягів розподілу електричної енергії у відповідному періоді і тарифів, що діяли у відповідному періоді звітного року, тис. грн;</w:t>
            </w:r>
          </w:p>
          <w:p w14:paraId="77B4EFC0" w14:textId="77777777" w:rsidR="00302D0A" w:rsidRPr="00302D0A" w:rsidRDefault="00302D0A" w:rsidP="00302D0A">
            <w:pPr>
              <w:ind w:firstLine="308"/>
              <w:jc w:val="both"/>
              <w:rPr>
                <w:rFonts w:ascii="Times New Roman" w:hAnsi="Times New Roman" w:cs="Times New Roman"/>
                <w:b/>
                <w:shd w:val="clear" w:color="auto" w:fill="FFFFFF"/>
              </w:rPr>
            </w:pPr>
            <w:proofErr w:type="spellStart"/>
            <w:r w:rsidRPr="00302D0A">
              <w:rPr>
                <w:rFonts w:ascii="Times New Roman" w:hAnsi="Times New Roman" w:cs="Times New Roman"/>
                <w:b/>
                <w:shd w:val="clear" w:color="auto" w:fill="FFFFFF"/>
              </w:rPr>
              <w:t>ЧНДт</w:t>
            </w:r>
            <w:proofErr w:type="spellEnd"/>
            <w:r w:rsidRPr="00302D0A">
              <w:rPr>
                <w:rFonts w:ascii="Times New Roman" w:hAnsi="Times New Roman" w:cs="Times New Roman"/>
                <w:b/>
                <w:shd w:val="clear" w:color="auto" w:fill="FFFFFF"/>
              </w:rPr>
              <w:t xml:space="preserve"> – частина необхідного доходу, врахованого у встановлених структурах тарифів, які діяли у відповідні періоди звітного року, за вирахуванням операційних контрольованих витрат, урахованих у тарифах на звітний рік, визначена за формулою</w:t>
            </w:r>
          </w:p>
          <w:p w14:paraId="735E922B" w14:textId="77777777" w:rsidR="00302D0A" w:rsidRPr="00302D0A" w:rsidRDefault="00302D0A" w:rsidP="00302D0A">
            <w:pPr>
              <w:ind w:firstLine="308"/>
              <w:jc w:val="both"/>
              <w:rPr>
                <w:rFonts w:ascii="Times New Roman" w:hAnsi="Times New Roman" w:cs="Times New Roman"/>
                <w:b/>
                <w:shd w:val="clear" w:color="auto" w:fill="FFFFFF"/>
              </w:rPr>
            </w:pPr>
            <w:proofErr w:type="spellStart"/>
            <w:r w:rsidRPr="00302D0A">
              <w:rPr>
                <w:rFonts w:ascii="Times New Roman" w:hAnsi="Times New Roman" w:cs="Times New Roman"/>
                <w:b/>
                <w:shd w:val="clear" w:color="auto" w:fill="FFFFFF"/>
              </w:rPr>
              <w:t>ЧНДт</w:t>
            </w:r>
            <w:proofErr w:type="spellEnd"/>
            <w:r w:rsidRPr="00302D0A">
              <w:rPr>
                <w:rFonts w:ascii="Times New Roman" w:hAnsi="Times New Roman" w:cs="Times New Roman"/>
                <w:b/>
                <w:shd w:val="clear" w:color="auto" w:fill="FFFFFF"/>
              </w:rPr>
              <w:t xml:space="preserve"> = </w:t>
            </w:r>
            <w:proofErr w:type="spellStart"/>
            <w:r w:rsidRPr="00302D0A">
              <w:rPr>
                <w:rFonts w:ascii="Times New Roman" w:hAnsi="Times New Roman" w:cs="Times New Roman"/>
                <w:b/>
                <w:shd w:val="clear" w:color="auto" w:fill="FFFFFF"/>
              </w:rPr>
              <w:t>НДт</w:t>
            </w:r>
            <w:proofErr w:type="spellEnd"/>
            <w:r w:rsidRPr="00302D0A">
              <w:rPr>
                <w:rFonts w:ascii="Times New Roman" w:hAnsi="Times New Roman" w:cs="Times New Roman"/>
                <w:b/>
                <w:shd w:val="clear" w:color="auto" w:fill="FFFFFF"/>
              </w:rPr>
              <w:t xml:space="preserve"> – </w:t>
            </w:r>
            <w:proofErr w:type="spellStart"/>
            <w:r w:rsidRPr="00302D0A">
              <w:rPr>
                <w:rFonts w:ascii="Times New Roman" w:hAnsi="Times New Roman" w:cs="Times New Roman"/>
                <w:b/>
                <w:shd w:val="clear" w:color="auto" w:fill="FFFFFF"/>
              </w:rPr>
              <w:t>ОКВт</w:t>
            </w:r>
            <w:proofErr w:type="spellEnd"/>
            <w:r w:rsidRPr="00302D0A">
              <w:rPr>
                <w:rFonts w:ascii="Times New Roman" w:hAnsi="Times New Roman" w:cs="Times New Roman"/>
                <w:b/>
                <w:shd w:val="clear" w:color="auto" w:fill="FFFFFF"/>
              </w:rPr>
              <w:t>, тис. грн,</w:t>
            </w:r>
          </w:p>
          <w:p w14:paraId="0E1A7622" w14:textId="77777777" w:rsidR="00302D0A" w:rsidRPr="00302D0A" w:rsidRDefault="00302D0A" w:rsidP="00302D0A">
            <w:pPr>
              <w:ind w:firstLine="308"/>
              <w:jc w:val="both"/>
              <w:rPr>
                <w:rFonts w:ascii="Times New Roman" w:hAnsi="Times New Roman" w:cs="Times New Roman"/>
                <w:b/>
                <w:shd w:val="clear" w:color="auto" w:fill="FFFFFF"/>
              </w:rPr>
            </w:pPr>
            <w:r w:rsidRPr="00302D0A">
              <w:rPr>
                <w:rFonts w:ascii="Times New Roman" w:hAnsi="Times New Roman" w:cs="Times New Roman"/>
                <w:b/>
                <w:shd w:val="clear" w:color="auto" w:fill="FFFFFF"/>
              </w:rPr>
              <w:t xml:space="preserve">де </w:t>
            </w:r>
            <w:proofErr w:type="spellStart"/>
            <w:r w:rsidRPr="00302D0A">
              <w:rPr>
                <w:rFonts w:ascii="Times New Roman" w:hAnsi="Times New Roman" w:cs="Times New Roman"/>
                <w:b/>
                <w:shd w:val="clear" w:color="auto" w:fill="FFFFFF"/>
              </w:rPr>
              <w:t>НДт</w:t>
            </w:r>
            <w:proofErr w:type="spellEnd"/>
            <w:r w:rsidRPr="00302D0A">
              <w:rPr>
                <w:rFonts w:ascii="Times New Roman" w:hAnsi="Times New Roman" w:cs="Times New Roman"/>
                <w:b/>
                <w:shd w:val="clear" w:color="auto" w:fill="FFFFFF"/>
              </w:rPr>
              <w:t xml:space="preserve"> – середньорічний необхідний дохід, урахований у встановлених структурах тарифів, які діяли у відповідні періоди звітного року, тис. грн;</w:t>
            </w:r>
          </w:p>
          <w:p w14:paraId="2DCC89F9" w14:textId="77777777" w:rsidR="00302D0A" w:rsidRDefault="00302D0A" w:rsidP="00302D0A">
            <w:pPr>
              <w:ind w:firstLine="308"/>
              <w:jc w:val="both"/>
              <w:rPr>
                <w:rFonts w:ascii="Times New Roman" w:hAnsi="Times New Roman" w:cs="Times New Roman"/>
                <w:b/>
                <w:shd w:val="clear" w:color="auto" w:fill="FFFFFF"/>
              </w:rPr>
            </w:pPr>
            <w:proofErr w:type="spellStart"/>
            <w:r w:rsidRPr="00302D0A">
              <w:rPr>
                <w:rFonts w:ascii="Times New Roman" w:hAnsi="Times New Roman" w:cs="Times New Roman"/>
                <w:b/>
                <w:shd w:val="clear" w:color="auto" w:fill="FFFFFF"/>
              </w:rPr>
              <w:t>ОКВт</w:t>
            </w:r>
            <w:proofErr w:type="spellEnd"/>
            <w:r w:rsidRPr="00302D0A">
              <w:rPr>
                <w:rFonts w:ascii="Times New Roman" w:hAnsi="Times New Roman" w:cs="Times New Roman"/>
                <w:b/>
                <w:shd w:val="clear" w:color="auto" w:fill="FFFFFF"/>
              </w:rPr>
              <w:t xml:space="preserve"> – операційні контрольовані витрати, які враховані в тарифах на звітний рік, розрахунок яких здійснено із застосуванням КФУ відповідно до Порядку № 1175, тис. грн;</w:t>
            </w:r>
          </w:p>
          <w:p w14:paraId="1E1BFDF3" w14:textId="77777777" w:rsidR="007F5EE2" w:rsidRPr="007F5EE2" w:rsidRDefault="007F5EE2" w:rsidP="007F5EE2">
            <w:pPr>
              <w:ind w:firstLine="308"/>
              <w:jc w:val="both"/>
              <w:rPr>
                <w:rFonts w:ascii="Times New Roman" w:hAnsi="Times New Roman" w:cs="Times New Roman"/>
                <w:shd w:val="clear" w:color="auto" w:fill="FFFFFF"/>
              </w:rPr>
            </w:pPr>
          </w:p>
          <w:p w14:paraId="32EA0914" w14:textId="77777777" w:rsidR="007F5EE2" w:rsidRPr="00EC3012" w:rsidRDefault="007F5EE2" w:rsidP="007F5EE2">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576B07C6" w14:textId="77777777" w:rsidR="007F5EE2" w:rsidRPr="00EC3012" w:rsidRDefault="007F5EE2" w:rsidP="007F5EE2">
            <w:pPr>
              <w:ind w:firstLine="308"/>
              <w:jc w:val="both"/>
              <w:rPr>
                <w:rFonts w:ascii="Times New Roman" w:hAnsi="Times New Roman" w:cs="Times New Roman"/>
                <w:shd w:val="clear" w:color="auto" w:fill="FFFFFF"/>
              </w:rPr>
            </w:pPr>
          </w:p>
          <w:p w14:paraId="0E954D37" w14:textId="77777777" w:rsidR="001472A1" w:rsidRPr="001472A1" w:rsidRDefault="001472A1" w:rsidP="001472A1">
            <w:pPr>
              <w:spacing w:after="75"/>
              <w:ind w:firstLine="240"/>
              <w:jc w:val="both"/>
            </w:pPr>
            <w:r w:rsidRPr="001472A1">
              <w:rPr>
                <w:rFonts w:ascii="Times New Roman" w:hAnsi="Times New Roman"/>
                <w:sz w:val="24"/>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1472A1">
              <w:rPr>
                <w:noProof/>
              </w:rPr>
              <w:drawing>
                <wp:inline distT="0" distB="0" distL="0" distR="0" wp14:anchorId="1984A99E" wp14:editId="116BD576">
                  <wp:extent cx="371475" cy="16151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5001" cy="167392"/>
                          </a:xfrm>
                          <a:prstGeom prst="rect">
                            <a:avLst/>
                          </a:prstGeom>
                        </pic:spPr>
                      </pic:pic>
                    </a:graphicData>
                  </a:graphic>
                </wp:inline>
              </w:drawing>
            </w:r>
            <w:r w:rsidRPr="001472A1">
              <w:rPr>
                <w:rFonts w:ascii="Times New Roman" w:hAnsi="Times New Roman"/>
                <w:sz w:val="24"/>
              </w:rPr>
              <w:t>, тис. грн, що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3696"/>
              <w:gridCol w:w="2568"/>
            </w:tblGrid>
            <w:tr w:rsidR="001472A1" w:rsidRPr="001472A1" w14:paraId="0802D9CF" w14:textId="77777777" w:rsidTr="00656A42">
              <w:trPr>
                <w:trHeight w:val="27"/>
                <w:tblCellSpacing w:w="0" w:type="auto"/>
              </w:trPr>
              <w:tc>
                <w:tcPr>
                  <w:tcW w:w="3696" w:type="dxa"/>
                  <w:vAlign w:val="center"/>
                </w:tcPr>
                <w:p w14:paraId="10BFF6BF" w14:textId="77777777" w:rsidR="001472A1" w:rsidRPr="001472A1" w:rsidRDefault="001472A1" w:rsidP="001472A1">
                  <w:pPr>
                    <w:spacing w:after="75"/>
                  </w:pPr>
                  <w:r w:rsidRPr="001472A1">
                    <w:rPr>
                      <w:noProof/>
                    </w:rPr>
                    <w:drawing>
                      <wp:inline distT="0" distB="0" distL="0" distR="0" wp14:anchorId="70E8D925" wp14:editId="2FDF5302">
                        <wp:extent cx="2105025" cy="364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48611" cy="372200"/>
                                </a:xfrm>
                                <a:prstGeom prst="rect">
                                  <a:avLst/>
                                </a:prstGeom>
                              </pic:spPr>
                            </pic:pic>
                          </a:graphicData>
                        </a:graphic>
                      </wp:inline>
                    </w:drawing>
                  </w:r>
                </w:p>
              </w:tc>
              <w:tc>
                <w:tcPr>
                  <w:tcW w:w="2568" w:type="dxa"/>
                  <w:vAlign w:val="center"/>
                </w:tcPr>
                <w:p w14:paraId="2F69C6F8" w14:textId="77777777" w:rsidR="001472A1" w:rsidRPr="001472A1" w:rsidRDefault="001472A1" w:rsidP="001472A1">
                  <w:pPr>
                    <w:spacing w:after="75"/>
                    <w:jc w:val="both"/>
                  </w:pPr>
                  <w:r w:rsidRPr="001472A1">
                    <w:rPr>
                      <w:rFonts w:ascii="Times New Roman" w:hAnsi="Times New Roman"/>
                      <w:sz w:val="15"/>
                    </w:rPr>
                    <w:t>,</w:t>
                  </w:r>
                </w:p>
              </w:tc>
            </w:tr>
          </w:tbl>
          <w:p w14:paraId="706A9923" w14:textId="77777777" w:rsidR="001472A1" w:rsidRPr="001472A1" w:rsidRDefault="001472A1" w:rsidP="001472A1">
            <w:pPr>
              <w:spacing w:after="75"/>
              <w:ind w:firstLine="240"/>
              <w:jc w:val="both"/>
            </w:pPr>
            <w:r w:rsidRPr="001472A1">
              <w:rPr>
                <w:rFonts w:ascii="Times New Roman" w:hAnsi="Times New Roman"/>
                <w:sz w:val="24"/>
              </w:rPr>
              <w:t>де i - місяць,</w:t>
            </w:r>
          </w:p>
          <w:p w14:paraId="4481C3BC" w14:textId="77777777" w:rsidR="001472A1" w:rsidRPr="001472A1" w:rsidRDefault="001472A1" w:rsidP="001472A1">
            <w:pPr>
              <w:spacing w:after="75"/>
              <w:ind w:firstLine="240"/>
              <w:jc w:val="both"/>
            </w:pPr>
            <w:r w:rsidRPr="001472A1">
              <w:rPr>
                <w:rFonts w:ascii="Times New Roman" w:hAnsi="Times New Roman"/>
                <w:sz w:val="24"/>
              </w:rPr>
              <w:t>n - кількість місяців,</w:t>
            </w:r>
          </w:p>
          <w:p w14:paraId="413ECC0D" w14:textId="77777777" w:rsidR="001472A1" w:rsidRPr="001472A1" w:rsidRDefault="001472A1" w:rsidP="001472A1">
            <w:pPr>
              <w:spacing w:after="75"/>
              <w:ind w:firstLine="240"/>
              <w:jc w:val="both"/>
            </w:pPr>
            <w:r w:rsidRPr="001472A1">
              <w:rPr>
                <w:rFonts w:ascii="Times New Roman" w:hAnsi="Times New Roman"/>
                <w:sz w:val="24"/>
              </w:rPr>
              <w:t>Д</w:t>
            </w:r>
            <w:r w:rsidRPr="001472A1">
              <w:rPr>
                <w:rFonts w:ascii="Times New Roman" w:hAnsi="Times New Roman"/>
                <w:vertAlign w:val="subscript"/>
              </w:rPr>
              <w:t>ТВЕ т</w:t>
            </w:r>
            <w:r w:rsidRPr="001472A1">
              <w:rPr>
                <w:rFonts w:ascii="Times New Roman" w:hAnsi="Times New Roman"/>
                <w:sz w:val="24"/>
              </w:rPr>
              <w:t xml:space="preserve"> - вартість технологічних витрат електричної енергії, урахована в тарифі на звітний рік, тис. грн,</w:t>
            </w:r>
          </w:p>
          <w:p w14:paraId="2126F6E0" w14:textId="77777777" w:rsidR="001472A1" w:rsidRPr="001472A1" w:rsidRDefault="001472A1" w:rsidP="001472A1">
            <w:pPr>
              <w:spacing w:after="75"/>
              <w:ind w:firstLine="240"/>
              <w:jc w:val="both"/>
            </w:pPr>
            <w:r w:rsidRPr="001472A1">
              <w:rPr>
                <w:rFonts w:ascii="Times New Roman" w:hAnsi="Times New Roman"/>
                <w:sz w:val="24"/>
              </w:rPr>
              <w:lastRenderedPageBreak/>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i</w:t>
            </w:r>
            <w:r w:rsidRPr="001472A1">
              <w:rPr>
                <w:rFonts w:ascii="Times New Roman" w:hAnsi="Times New Roman"/>
                <w:sz w:val="24"/>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6ED9B548" w14:textId="77777777" w:rsidR="001472A1" w:rsidRPr="001472A1" w:rsidRDefault="001472A1" w:rsidP="001472A1">
            <w:pPr>
              <w:spacing w:after="75"/>
              <w:jc w:val="center"/>
            </w:pPr>
            <w:r w:rsidRPr="001472A1">
              <w:rPr>
                <w:rFonts w:ascii="Times New Roman" w:hAnsi="Times New Roman"/>
                <w:sz w:val="24"/>
              </w:rPr>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і</w:t>
            </w:r>
            <w:r w:rsidRPr="001472A1">
              <w:rPr>
                <w:rFonts w:ascii="Times New Roman" w:hAnsi="Times New Roman"/>
                <w:sz w:val="24"/>
              </w:rPr>
              <w:t xml:space="preserve"> = О</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i</w:t>
            </w:r>
            <w:r w:rsidRPr="001472A1">
              <w:rPr>
                <w:rFonts w:ascii="Times New Roman" w:hAnsi="Times New Roman"/>
                <w:sz w:val="24"/>
              </w:rPr>
              <w:t xml:space="preserve"> × Ц</w:t>
            </w:r>
            <w:r w:rsidRPr="001472A1">
              <w:rPr>
                <w:rFonts w:ascii="Times New Roman" w:hAnsi="Times New Roman"/>
                <w:vertAlign w:val="subscript"/>
              </w:rPr>
              <w:t>ТВЕ i</w:t>
            </w:r>
            <w:r w:rsidRPr="001472A1">
              <w:rPr>
                <w:rFonts w:ascii="Times New Roman" w:hAnsi="Times New Roman"/>
                <w:sz w:val="24"/>
              </w:rPr>
              <w:t xml:space="preserve"> ,</w:t>
            </w:r>
          </w:p>
          <w:p w14:paraId="310C770E" w14:textId="77777777" w:rsidR="001472A1" w:rsidRPr="001472A1" w:rsidRDefault="001472A1" w:rsidP="001472A1">
            <w:pPr>
              <w:spacing w:after="75"/>
              <w:ind w:firstLine="240"/>
              <w:jc w:val="both"/>
            </w:pPr>
            <w:r w:rsidRPr="001472A1">
              <w:rPr>
                <w:rFonts w:ascii="Times New Roman" w:hAnsi="Times New Roman"/>
                <w:sz w:val="24"/>
              </w:rPr>
              <w:t>де О</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i</w:t>
            </w:r>
            <w:r w:rsidRPr="001472A1">
              <w:rPr>
                <w:rFonts w:ascii="Times New Roman" w:hAnsi="Times New Roman"/>
                <w:sz w:val="24"/>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 що розраховується за формулою</w:t>
            </w:r>
          </w:p>
          <w:tbl>
            <w:tblPr>
              <w:tblW w:w="7330" w:type="dxa"/>
              <w:tblCellSpacing w:w="0" w:type="auto"/>
              <w:tblBorders>
                <w:top w:val="single" w:sz="8" w:space="0" w:color="E5E2FF"/>
              </w:tblBorders>
              <w:tblLayout w:type="fixed"/>
              <w:tblLook w:val="04A0" w:firstRow="1" w:lastRow="0" w:firstColumn="1" w:lastColumn="0" w:noHBand="0" w:noVBand="1"/>
            </w:tblPr>
            <w:tblGrid>
              <w:gridCol w:w="5339"/>
              <w:gridCol w:w="1991"/>
            </w:tblGrid>
            <w:tr w:rsidR="001472A1" w:rsidRPr="001472A1" w14:paraId="4756ED72" w14:textId="77777777" w:rsidTr="00656A42">
              <w:trPr>
                <w:trHeight w:val="24"/>
                <w:tblCellSpacing w:w="0" w:type="auto"/>
              </w:trPr>
              <w:tc>
                <w:tcPr>
                  <w:tcW w:w="5339" w:type="dxa"/>
                  <w:vAlign w:val="center"/>
                </w:tcPr>
                <w:p w14:paraId="46401D24" w14:textId="77777777" w:rsidR="001472A1" w:rsidRPr="001472A1" w:rsidRDefault="001472A1" w:rsidP="001472A1">
                  <w:pPr>
                    <w:spacing w:after="75"/>
                  </w:pPr>
                  <w:r w:rsidRPr="001472A1">
                    <w:rPr>
                      <w:noProof/>
                    </w:rPr>
                    <w:drawing>
                      <wp:inline distT="0" distB="0" distL="0" distR="0" wp14:anchorId="2580433A" wp14:editId="449FD732">
                        <wp:extent cx="3114675" cy="434606"/>
                        <wp:effectExtent l="0" t="0" r="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29512" cy="436676"/>
                                </a:xfrm>
                                <a:prstGeom prst="rect">
                                  <a:avLst/>
                                </a:prstGeom>
                              </pic:spPr>
                            </pic:pic>
                          </a:graphicData>
                        </a:graphic>
                      </wp:inline>
                    </w:drawing>
                  </w:r>
                </w:p>
              </w:tc>
              <w:tc>
                <w:tcPr>
                  <w:tcW w:w="1991" w:type="dxa"/>
                  <w:vAlign w:val="center"/>
                </w:tcPr>
                <w:p w14:paraId="24AACBBE" w14:textId="77777777" w:rsidR="001472A1" w:rsidRPr="001472A1" w:rsidRDefault="001472A1" w:rsidP="001472A1">
                  <w:pPr>
                    <w:spacing w:after="75"/>
                    <w:jc w:val="both"/>
                  </w:pPr>
                  <w:r w:rsidRPr="001472A1">
                    <w:rPr>
                      <w:rFonts w:ascii="Times New Roman" w:hAnsi="Times New Roman"/>
                      <w:sz w:val="15"/>
                    </w:rPr>
                    <w:t>,</w:t>
                  </w:r>
                </w:p>
              </w:tc>
            </w:tr>
          </w:tbl>
          <w:p w14:paraId="6CE01BCF" w14:textId="77777777" w:rsidR="001472A1" w:rsidRPr="001472A1" w:rsidRDefault="001472A1" w:rsidP="001472A1">
            <w:pPr>
              <w:spacing w:after="75"/>
              <w:ind w:firstLine="240"/>
              <w:jc w:val="both"/>
            </w:pPr>
            <w:r w:rsidRPr="001472A1">
              <w:rPr>
                <w:rFonts w:ascii="Times New Roman" w:hAnsi="Times New Roman"/>
                <w:sz w:val="24"/>
              </w:rPr>
              <w:t xml:space="preserve">де </w:t>
            </w:r>
            <w:r w:rsidRPr="001472A1">
              <w:rPr>
                <w:rFonts w:ascii="Times New Roman" w:hAnsi="Times New Roman"/>
                <w:i/>
                <w:sz w:val="24"/>
              </w:rPr>
              <w:t>W</w:t>
            </w:r>
            <w:r w:rsidRPr="001472A1">
              <w:rPr>
                <w:rFonts w:ascii="Times New Roman" w:hAnsi="Times New Roman"/>
                <w:vertAlign w:val="subscript"/>
              </w:rPr>
              <w:t>1 i</w:t>
            </w:r>
            <w:r w:rsidRPr="001472A1">
              <w:rPr>
                <w:rFonts w:ascii="Times New Roman" w:hAnsi="Times New Roman"/>
                <w:sz w:val="24"/>
              </w:rPr>
              <w:t xml:space="preserve"> , - фактичний обсяг корисного відпуску електричної енергії споживачам на 1 класі напруги у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6C97B587" w14:textId="77777777" w:rsidR="001472A1" w:rsidRPr="001472A1" w:rsidRDefault="001472A1" w:rsidP="001472A1">
            <w:pPr>
              <w:spacing w:after="75"/>
              <w:ind w:firstLine="240"/>
              <w:jc w:val="both"/>
            </w:pPr>
            <w:r w:rsidRPr="001472A1">
              <w:rPr>
                <w:rFonts w:ascii="Times New Roman" w:hAnsi="Times New Roman"/>
                <w:i/>
                <w:sz w:val="24"/>
              </w:rPr>
              <w:t>W</w:t>
            </w:r>
            <w:r w:rsidRPr="001472A1">
              <w:rPr>
                <w:rFonts w:ascii="Times New Roman" w:hAnsi="Times New Roman"/>
                <w:vertAlign w:val="subscript"/>
              </w:rPr>
              <w:t>2 i</w:t>
            </w:r>
            <w:r w:rsidRPr="001472A1">
              <w:rPr>
                <w:rFonts w:ascii="Times New Roman" w:hAnsi="Times New Roman"/>
                <w:sz w:val="24"/>
              </w:rPr>
              <w:t xml:space="preserve"> - фактичний обсяг розподілу електричної енергії споживачам на 2 класі напруги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131BFA73" w14:textId="77777777" w:rsidR="001472A1" w:rsidRPr="001472A1" w:rsidRDefault="001472A1" w:rsidP="001472A1">
            <w:pPr>
              <w:spacing w:after="75"/>
              <w:ind w:firstLine="240"/>
              <w:jc w:val="both"/>
            </w:pPr>
            <w:r w:rsidRPr="001472A1">
              <w:rPr>
                <w:rFonts w:ascii="Times New Roman" w:hAnsi="Times New Roman"/>
                <w:sz w:val="24"/>
              </w:rPr>
              <w:t>К</w:t>
            </w:r>
            <w:r w:rsidRPr="001472A1">
              <w:rPr>
                <w:rFonts w:ascii="Times New Roman" w:hAnsi="Times New Roman"/>
                <w:vertAlign w:val="subscript"/>
              </w:rPr>
              <w:t>1</w:t>
            </w:r>
            <w:r w:rsidRPr="001472A1">
              <w:rPr>
                <w:rFonts w:ascii="Times New Roman" w:hAnsi="Times New Roman"/>
                <w:sz w:val="24"/>
              </w:rPr>
              <w:t>, К</w:t>
            </w:r>
            <w:r w:rsidRPr="001472A1">
              <w:rPr>
                <w:rFonts w:ascii="Times New Roman" w:hAnsi="Times New Roman"/>
                <w:vertAlign w:val="subscript"/>
              </w:rPr>
              <w:t>2</w:t>
            </w:r>
            <w:r w:rsidRPr="001472A1">
              <w:rPr>
                <w:rFonts w:ascii="Times New Roman" w:hAnsi="Times New Roman"/>
                <w:sz w:val="24"/>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3363D1BD" w14:textId="77777777" w:rsidR="001472A1" w:rsidRPr="001472A1" w:rsidRDefault="001472A1" w:rsidP="001472A1">
            <w:pPr>
              <w:spacing w:after="75"/>
              <w:ind w:firstLine="240"/>
              <w:jc w:val="both"/>
            </w:pPr>
            <w:r w:rsidRPr="001472A1">
              <w:rPr>
                <w:rFonts w:ascii="Times New Roman" w:hAnsi="Times New Roman"/>
                <w:sz w:val="24"/>
              </w:rPr>
              <w:t>Ц</w:t>
            </w:r>
            <w:r w:rsidRPr="001472A1">
              <w:rPr>
                <w:rFonts w:ascii="Times New Roman" w:hAnsi="Times New Roman"/>
                <w:vertAlign w:val="subscript"/>
              </w:rPr>
              <w:t>ТВЕ i</w:t>
            </w:r>
            <w:r w:rsidRPr="001472A1">
              <w:rPr>
                <w:rFonts w:ascii="Times New Roman" w:hAnsi="Times New Roman"/>
                <w:sz w:val="24"/>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1472A1">
              <w:rPr>
                <w:rFonts w:ascii="Times New Roman" w:hAnsi="Times New Roman"/>
                <w:sz w:val="24"/>
              </w:rPr>
              <w:t>МВт·год</w:t>
            </w:r>
            <w:proofErr w:type="spellEnd"/>
            <w:r w:rsidRPr="001472A1">
              <w:rPr>
                <w:rFonts w:ascii="Times New Roman" w:hAnsi="Times New Roman"/>
                <w:sz w:val="24"/>
              </w:rPr>
              <w:t>, та розраховується за формулою</w:t>
            </w:r>
          </w:p>
          <w:p w14:paraId="17720FD6" w14:textId="77777777" w:rsidR="001472A1" w:rsidRPr="001472A1" w:rsidRDefault="001472A1" w:rsidP="001472A1">
            <w:pPr>
              <w:spacing w:after="75"/>
              <w:jc w:val="center"/>
            </w:pPr>
            <w:r w:rsidRPr="001472A1">
              <w:rPr>
                <w:rFonts w:ascii="Times New Roman" w:hAnsi="Times New Roman"/>
                <w:sz w:val="24"/>
              </w:rPr>
              <w:t>Ц</w:t>
            </w:r>
            <w:r w:rsidRPr="001472A1">
              <w:rPr>
                <w:rFonts w:ascii="Times New Roman" w:hAnsi="Times New Roman"/>
                <w:vertAlign w:val="subscript"/>
              </w:rPr>
              <w:t>ТВЕ i</w:t>
            </w:r>
            <w:r w:rsidRPr="001472A1">
              <w:rPr>
                <w:rFonts w:ascii="Times New Roman" w:hAnsi="Times New Roman"/>
                <w:sz w:val="24"/>
              </w:rPr>
              <w:t xml:space="preserve"> </w:t>
            </w:r>
            <w:r w:rsidRPr="001472A1">
              <w:rPr>
                <w:rFonts w:ascii="Times New Roman" w:hAnsi="Times New Roman"/>
                <w:vertAlign w:val="subscript"/>
              </w:rPr>
              <w:t>=</w:t>
            </w:r>
            <w:r w:rsidRPr="001472A1">
              <w:rPr>
                <w:rFonts w:ascii="Times New Roman" w:hAnsi="Times New Roman"/>
                <w:sz w:val="24"/>
              </w:rPr>
              <w:t xml:space="preserve"> Ц </w:t>
            </w:r>
            <w:r w:rsidRPr="001472A1">
              <w:rPr>
                <w:rFonts w:ascii="Times New Roman" w:hAnsi="Times New Roman"/>
                <w:vertAlign w:val="subscript"/>
              </w:rPr>
              <w:t>РДН ф i</w:t>
            </w:r>
            <w:r w:rsidRPr="001472A1">
              <w:rPr>
                <w:rFonts w:ascii="Times New Roman" w:hAnsi="Times New Roman"/>
                <w:sz w:val="24"/>
              </w:rPr>
              <w:t xml:space="preserve"> × (1 -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xml:space="preserve">) + Ц </w:t>
            </w:r>
            <w:r w:rsidRPr="001472A1">
              <w:rPr>
                <w:rFonts w:ascii="Times New Roman" w:hAnsi="Times New Roman"/>
                <w:vertAlign w:val="subscript"/>
              </w:rPr>
              <w:t>РДН ф i</w:t>
            </w:r>
            <w:r w:rsidRPr="001472A1">
              <w:rPr>
                <w:rFonts w:ascii="Times New Roman" w:hAnsi="Times New Roman"/>
                <w:sz w:val="24"/>
              </w:rPr>
              <w:t xml:space="preserve"> × (1 + К</w:t>
            </w:r>
            <w:r w:rsidRPr="001472A1">
              <w:rPr>
                <w:rFonts w:ascii="Times New Roman" w:hAnsi="Times New Roman"/>
                <w:vertAlign w:val="superscript"/>
              </w:rPr>
              <w:t>БР</w:t>
            </w:r>
            <w:r w:rsidRPr="001472A1">
              <w:rPr>
                <w:rFonts w:ascii="Times New Roman" w:hAnsi="Times New Roman"/>
                <w:vertAlign w:val="subscript"/>
              </w:rPr>
              <w:t>Ц</w:t>
            </w:r>
            <w:r w:rsidRPr="001472A1">
              <w:rPr>
                <w:rFonts w:ascii="Times New Roman" w:hAnsi="Times New Roman"/>
                <w:sz w:val="24"/>
              </w:rPr>
              <w:t>) ×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Ц </w:t>
            </w:r>
            <w:r w:rsidRPr="001472A1">
              <w:rPr>
                <w:rFonts w:ascii="Times New Roman" w:hAnsi="Times New Roman"/>
                <w:vertAlign w:val="subscript"/>
              </w:rPr>
              <w:t>РДД ф i</w:t>
            </w:r>
            <w:r w:rsidRPr="001472A1">
              <w:rPr>
                <w:rFonts w:ascii="Times New Roman" w:hAnsi="Times New Roman"/>
                <w:sz w:val="24"/>
              </w:rPr>
              <w:t xml:space="preserve"> × К</w:t>
            </w:r>
            <w:r w:rsidRPr="001472A1">
              <w:rPr>
                <w:rFonts w:ascii="Times New Roman" w:hAnsi="Times New Roman"/>
                <w:vertAlign w:val="superscript"/>
              </w:rPr>
              <w:t>ДД</w:t>
            </w:r>
            <w:r w:rsidRPr="001472A1">
              <w:rPr>
                <w:rFonts w:ascii="Times New Roman" w:hAnsi="Times New Roman"/>
                <w:vertAlign w:val="subscript"/>
              </w:rPr>
              <w:t>W,</w:t>
            </w:r>
          </w:p>
          <w:p w14:paraId="0DD645DC" w14:textId="77777777" w:rsidR="001472A1" w:rsidRPr="001472A1" w:rsidRDefault="001472A1" w:rsidP="001472A1">
            <w:pPr>
              <w:spacing w:after="75"/>
              <w:ind w:firstLine="240"/>
              <w:jc w:val="both"/>
            </w:pPr>
            <w:r w:rsidRPr="001472A1">
              <w:rPr>
                <w:rFonts w:ascii="Times New Roman" w:hAnsi="Times New Roman"/>
                <w:sz w:val="24"/>
              </w:rPr>
              <w:t xml:space="preserve">де Ц </w:t>
            </w:r>
            <w:r w:rsidRPr="001472A1">
              <w:rPr>
                <w:rFonts w:ascii="Times New Roman" w:hAnsi="Times New Roman"/>
                <w:vertAlign w:val="subscript"/>
              </w:rPr>
              <w:t>РДН ф i</w:t>
            </w:r>
            <w:r w:rsidRPr="001472A1">
              <w:rPr>
                <w:rFonts w:ascii="Times New Roman" w:hAnsi="Times New Roman"/>
                <w:sz w:val="24"/>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7042B67A" w14:textId="77777777" w:rsidR="001472A1" w:rsidRPr="001472A1" w:rsidRDefault="001472A1" w:rsidP="001472A1">
            <w:pPr>
              <w:spacing w:after="75"/>
              <w:ind w:firstLine="240"/>
              <w:jc w:val="both"/>
            </w:pPr>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коефіцієнт, що враховує граничний відносний обсяг небалансів електричної енергії в i-му місяці звітного року, застосований під час </w:t>
            </w:r>
            <w:r w:rsidRPr="001472A1">
              <w:rPr>
                <w:rFonts w:ascii="Times New Roman" w:hAnsi="Times New Roman"/>
                <w:sz w:val="24"/>
              </w:rPr>
              <w:lastRenderedPageBreak/>
              <w:t>розрахунку встановлених тарифів на послуги з розподілу електричної енергії</w:t>
            </w:r>
            <w:r w:rsidRPr="001472A1">
              <w:rPr>
                <w:rFonts w:ascii="Times New Roman" w:hAnsi="Times New Roman"/>
                <w:b/>
                <w:sz w:val="24"/>
              </w:rPr>
              <w:t>,</w:t>
            </w:r>
            <w:r w:rsidRPr="001472A1">
              <w:rPr>
                <w:rFonts w:ascii="Times New Roman" w:hAnsi="Times New Roman"/>
                <w:sz w:val="24"/>
              </w:rPr>
              <w:t xml:space="preserve"> відносні одиниці;</w:t>
            </w:r>
          </w:p>
          <w:p w14:paraId="4A5F50F1" w14:textId="77777777" w:rsidR="001472A1" w:rsidRPr="001472A1" w:rsidRDefault="001472A1" w:rsidP="001472A1">
            <w:pPr>
              <w:spacing w:after="75"/>
              <w:ind w:firstLine="240"/>
              <w:jc w:val="both"/>
            </w:pPr>
            <w:r w:rsidRPr="001472A1">
              <w:rPr>
                <w:rFonts w:ascii="Times New Roman" w:hAnsi="Times New Roman"/>
                <w:sz w:val="24"/>
              </w:rPr>
              <w:t>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45B119AC" w14:textId="77777777" w:rsidR="001472A1" w:rsidRPr="001472A1" w:rsidRDefault="001472A1" w:rsidP="001472A1">
            <w:pPr>
              <w:spacing w:after="75"/>
              <w:ind w:firstLine="240"/>
              <w:jc w:val="both"/>
            </w:pPr>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vertAlign w:val="subscript"/>
              </w:rPr>
              <w:t>Ц</w:t>
            </w:r>
            <w:r w:rsidRPr="001472A1">
              <w:rPr>
                <w:rFonts w:ascii="Times New Roman" w:hAnsi="Times New Roman"/>
                <w:sz w:val="24"/>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3632B972" w14:textId="77777777" w:rsidR="001472A1" w:rsidRPr="001472A1" w:rsidRDefault="001472A1" w:rsidP="001472A1">
            <w:pPr>
              <w:spacing w:after="75"/>
              <w:ind w:firstLine="240"/>
              <w:jc w:val="both"/>
            </w:pPr>
            <w:r w:rsidRPr="001472A1">
              <w:rPr>
                <w:rFonts w:ascii="Times New Roman" w:hAnsi="Times New Roman"/>
                <w:sz w:val="24"/>
              </w:rPr>
              <w:t xml:space="preserve">Ц </w:t>
            </w:r>
            <w:r w:rsidRPr="001472A1">
              <w:rPr>
                <w:rFonts w:ascii="Times New Roman" w:hAnsi="Times New Roman"/>
                <w:vertAlign w:val="subscript"/>
              </w:rPr>
              <w:t>РДД ф i</w:t>
            </w:r>
            <w:r w:rsidRPr="001472A1">
              <w:rPr>
                <w:rFonts w:ascii="Times New Roman" w:hAnsi="Times New Roman"/>
                <w:sz w:val="24"/>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53011BB6" w14:textId="77777777" w:rsidR="001472A1" w:rsidRPr="001472A1" w:rsidRDefault="001472A1" w:rsidP="001472A1">
            <w:pPr>
              <w:spacing w:after="75"/>
              <w:ind w:firstLine="240"/>
              <w:jc w:val="both"/>
            </w:pPr>
            <w:r w:rsidRPr="001472A1">
              <w:rPr>
                <w:rFonts w:ascii="Times New Roman" w:hAnsi="Times New Roman"/>
                <w:sz w:val="24"/>
              </w:rPr>
              <w:t>Для цілей розрахунку складова (1 -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xml:space="preserve"> - 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приймається рівною нулю у разі, якщо її значення менше нуля.</w:t>
            </w:r>
          </w:p>
          <w:p w14:paraId="6C90F207" w14:textId="77777777" w:rsidR="001472A1" w:rsidRPr="001472A1" w:rsidRDefault="001472A1" w:rsidP="001472A1">
            <w:pPr>
              <w:spacing w:after="75"/>
              <w:ind w:firstLine="240"/>
              <w:jc w:val="both"/>
            </w:pPr>
            <w:r w:rsidRPr="001472A1">
              <w:rPr>
                <w:rFonts w:ascii="Times New Roman" w:hAnsi="Times New Roman"/>
                <w:sz w:val="24"/>
              </w:rPr>
              <w:t>Починаючи з 2023 року:</w:t>
            </w:r>
          </w:p>
          <w:p w14:paraId="0FA1D960" w14:textId="77777777" w:rsidR="001472A1" w:rsidRPr="001472A1" w:rsidRDefault="001472A1" w:rsidP="001472A1">
            <w:pPr>
              <w:spacing w:after="75"/>
              <w:ind w:firstLine="240"/>
              <w:jc w:val="both"/>
            </w:pPr>
            <w:r w:rsidRPr="001472A1">
              <w:rPr>
                <w:rFonts w:ascii="Times New Roman" w:hAnsi="Times New Roman"/>
                <w:sz w:val="24"/>
              </w:rPr>
              <w:t xml:space="preserve">Ц </w:t>
            </w:r>
            <w:r w:rsidRPr="001472A1">
              <w:rPr>
                <w:rFonts w:ascii="Times New Roman" w:hAnsi="Times New Roman"/>
                <w:vertAlign w:val="subscript"/>
              </w:rPr>
              <w:t>ТВЕ і</w:t>
            </w:r>
            <w:r w:rsidRPr="001472A1">
              <w:rPr>
                <w:rFonts w:ascii="Times New Roman" w:hAnsi="Times New Roman"/>
                <w:sz w:val="24"/>
              </w:rPr>
              <w:t xml:space="preserve"> = Ц </w:t>
            </w:r>
            <w:r w:rsidRPr="001472A1">
              <w:rPr>
                <w:rFonts w:ascii="Times New Roman" w:hAnsi="Times New Roman"/>
                <w:vertAlign w:val="subscript"/>
              </w:rPr>
              <w:t>РДН ф і</w:t>
            </w:r>
            <w:r w:rsidRPr="001472A1">
              <w:rPr>
                <w:rFonts w:ascii="Times New Roman" w:hAnsi="Times New Roman"/>
                <w:sz w:val="24"/>
              </w:rPr>
              <w:t xml:space="preserve"> × (1 - </w:t>
            </w:r>
            <w:proofErr w:type="spellStart"/>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sz w:val="24"/>
              </w:rPr>
              <w:t>w</w:t>
            </w:r>
            <w:proofErr w:type="spellEnd"/>
            <w:r w:rsidRPr="001472A1">
              <w:rPr>
                <w:rFonts w:ascii="Times New Roman" w:hAnsi="Times New Roman"/>
                <w:sz w:val="24"/>
              </w:rPr>
              <w:t xml:space="preserve"> - </w:t>
            </w:r>
            <w:proofErr w:type="spellStart"/>
            <w:r w:rsidRPr="001472A1">
              <w:rPr>
                <w:rFonts w:ascii="Times New Roman" w:hAnsi="Times New Roman"/>
                <w:sz w:val="24"/>
              </w:rPr>
              <w:t>К</w:t>
            </w:r>
            <w:r w:rsidRPr="001472A1">
              <w:rPr>
                <w:rFonts w:ascii="Times New Roman" w:hAnsi="Times New Roman"/>
                <w:vertAlign w:val="superscript"/>
              </w:rPr>
              <w:t>ДД</w:t>
            </w:r>
            <w:r w:rsidRPr="001472A1">
              <w:rPr>
                <w:rFonts w:ascii="Times New Roman" w:hAnsi="Times New Roman"/>
                <w:sz w:val="24"/>
              </w:rPr>
              <w:t>w</w:t>
            </w:r>
            <w:proofErr w:type="spellEnd"/>
            <w:r w:rsidRPr="001472A1">
              <w:rPr>
                <w:rFonts w:ascii="Times New Roman" w:hAnsi="Times New Roman"/>
                <w:sz w:val="24"/>
              </w:rPr>
              <w:t xml:space="preserve">) + Ц </w:t>
            </w:r>
            <w:r w:rsidRPr="001472A1">
              <w:rPr>
                <w:rFonts w:ascii="Times New Roman" w:hAnsi="Times New Roman"/>
                <w:vertAlign w:val="subscript"/>
              </w:rPr>
              <w:t>РДН ф і</w:t>
            </w:r>
            <w:r w:rsidRPr="001472A1">
              <w:rPr>
                <w:rFonts w:ascii="Times New Roman" w:hAnsi="Times New Roman"/>
                <w:sz w:val="24"/>
              </w:rPr>
              <w:t xml:space="preserve"> × (1 + </w:t>
            </w:r>
            <w:proofErr w:type="spellStart"/>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sz w:val="24"/>
              </w:rPr>
              <w:t>ц</w:t>
            </w:r>
            <w:proofErr w:type="spellEnd"/>
            <w:r w:rsidRPr="001472A1">
              <w:rPr>
                <w:rFonts w:ascii="Times New Roman" w:hAnsi="Times New Roman"/>
                <w:sz w:val="24"/>
              </w:rPr>
              <w:t xml:space="preserve">) × </w:t>
            </w:r>
            <w:proofErr w:type="spellStart"/>
            <w:r w:rsidRPr="001472A1">
              <w:rPr>
                <w:rFonts w:ascii="Times New Roman" w:hAnsi="Times New Roman"/>
                <w:sz w:val="24"/>
              </w:rPr>
              <w:t>К</w:t>
            </w:r>
            <w:r w:rsidRPr="001472A1">
              <w:rPr>
                <w:rFonts w:ascii="Times New Roman" w:hAnsi="Times New Roman"/>
                <w:vertAlign w:val="superscript"/>
              </w:rPr>
              <w:t>БР</w:t>
            </w:r>
            <w:r w:rsidRPr="001472A1">
              <w:rPr>
                <w:rFonts w:ascii="Times New Roman" w:hAnsi="Times New Roman"/>
                <w:sz w:val="24"/>
              </w:rPr>
              <w:t>w</w:t>
            </w:r>
            <w:proofErr w:type="spellEnd"/>
            <w:r w:rsidRPr="001472A1">
              <w:rPr>
                <w:rFonts w:ascii="Times New Roman" w:hAnsi="Times New Roman"/>
                <w:sz w:val="24"/>
              </w:rPr>
              <w:t xml:space="preserve"> + Ц </w:t>
            </w:r>
            <w:r w:rsidRPr="001472A1">
              <w:rPr>
                <w:rFonts w:ascii="Times New Roman" w:hAnsi="Times New Roman"/>
                <w:vertAlign w:val="subscript"/>
              </w:rPr>
              <w:t>РДД ф і</w:t>
            </w:r>
            <w:r w:rsidRPr="001472A1">
              <w:rPr>
                <w:rFonts w:ascii="Times New Roman" w:hAnsi="Times New Roman"/>
                <w:sz w:val="24"/>
              </w:rPr>
              <w:t xml:space="preserve"> × К × </w:t>
            </w:r>
            <w:proofErr w:type="spellStart"/>
            <w:r w:rsidRPr="001472A1">
              <w:rPr>
                <w:rFonts w:ascii="Times New Roman" w:hAnsi="Times New Roman"/>
                <w:sz w:val="24"/>
              </w:rPr>
              <w:t>К</w:t>
            </w:r>
            <w:r w:rsidRPr="001472A1">
              <w:rPr>
                <w:rFonts w:ascii="Times New Roman" w:hAnsi="Times New Roman"/>
                <w:vertAlign w:val="superscript"/>
              </w:rPr>
              <w:t>ДД</w:t>
            </w:r>
            <w:r w:rsidRPr="001472A1">
              <w:rPr>
                <w:rFonts w:ascii="Times New Roman" w:hAnsi="Times New Roman"/>
                <w:sz w:val="24"/>
              </w:rPr>
              <w:t>w</w:t>
            </w:r>
            <w:proofErr w:type="spellEnd"/>
            <w:r w:rsidRPr="001472A1">
              <w:rPr>
                <w:rFonts w:ascii="Times New Roman" w:hAnsi="Times New Roman"/>
                <w:sz w:val="24"/>
              </w:rPr>
              <w:t>;</w:t>
            </w:r>
          </w:p>
          <w:p w14:paraId="4F1D01D4" w14:textId="77777777" w:rsidR="001472A1" w:rsidRPr="001472A1" w:rsidRDefault="001472A1" w:rsidP="001472A1">
            <w:pPr>
              <w:spacing w:after="75"/>
              <w:ind w:firstLine="240"/>
              <w:jc w:val="both"/>
            </w:pPr>
            <w:r w:rsidRPr="001472A1">
              <w:rPr>
                <w:rFonts w:ascii="Times New Roman" w:hAnsi="Times New Roman"/>
                <w:sz w:val="24"/>
              </w:rPr>
              <w:t>де К</w:t>
            </w:r>
            <w:r w:rsidRPr="001472A1">
              <w:rPr>
                <w:rFonts w:ascii="Times New Roman" w:hAnsi="Times New Roman"/>
                <w:vertAlign w:val="superscript"/>
              </w:rPr>
              <w:t>БР</w:t>
            </w:r>
            <w:r w:rsidRPr="001472A1">
              <w:rPr>
                <w:rFonts w:ascii="Times New Roman" w:hAnsi="Times New Roman"/>
                <w:vertAlign w:val="subscript"/>
              </w:rPr>
              <w:t>W</w:t>
            </w:r>
            <w:r w:rsidRPr="001472A1">
              <w:rPr>
                <w:rFonts w:ascii="Times New Roman" w:hAnsi="Times New Roman"/>
                <w:sz w:val="24"/>
              </w:rPr>
              <w:t>, К</w:t>
            </w:r>
            <w:r w:rsidRPr="001472A1">
              <w:rPr>
                <w:rFonts w:ascii="Times New Roman" w:hAnsi="Times New Roman"/>
                <w:vertAlign w:val="superscript"/>
              </w:rPr>
              <w:t>ДД</w:t>
            </w:r>
            <w:r w:rsidRPr="001472A1">
              <w:rPr>
                <w:rFonts w:ascii="Times New Roman" w:hAnsi="Times New Roman"/>
                <w:vertAlign w:val="subscript"/>
              </w:rPr>
              <w:t>W</w:t>
            </w:r>
            <w:r w:rsidRPr="001472A1">
              <w:rPr>
                <w:rFonts w:ascii="Times New Roman" w:hAnsi="Times New Roman"/>
                <w:sz w:val="24"/>
              </w:rPr>
              <w:t xml:space="preserve"> та К</w:t>
            </w:r>
            <w:r w:rsidRPr="001472A1">
              <w:rPr>
                <w:rFonts w:ascii="Times New Roman" w:hAnsi="Times New Roman"/>
                <w:vertAlign w:val="superscript"/>
              </w:rPr>
              <w:t>БР</w:t>
            </w:r>
            <w:r w:rsidRPr="001472A1">
              <w:rPr>
                <w:rFonts w:ascii="Times New Roman" w:hAnsi="Times New Roman"/>
                <w:vertAlign w:val="subscript"/>
              </w:rPr>
              <w:t>Ц</w:t>
            </w:r>
            <w:r w:rsidRPr="001472A1">
              <w:rPr>
                <w:rFonts w:ascii="Times New Roman" w:hAnsi="Times New Roman"/>
                <w:sz w:val="24"/>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26DC0692" w14:textId="56DA7D58" w:rsidR="001472A1" w:rsidRPr="001472A1" w:rsidRDefault="001472A1" w:rsidP="001472A1">
            <w:pPr>
              <w:spacing w:after="75"/>
              <w:ind w:firstLine="240"/>
              <w:jc w:val="both"/>
            </w:pPr>
            <w:r w:rsidRPr="001472A1">
              <w:rPr>
                <w:rFonts w:ascii="Times New Roman" w:hAnsi="Times New Roman"/>
                <w:sz w:val="24"/>
              </w:rPr>
              <w:t>Ц</w:t>
            </w:r>
            <w:r w:rsidRPr="001472A1">
              <w:rPr>
                <w:rFonts w:ascii="Times New Roman" w:hAnsi="Times New Roman"/>
                <w:vertAlign w:val="subscript"/>
              </w:rPr>
              <w:t>РДД ф і</w:t>
            </w:r>
            <w:r w:rsidRPr="001472A1">
              <w:rPr>
                <w:rFonts w:ascii="Times New Roman" w:hAnsi="Times New Roman"/>
                <w:sz w:val="24"/>
              </w:rPr>
              <w:t xml:space="preserve"> - місячний індекс базового навантаження на ринку двосторонніх договорів в і-му місяці звітного року, </w:t>
            </w:r>
            <w:r w:rsidR="00B21848" w:rsidRPr="00116FC7">
              <w:rPr>
                <w:rFonts w:ascii="Times New Roman" w:hAnsi="Times New Roman"/>
                <w:b/>
                <w:sz w:val="24"/>
              </w:rPr>
              <w:t xml:space="preserve">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w:t>
            </w:r>
            <w:proofErr w:type="spellStart"/>
            <w:r w:rsidR="00B21848" w:rsidRPr="00116FC7">
              <w:rPr>
                <w:rFonts w:ascii="Times New Roman" w:hAnsi="Times New Roman"/>
                <w:b/>
                <w:sz w:val="24"/>
              </w:rPr>
              <w:t>вебсайті</w:t>
            </w:r>
            <w:proofErr w:type="spellEnd"/>
            <w:r w:rsidR="00B21848" w:rsidRPr="00116FC7">
              <w:rPr>
                <w:rFonts w:ascii="Times New Roman" w:hAnsi="Times New Roman"/>
                <w:b/>
                <w:sz w:val="24"/>
              </w:rPr>
              <w:t xml:space="preserve"> в мережі Інтернет, та декадних фактичних </w:t>
            </w:r>
            <w:r w:rsidR="00B21848" w:rsidRPr="00116FC7">
              <w:rPr>
                <w:rFonts w:ascii="Times New Roman" w:hAnsi="Times New Roman"/>
                <w:b/>
                <w:sz w:val="24"/>
              </w:rPr>
              <w:lastRenderedPageBreak/>
              <w:t>обсягів технологічних витрат електричної енергії на її розподіл в і-му місяці звітного року купівлі на РДД</w:t>
            </w:r>
            <w:r w:rsidRPr="001472A1">
              <w:rPr>
                <w:rFonts w:ascii="Times New Roman" w:hAnsi="Times New Roman"/>
                <w:sz w:val="24"/>
              </w:rPr>
              <w:t>, грн/</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61F4DFBC" w14:textId="77777777" w:rsidR="001472A1" w:rsidRPr="001472A1" w:rsidRDefault="001472A1" w:rsidP="001472A1">
            <w:pPr>
              <w:spacing w:after="75"/>
              <w:ind w:firstLine="240"/>
              <w:jc w:val="both"/>
            </w:pPr>
            <w:r w:rsidRPr="001472A1">
              <w:rPr>
                <w:rFonts w:ascii="Times New Roman" w:hAnsi="Times New Roman"/>
                <w:sz w:val="24"/>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0A382131" w14:textId="77777777" w:rsidR="001472A1" w:rsidRPr="001472A1" w:rsidRDefault="001472A1" w:rsidP="001472A1">
            <w:pPr>
              <w:spacing w:after="75"/>
              <w:ind w:firstLine="240"/>
              <w:jc w:val="both"/>
            </w:pPr>
            <w:r w:rsidRPr="001472A1">
              <w:rPr>
                <w:rFonts w:ascii="Times New Roman" w:hAnsi="Times New Roman"/>
                <w:sz w:val="24"/>
              </w:rPr>
              <w:t xml:space="preserve">К = Ц </w:t>
            </w:r>
            <w:r w:rsidRPr="001472A1">
              <w:rPr>
                <w:rFonts w:ascii="Times New Roman" w:hAnsi="Times New Roman"/>
                <w:vertAlign w:val="subscript"/>
              </w:rPr>
              <w:t>РДН ф і</w:t>
            </w:r>
            <w:r w:rsidRPr="001472A1">
              <w:rPr>
                <w:rFonts w:ascii="Times New Roman" w:hAnsi="Times New Roman"/>
                <w:sz w:val="24"/>
              </w:rPr>
              <w:t xml:space="preserve"> / Ц </w:t>
            </w:r>
            <w:r w:rsidRPr="001472A1">
              <w:rPr>
                <w:rFonts w:ascii="Times New Roman" w:hAnsi="Times New Roman"/>
                <w:vertAlign w:val="subscript"/>
              </w:rPr>
              <w:t>база і</w:t>
            </w:r>
            <w:r w:rsidRPr="001472A1">
              <w:rPr>
                <w:rFonts w:ascii="Times New Roman" w:hAnsi="Times New Roman"/>
                <w:sz w:val="24"/>
              </w:rPr>
              <w:t>;</w:t>
            </w:r>
          </w:p>
          <w:p w14:paraId="265E0BE0" w14:textId="77777777" w:rsidR="001472A1" w:rsidRPr="001472A1" w:rsidRDefault="001472A1" w:rsidP="001472A1">
            <w:pPr>
              <w:spacing w:after="75"/>
              <w:ind w:firstLine="240"/>
              <w:jc w:val="both"/>
            </w:pPr>
            <w:r w:rsidRPr="001472A1">
              <w:rPr>
                <w:rFonts w:ascii="Times New Roman" w:hAnsi="Times New Roman"/>
                <w:sz w:val="24"/>
              </w:rPr>
              <w:t xml:space="preserve">Ц </w:t>
            </w:r>
            <w:r w:rsidRPr="001472A1">
              <w:rPr>
                <w:rFonts w:ascii="Times New Roman" w:hAnsi="Times New Roman"/>
                <w:vertAlign w:val="subscript"/>
              </w:rPr>
              <w:t>база і</w:t>
            </w:r>
            <w:r w:rsidRPr="001472A1">
              <w:rPr>
                <w:rFonts w:ascii="Times New Roman" w:hAnsi="Times New Roman"/>
                <w:sz w:val="24"/>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1472A1">
              <w:rPr>
                <w:rFonts w:ascii="Times New Roman" w:hAnsi="Times New Roman"/>
                <w:sz w:val="24"/>
              </w:rPr>
              <w:t>вебсайті</w:t>
            </w:r>
            <w:proofErr w:type="spellEnd"/>
            <w:r w:rsidRPr="001472A1">
              <w:rPr>
                <w:rFonts w:ascii="Times New Roman" w:hAnsi="Times New Roman"/>
                <w:sz w:val="24"/>
              </w:rPr>
              <w:t xml:space="preserve"> в мережі Інтернет, грн/МВт.</w:t>
            </w:r>
          </w:p>
          <w:p w14:paraId="00FA5743" w14:textId="77777777" w:rsidR="001472A1" w:rsidRPr="001472A1" w:rsidRDefault="001472A1" w:rsidP="001472A1">
            <w:pPr>
              <w:spacing w:after="75"/>
              <w:ind w:firstLine="240"/>
              <w:jc w:val="both"/>
            </w:pPr>
            <w:r w:rsidRPr="001472A1">
              <w:rPr>
                <w:rFonts w:ascii="Times New Roman" w:hAnsi="Times New Roman"/>
                <w:sz w:val="24"/>
              </w:rPr>
              <w:t>Якщо порушена схема нормального режиму роботи системи розподілу / змінені обсяги розподілу/надходження/віддачі/транзиту електричної енергії тощо внаслідок введення воєнного стану та/або бойових дій в Україні та за умови, що</w:t>
            </w:r>
          </w:p>
          <w:p w14:paraId="1EF25260" w14:textId="77777777" w:rsidR="001472A1" w:rsidRPr="001472A1" w:rsidRDefault="001472A1" w:rsidP="001472A1">
            <w:pPr>
              <w:spacing w:after="75"/>
              <w:jc w:val="center"/>
            </w:pPr>
            <w:r w:rsidRPr="001472A1">
              <w:rPr>
                <w:rFonts w:ascii="Times New Roman" w:hAnsi="Times New Roman"/>
                <w:sz w:val="24"/>
              </w:rPr>
              <w:t xml:space="preserve"> </w:t>
            </w:r>
            <w:r w:rsidRPr="001472A1">
              <w:rPr>
                <w:noProof/>
              </w:rPr>
              <w:drawing>
                <wp:inline distT="0" distB="0" distL="0" distR="0" wp14:anchorId="430F6BCF" wp14:editId="41A7CB73">
                  <wp:extent cx="2276475" cy="297693"/>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6556" cy="310781"/>
                          </a:xfrm>
                          <a:prstGeom prst="rect">
                            <a:avLst/>
                          </a:prstGeom>
                        </pic:spPr>
                      </pic:pic>
                    </a:graphicData>
                  </a:graphic>
                </wp:inline>
              </w:drawing>
            </w:r>
            <w:r w:rsidRPr="001472A1">
              <w:rPr>
                <w:rFonts w:ascii="Times New Roman" w:hAnsi="Times New Roman"/>
                <w:sz w:val="24"/>
              </w:rPr>
              <w:t>,</w:t>
            </w:r>
          </w:p>
          <w:p w14:paraId="514EE6B8" w14:textId="77777777" w:rsidR="001472A1" w:rsidRPr="001472A1" w:rsidRDefault="001472A1" w:rsidP="001472A1">
            <w:pPr>
              <w:spacing w:after="75"/>
              <w:jc w:val="center"/>
            </w:pPr>
            <w:r w:rsidRPr="001472A1">
              <w:rPr>
                <w:rFonts w:ascii="Times New Roman" w:hAnsi="Times New Roman"/>
                <w:sz w:val="24"/>
              </w:rPr>
              <w:t xml:space="preserve"> 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5AF60EE0" w14:textId="77777777" w:rsidR="001472A1" w:rsidRPr="001472A1" w:rsidRDefault="001472A1" w:rsidP="001472A1">
            <w:pPr>
              <w:spacing w:after="75"/>
              <w:ind w:firstLine="240"/>
              <w:jc w:val="both"/>
            </w:pPr>
            <w:r w:rsidRPr="001472A1">
              <w:rPr>
                <w:rFonts w:ascii="Times New Roman" w:hAnsi="Times New Roman"/>
                <w:sz w:val="24"/>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2CA58A6F" w14:textId="1E1B6B26" w:rsidR="001472A1" w:rsidRPr="001472A1" w:rsidRDefault="000B7670" w:rsidP="001472A1">
            <w:pPr>
              <w:spacing w:after="75"/>
              <w:ind w:firstLine="240"/>
              <w:jc w:val="both"/>
            </w:pPr>
            <w:r w:rsidRPr="000B7670">
              <w:rPr>
                <w:rFonts w:ascii="Times New Roman" w:hAnsi="Times New Roman"/>
                <w:b/>
                <w:sz w:val="24"/>
              </w:rPr>
              <w:t xml:space="preserve">належним чином оформлених розрахунків витрат електричної енергії за 2022 – 2025 роки згідно із фактичними схемами роботи системи розподілу/обсягами розподілу/надходження/віддачі/транзиту електричної енергії тощо за 2022 – 2025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w:t>
            </w:r>
            <w:r w:rsidRPr="000B7670">
              <w:rPr>
                <w:rFonts w:ascii="Times New Roman" w:hAnsi="Times New Roman"/>
                <w:b/>
                <w:sz w:val="24"/>
              </w:rPr>
              <w:lastRenderedPageBreak/>
              <w:t xml:space="preserve">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2025 роках (з 2024 року за умови, що величина загального обсягу відпуску електричної енергії побутовим та непобутовим споживачам (у тис. </w:t>
            </w:r>
            <w:proofErr w:type="spellStart"/>
            <w:r w:rsidRPr="000B7670">
              <w:rPr>
                <w:rFonts w:ascii="Times New Roman" w:hAnsi="Times New Roman"/>
                <w:b/>
                <w:sz w:val="24"/>
              </w:rPr>
              <w:t>кВт·год</w:t>
            </w:r>
            <w:proofErr w:type="spellEnd"/>
            <w:r w:rsidRPr="000B7670">
              <w:rPr>
                <w:rFonts w:ascii="Times New Roman" w:hAnsi="Times New Roman"/>
                <w:b/>
                <w:sz w:val="24"/>
              </w:rPr>
              <w:t xml:space="preserve">), визначена за фактичними показами розрахункових засобів обліку електроенергії (приймаються дані, зчитані автоматизованими системами або передані споживачами) за звітний рік, складає не менше ніж 97 % від суми величин загального обсягу відпуску таким споживачам (у тис. </w:t>
            </w:r>
            <w:proofErr w:type="spellStart"/>
            <w:r w:rsidRPr="000B7670">
              <w:rPr>
                <w:rFonts w:ascii="Times New Roman" w:hAnsi="Times New Roman"/>
                <w:b/>
                <w:sz w:val="24"/>
              </w:rPr>
              <w:t>кВт·год</w:t>
            </w:r>
            <w:proofErr w:type="spellEnd"/>
            <w:r w:rsidRPr="000B7670">
              <w:rPr>
                <w:rFonts w:ascii="Times New Roman" w:hAnsi="Times New Roman"/>
                <w:b/>
                <w:sz w:val="24"/>
              </w:rPr>
              <w:t>), що наведені у формі звітності № 5 НКРЕКП моніторинг-розподіл (місячна) за відповідний звітний рік). Для операторів систем розподілу, частина основних фондів яких знаходиться на територіях, на яких ведуться (велися) бойові дії або тимчасово окупованих російською федерацією, перелік яких наведено в додатку 30 до Порядку № 1175, за умови належного обґрунтування може бути застосований інший відсоток фактичних показів  розрахункових засобів обліку електроенергії.</w:t>
            </w:r>
          </w:p>
          <w:p w14:paraId="65BC7CBE" w14:textId="30802B77" w:rsidR="001472A1" w:rsidRPr="001472A1" w:rsidRDefault="001472A1" w:rsidP="001472A1">
            <w:pPr>
              <w:spacing w:after="75"/>
              <w:jc w:val="center"/>
            </w:pPr>
            <w:r w:rsidRPr="001472A1">
              <w:rPr>
                <w:rFonts w:ascii="Times New Roman" w:hAnsi="Times New Roman"/>
                <w:sz w:val="24"/>
              </w:rPr>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і</w:t>
            </w:r>
            <w:r w:rsidRPr="001472A1">
              <w:rPr>
                <w:rFonts w:ascii="Times New Roman" w:hAnsi="Times New Roman"/>
                <w:sz w:val="24"/>
              </w:rPr>
              <w:t xml:space="preserve"> за 2022 - </w:t>
            </w:r>
            <w:r w:rsidR="00CD5BF4" w:rsidRPr="00CD5BF4">
              <w:rPr>
                <w:rFonts w:ascii="Times New Roman" w:hAnsi="Times New Roman"/>
                <w:b/>
                <w:sz w:val="24"/>
              </w:rPr>
              <w:t>2025</w:t>
            </w:r>
            <w:r w:rsidRPr="001472A1">
              <w:rPr>
                <w:rFonts w:ascii="Times New Roman" w:hAnsi="Times New Roman"/>
                <w:sz w:val="24"/>
              </w:rPr>
              <w:t xml:space="preserve"> роки визначається за формулою</w:t>
            </w:r>
          </w:p>
          <w:p w14:paraId="0B0A7C9D" w14:textId="77777777" w:rsidR="001472A1" w:rsidRPr="001472A1" w:rsidRDefault="001472A1" w:rsidP="001472A1">
            <w:pPr>
              <w:spacing w:after="75"/>
              <w:jc w:val="center"/>
            </w:pPr>
            <w:r w:rsidRPr="001472A1">
              <w:rPr>
                <w:rFonts w:ascii="Times New Roman" w:hAnsi="Times New Roman"/>
                <w:sz w:val="24"/>
              </w:rPr>
              <w:t>Д</w:t>
            </w:r>
            <w:r w:rsidRPr="001472A1">
              <w:rPr>
                <w:rFonts w:ascii="Times New Roman" w:hAnsi="Times New Roman"/>
                <w:vertAlign w:val="subscript"/>
              </w:rPr>
              <w:t xml:space="preserve">ТВЕ </w:t>
            </w:r>
            <w:proofErr w:type="spellStart"/>
            <w:r w:rsidRPr="001472A1">
              <w:rPr>
                <w:rFonts w:ascii="Times New Roman" w:hAnsi="Times New Roman"/>
                <w:vertAlign w:val="subscript"/>
              </w:rPr>
              <w:t>нф</w:t>
            </w:r>
            <w:proofErr w:type="spellEnd"/>
            <w:r w:rsidRPr="001472A1">
              <w:rPr>
                <w:rFonts w:ascii="Times New Roman" w:hAnsi="Times New Roman"/>
                <w:vertAlign w:val="subscript"/>
              </w:rPr>
              <w:t xml:space="preserve"> і</w:t>
            </w:r>
            <w:r w:rsidRPr="001472A1">
              <w:rPr>
                <w:rFonts w:ascii="Times New Roman" w:hAnsi="Times New Roman"/>
                <w:sz w:val="24"/>
              </w:rPr>
              <w:t xml:space="preserve"> = (О</w:t>
            </w:r>
            <w:r w:rsidRPr="001472A1">
              <w:rPr>
                <w:rFonts w:ascii="Times New Roman" w:hAnsi="Times New Roman"/>
                <w:vertAlign w:val="subscript"/>
              </w:rPr>
              <w:t>ТВЕ ф і</w:t>
            </w:r>
            <w:r w:rsidRPr="001472A1">
              <w:rPr>
                <w:rFonts w:ascii="Times New Roman" w:hAnsi="Times New Roman"/>
                <w:sz w:val="24"/>
              </w:rPr>
              <w:t xml:space="preserve"> - О</w:t>
            </w:r>
            <w:r w:rsidRPr="001472A1">
              <w:rPr>
                <w:rFonts w:ascii="Times New Roman" w:hAnsi="Times New Roman"/>
                <w:vertAlign w:val="subscript"/>
              </w:rPr>
              <w:t>ТВЕ он і</w:t>
            </w:r>
            <w:r w:rsidRPr="001472A1">
              <w:rPr>
                <w:rFonts w:ascii="Times New Roman" w:hAnsi="Times New Roman"/>
                <w:sz w:val="24"/>
              </w:rPr>
              <w:t>) x Ц</w:t>
            </w:r>
            <w:r w:rsidRPr="001472A1">
              <w:rPr>
                <w:rFonts w:ascii="Times New Roman" w:hAnsi="Times New Roman"/>
                <w:vertAlign w:val="subscript"/>
              </w:rPr>
              <w:t>ТВЕ і</w:t>
            </w:r>
            <w:r w:rsidRPr="001472A1">
              <w:rPr>
                <w:rFonts w:ascii="Times New Roman" w:hAnsi="Times New Roman"/>
                <w:sz w:val="24"/>
              </w:rPr>
              <w:t>,</w:t>
            </w:r>
          </w:p>
          <w:p w14:paraId="2C5B429E" w14:textId="77777777" w:rsidR="001472A1" w:rsidRPr="001472A1" w:rsidRDefault="001472A1" w:rsidP="001472A1">
            <w:pPr>
              <w:spacing w:after="75"/>
              <w:ind w:firstLine="240"/>
              <w:jc w:val="both"/>
            </w:pPr>
            <w:r w:rsidRPr="001472A1">
              <w:rPr>
                <w:rFonts w:ascii="Times New Roman" w:hAnsi="Times New Roman"/>
                <w:sz w:val="24"/>
              </w:rPr>
              <w:t>де О</w:t>
            </w:r>
            <w:r w:rsidRPr="001472A1">
              <w:rPr>
                <w:rFonts w:ascii="Times New Roman" w:hAnsi="Times New Roman"/>
                <w:vertAlign w:val="subscript"/>
              </w:rPr>
              <w:t>ТВЕ ф і</w:t>
            </w:r>
            <w:r w:rsidRPr="001472A1">
              <w:rPr>
                <w:rFonts w:ascii="Times New Roman" w:hAnsi="Times New Roman"/>
                <w:sz w:val="24"/>
              </w:rPr>
              <w:t xml:space="preserve"> - фактичний обсяг технологічних витрат електричної енергії на її розподіл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441767FD" w14:textId="77777777" w:rsidR="001472A1" w:rsidRPr="001472A1" w:rsidRDefault="001472A1" w:rsidP="001472A1">
            <w:pPr>
              <w:ind w:firstLine="308"/>
              <w:jc w:val="both"/>
              <w:rPr>
                <w:rFonts w:ascii="Times New Roman" w:hAnsi="Times New Roman" w:cs="Times New Roman"/>
                <w:shd w:val="clear" w:color="auto" w:fill="FFFFFF"/>
              </w:rPr>
            </w:pPr>
            <w:r w:rsidRPr="001472A1">
              <w:rPr>
                <w:rFonts w:ascii="Times New Roman" w:hAnsi="Times New Roman"/>
                <w:sz w:val="24"/>
              </w:rPr>
              <w:t>О</w:t>
            </w:r>
            <w:r w:rsidRPr="001472A1">
              <w:rPr>
                <w:rFonts w:ascii="Times New Roman" w:hAnsi="Times New Roman"/>
                <w:vertAlign w:val="subscript"/>
              </w:rPr>
              <w:t>ТВЕ он і</w:t>
            </w:r>
            <w:r w:rsidRPr="001472A1">
              <w:rPr>
                <w:rFonts w:ascii="Times New Roman" w:hAnsi="Times New Roman"/>
                <w:sz w:val="24"/>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розподілу/надходження/віддачі/транзиту електричної енергії тощо внаслідок введення воєнного стану та/або бойових дій в Україні, в і-му місяці звітного року, </w:t>
            </w:r>
            <w:proofErr w:type="spellStart"/>
            <w:r w:rsidRPr="001472A1">
              <w:rPr>
                <w:rFonts w:ascii="Times New Roman" w:hAnsi="Times New Roman"/>
                <w:sz w:val="24"/>
              </w:rPr>
              <w:t>МВт·год</w:t>
            </w:r>
            <w:proofErr w:type="spellEnd"/>
            <w:r w:rsidRPr="001472A1">
              <w:rPr>
                <w:rFonts w:ascii="Times New Roman" w:hAnsi="Times New Roman"/>
                <w:sz w:val="24"/>
              </w:rPr>
              <w:t>;</w:t>
            </w:r>
          </w:p>
          <w:p w14:paraId="28AA446D" w14:textId="77777777" w:rsidR="001D1F44" w:rsidRPr="00EC3012" w:rsidRDefault="001D1F44" w:rsidP="001D1F44">
            <w:pPr>
              <w:ind w:firstLine="308"/>
              <w:jc w:val="both"/>
              <w:rPr>
                <w:rFonts w:ascii="Times New Roman" w:hAnsi="Times New Roman" w:cs="Times New Roman"/>
                <w:shd w:val="clear" w:color="auto" w:fill="FFFFFF"/>
              </w:rPr>
            </w:pPr>
          </w:p>
          <w:p w14:paraId="270FC95D" w14:textId="77777777" w:rsidR="001D1F44" w:rsidRPr="00EC3012" w:rsidRDefault="001D1F44" w:rsidP="001D1F44">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23ACBE5E" w14:textId="77777777" w:rsidR="001D1F44" w:rsidRPr="00EC3012" w:rsidRDefault="001D1F44" w:rsidP="001D1F44">
            <w:pPr>
              <w:ind w:firstLine="308"/>
              <w:jc w:val="both"/>
              <w:rPr>
                <w:rFonts w:ascii="Times New Roman" w:hAnsi="Times New Roman" w:cs="Times New Roman"/>
                <w:shd w:val="clear" w:color="auto" w:fill="FFFFFF"/>
              </w:rPr>
            </w:pPr>
          </w:p>
          <w:p w14:paraId="13A80E65" w14:textId="77777777" w:rsidR="001D1F44" w:rsidRPr="001D1F44" w:rsidRDefault="001D1F44" w:rsidP="001D1F44">
            <w:pPr>
              <w:spacing w:after="75"/>
              <w:ind w:firstLine="240"/>
              <w:jc w:val="both"/>
            </w:pPr>
            <w:r w:rsidRPr="001D1F44">
              <w:rPr>
                <w:rFonts w:ascii="Times New Roman" w:hAnsi="Times New Roman"/>
                <w:sz w:val="24"/>
              </w:rPr>
              <w:t>6) дельта за статтею "операційні контрольовані витрати" (</w:t>
            </w:r>
            <w:r w:rsidRPr="001D1F44">
              <w:rPr>
                <w:rFonts w:ascii="Times New Roman" w:hAnsi="Times New Roman"/>
                <w:vertAlign w:val="subscript"/>
              </w:rPr>
              <w:t>D</w:t>
            </w:r>
            <w:r w:rsidRPr="001D1F44">
              <w:rPr>
                <w:rFonts w:ascii="Times New Roman" w:hAnsi="Times New Roman"/>
                <w:sz w:val="24"/>
              </w:rPr>
              <w:t>ОКВ) тис. грн, що визначається за формулою</w:t>
            </w:r>
          </w:p>
          <w:p w14:paraId="313CE367" w14:textId="77777777" w:rsidR="001D1F44" w:rsidRPr="001D1F44" w:rsidRDefault="001D1F44" w:rsidP="001D1F44">
            <w:pPr>
              <w:spacing w:after="75"/>
              <w:jc w:val="center"/>
            </w:pPr>
            <w:r w:rsidRPr="001D1F44">
              <w:rPr>
                <w:rFonts w:ascii="Symbol" w:hAnsi="Symbol"/>
              </w:rPr>
              <w:lastRenderedPageBreak/>
              <w:t></w:t>
            </w:r>
            <w:r w:rsidRPr="001D1F44">
              <w:rPr>
                <w:rFonts w:ascii="Times New Roman" w:hAnsi="Times New Roman"/>
                <w:sz w:val="18"/>
              </w:rPr>
              <w:t>ОКВ = ОКВ</w:t>
            </w:r>
            <w:r w:rsidRPr="001D1F44">
              <w:rPr>
                <w:rFonts w:ascii="Times New Roman" w:hAnsi="Times New Roman"/>
              </w:rPr>
              <w:t xml:space="preserve"> </w:t>
            </w:r>
            <w:r w:rsidRPr="001D1F44">
              <w:rPr>
                <w:rFonts w:ascii="Times New Roman" w:hAnsi="Times New Roman"/>
                <w:vertAlign w:val="subscript"/>
              </w:rPr>
              <w:t>т</w:t>
            </w:r>
            <w:r w:rsidRPr="001D1F44">
              <w:rPr>
                <w:rFonts w:ascii="Times New Roman" w:hAnsi="Times New Roman"/>
              </w:rPr>
              <w:t xml:space="preserve"> </w:t>
            </w:r>
            <w:r w:rsidRPr="001D1F44">
              <w:rPr>
                <w:rFonts w:ascii="Times New Roman" w:hAnsi="Times New Roman"/>
                <w:sz w:val="18"/>
              </w:rPr>
              <w:t>- ОКВ</w:t>
            </w:r>
            <w:r w:rsidRPr="001D1F44">
              <w:rPr>
                <w:rFonts w:ascii="Times New Roman" w:hAnsi="Times New Roman"/>
              </w:rPr>
              <w:t xml:space="preserve"> </w:t>
            </w:r>
            <w:r w:rsidRPr="001D1F44">
              <w:rPr>
                <w:rFonts w:ascii="Times New Roman" w:hAnsi="Times New Roman"/>
                <w:vertAlign w:val="subscript"/>
              </w:rPr>
              <w:t>у</w:t>
            </w:r>
            <w:r w:rsidRPr="001D1F44">
              <w:rPr>
                <w:rFonts w:ascii="Times New Roman" w:hAnsi="Times New Roman"/>
                <w:sz w:val="18"/>
              </w:rPr>
              <w:t>,</w:t>
            </w:r>
          </w:p>
          <w:p w14:paraId="07ECAE6E" w14:textId="77777777" w:rsidR="001D1F44" w:rsidRPr="001D1F44" w:rsidRDefault="001D1F44" w:rsidP="001D1F44">
            <w:pPr>
              <w:spacing w:after="75"/>
              <w:ind w:firstLine="240"/>
              <w:jc w:val="both"/>
            </w:pPr>
            <w:r w:rsidRPr="001D1F44">
              <w:rPr>
                <w:rFonts w:ascii="Times New Roman" w:hAnsi="Times New Roman"/>
                <w:sz w:val="24"/>
              </w:rPr>
              <w:t xml:space="preserve">де ОКВ </w:t>
            </w:r>
            <w:r w:rsidRPr="001D1F44">
              <w:rPr>
                <w:rFonts w:ascii="Times New Roman" w:hAnsi="Times New Roman"/>
                <w:vertAlign w:val="subscript"/>
              </w:rPr>
              <w:t>т</w:t>
            </w:r>
            <w:r w:rsidRPr="001D1F44">
              <w:rPr>
                <w:rFonts w:ascii="Times New Roman" w:hAnsi="Times New Roman"/>
                <w:sz w:val="24"/>
              </w:rPr>
              <w:t xml:space="preserve"> - витрати за статтею "операційні контрольовані витрати", враховані при розрахунку тарифу на звітний рік, тис. грн;</w:t>
            </w:r>
          </w:p>
          <w:p w14:paraId="1DEC546E" w14:textId="7537D099" w:rsidR="001D1F44" w:rsidRPr="00CA0539" w:rsidRDefault="001D1F44" w:rsidP="001D1F44">
            <w:pPr>
              <w:spacing w:after="75"/>
              <w:ind w:firstLine="240"/>
              <w:jc w:val="both"/>
              <w:rPr>
                <w:rFonts w:ascii="Times New Roman" w:hAnsi="Times New Roman" w:cs="Times New Roman"/>
                <w:sz w:val="24"/>
                <w:szCs w:val="24"/>
              </w:rPr>
            </w:pPr>
            <w:r w:rsidRPr="001D1F44">
              <w:rPr>
                <w:rFonts w:ascii="Times New Roman" w:hAnsi="Times New Roman"/>
                <w:sz w:val="24"/>
              </w:rPr>
              <w:t xml:space="preserve">ОКВ </w:t>
            </w:r>
            <w:r w:rsidRPr="001D1F44">
              <w:rPr>
                <w:rFonts w:ascii="Times New Roman" w:hAnsi="Times New Roman"/>
                <w:vertAlign w:val="subscript"/>
              </w:rPr>
              <w:t>у</w:t>
            </w:r>
            <w:r w:rsidRPr="001D1F44">
              <w:rPr>
                <w:rFonts w:ascii="Times New Roman" w:hAnsi="Times New Roman"/>
                <w:sz w:val="24"/>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1D1F44">
              <w:rPr>
                <w:rFonts w:ascii="Times New Roman" w:hAnsi="Times New Roman"/>
                <w:sz w:val="24"/>
              </w:rPr>
              <w:t>ОКВ</w:t>
            </w:r>
            <w:r w:rsidRPr="001D1F44">
              <w:rPr>
                <w:rFonts w:ascii="Times New Roman" w:hAnsi="Times New Roman"/>
                <w:vertAlign w:val="subscript"/>
              </w:rPr>
              <w:t>у</w:t>
            </w:r>
            <w:proofErr w:type="spellEnd"/>
            <w:r w:rsidRPr="001D1F44">
              <w:rPr>
                <w:rFonts w:ascii="Times New Roman" w:hAnsi="Times New Roman"/>
                <w:sz w:val="24"/>
              </w:rPr>
              <w:t xml:space="preserve"> показник </w:t>
            </w:r>
            <w:r w:rsidRPr="001D1F44">
              <w:rPr>
                <w:noProof/>
              </w:rPr>
              <w:drawing>
                <wp:inline distT="0" distB="0" distL="0" distR="0" wp14:anchorId="30843673" wp14:editId="5B29A9CD">
                  <wp:extent cx="400050" cy="19233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5545" cy="194974"/>
                          </a:xfrm>
                          <a:prstGeom prst="rect">
                            <a:avLst/>
                          </a:prstGeom>
                        </pic:spPr>
                      </pic:pic>
                    </a:graphicData>
                  </a:graphic>
                </wp:inline>
              </w:drawing>
            </w:r>
            <w:r w:rsidRPr="001D1F44">
              <w:rPr>
                <w:rFonts w:ascii="Times New Roman" w:hAnsi="Times New Roman"/>
                <w:sz w:val="24"/>
              </w:rPr>
              <w:t xml:space="preserve"> приймається на рівні прогнозованого </w:t>
            </w:r>
            <w:r w:rsidRPr="00CA0539">
              <w:rPr>
                <w:rFonts w:ascii="Times New Roman" w:hAnsi="Times New Roman" w:cs="Times New Roman"/>
                <w:sz w:val="24"/>
                <w:szCs w:val="24"/>
              </w:rPr>
              <w:t>індексу цін виробників промислової продукції для року t-1 (</w:t>
            </w:r>
            <w:r w:rsidRPr="00CA0539">
              <w:rPr>
                <w:rFonts w:ascii="Times New Roman" w:hAnsi="Times New Roman" w:cs="Times New Roman"/>
                <w:noProof/>
                <w:sz w:val="24"/>
                <w:szCs w:val="24"/>
              </w:rPr>
              <w:drawing>
                <wp:inline distT="0" distB="0" distL="0" distR="0" wp14:anchorId="6863F703" wp14:editId="5E080A40">
                  <wp:extent cx="381000" cy="124558"/>
                  <wp:effectExtent l="0" t="0" r="0"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386" cy="128607"/>
                          </a:xfrm>
                          <a:prstGeom prst="rect">
                            <a:avLst/>
                          </a:prstGeom>
                        </pic:spPr>
                      </pic:pic>
                    </a:graphicData>
                  </a:graphic>
                </wp:inline>
              </w:drawing>
            </w:r>
            <w:r w:rsidRPr="00CA0539">
              <w:rPr>
                <w:rFonts w:ascii="Times New Roman" w:hAnsi="Times New Roman" w:cs="Times New Roman"/>
                <w:sz w:val="24"/>
                <w:szCs w:val="24"/>
              </w:rPr>
              <w:t>)), тис. грн.</w:t>
            </w:r>
          </w:p>
          <w:p w14:paraId="794A7880" w14:textId="5DFE1B26" w:rsidR="00CA0539" w:rsidRPr="00CA0539" w:rsidRDefault="00CA0539" w:rsidP="001D1F44">
            <w:pPr>
              <w:spacing w:after="75"/>
              <w:ind w:firstLine="240"/>
              <w:jc w:val="both"/>
              <w:rPr>
                <w:rFonts w:ascii="Times New Roman" w:hAnsi="Times New Roman" w:cs="Times New Roman"/>
                <w:b/>
                <w:sz w:val="24"/>
                <w:szCs w:val="24"/>
              </w:rPr>
            </w:pPr>
            <w:r w:rsidRPr="00CA0539">
              <w:rPr>
                <w:rFonts w:ascii="Times New Roman" w:hAnsi="Times New Roman" w:cs="Times New Roman"/>
                <w:b/>
                <w:sz w:val="24"/>
                <w:szCs w:val="24"/>
              </w:rPr>
              <w:t>Для АТ «ДТЕК ДОНЕЦЬКІ ЕЛЕКТРОМЕРЕЖІ», АТ «ЗАПОРІЖЖЯОБЛЕНЕРГО», АТ «ХЕРСОНОБЛЕНЕРГО» та ТОВ «ДТЕК ВИСОКОВОЛЬТНІ МЕРЕЖІ», у зв’язку із окупацією/</w:t>
            </w:r>
            <w:proofErr w:type="spellStart"/>
            <w:r w:rsidRPr="00CA0539">
              <w:rPr>
                <w:rFonts w:ascii="Times New Roman" w:hAnsi="Times New Roman" w:cs="Times New Roman"/>
                <w:b/>
                <w:sz w:val="24"/>
                <w:szCs w:val="24"/>
              </w:rPr>
              <w:t>деокупацією</w:t>
            </w:r>
            <w:proofErr w:type="spellEnd"/>
            <w:r w:rsidRPr="00CA0539">
              <w:rPr>
                <w:rFonts w:ascii="Times New Roman" w:hAnsi="Times New Roman" w:cs="Times New Roman"/>
                <w:b/>
                <w:sz w:val="24"/>
                <w:szCs w:val="24"/>
              </w:rPr>
              <w:t xml:space="preserve"> територій їх ліцензованої діяльності, на 2025 рік уточнені </w:t>
            </w:r>
            <w:proofErr w:type="spellStart"/>
            <w:r w:rsidRPr="00CA0539">
              <w:rPr>
                <w:rFonts w:ascii="Times New Roman" w:hAnsi="Times New Roman" w:cs="Times New Roman"/>
                <w:b/>
                <w:sz w:val="24"/>
                <w:szCs w:val="24"/>
              </w:rPr>
              <w:t>ОКВт</w:t>
            </w:r>
            <w:proofErr w:type="spellEnd"/>
            <w:r w:rsidRPr="00CA0539">
              <w:rPr>
                <w:rFonts w:ascii="Times New Roman" w:hAnsi="Times New Roman" w:cs="Times New Roman"/>
                <w:b/>
                <w:sz w:val="24"/>
                <w:szCs w:val="24"/>
              </w:rPr>
              <w:t xml:space="preserve"> у звітному році дорівнюють витратам, урахованим у тарифах із застосуванням </w:t>
            </w:r>
            <w:proofErr w:type="spellStart"/>
            <w:r w:rsidRPr="00CA0539">
              <w:rPr>
                <w:rFonts w:ascii="Times New Roman" w:hAnsi="Times New Roman" w:cs="Times New Roman"/>
                <w:b/>
                <w:sz w:val="24"/>
                <w:szCs w:val="24"/>
              </w:rPr>
              <w:t>КФУу</w:t>
            </w:r>
            <w:proofErr w:type="spellEnd"/>
            <w:r>
              <w:rPr>
                <w:rFonts w:ascii="Times New Roman" w:hAnsi="Times New Roman" w:cs="Times New Roman"/>
                <w:b/>
                <w:sz w:val="24"/>
                <w:szCs w:val="24"/>
              </w:rPr>
              <w:t>.</w:t>
            </w:r>
          </w:p>
          <w:p w14:paraId="0E6FC8B8" w14:textId="100EB371" w:rsidR="001D1F44" w:rsidRPr="001D1F44" w:rsidRDefault="001D1F44" w:rsidP="001D1F44">
            <w:pPr>
              <w:spacing w:after="75"/>
              <w:ind w:firstLine="240"/>
              <w:jc w:val="both"/>
            </w:pPr>
            <w:r w:rsidRPr="00CA0539">
              <w:rPr>
                <w:rFonts w:ascii="Times New Roman" w:hAnsi="Times New Roman" w:cs="Times New Roman"/>
                <w:sz w:val="24"/>
                <w:szCs w:val="24"/>
              </w:rPr>
              <w:t xml:space="preserve">За 2022 - 2024 роки для АТ "ДТЕК ДОНЕЦЬКІ ЕЛЕКТРОМЕРЕЖІ"; </w:t>
            </w:r>
            <w:r w:rsidRPr="00CA0539">
              <w:rPr>
                <w:rFonts w:ascii="Times New Roman" w:hAnsi="Times New Roman" w:cs="Times New Roman"/>
                <w:b/>
                <w:sz w:val="24"/>
                <w:szCs w:val="24"/>
              </w:rPr>
              <w:t>АТ</w:t>
            </w:r>
            <w:r w:rsidRPr="00CA0539">
              <w:rPr>
                <w:rFonts w:ascii="Times New Roman" w:hAnsi="Times New Roman" w:cs="Times New Roman"/>
                <w:sz w:val="24"/>
                <w:szCs w:val="24"/>
              </w:rPr>
              <w:t xml:space="preserve"> "ЗАПОРІЖЖЯОБЛЕНЕРГО"; АТ "ХЕРСОНОБЛЕНЕРГО" та ТОВ "ДТЕК ВИСОКОВОЛЬТНІ МЕРЕЖІ" дельта за статтею "операційні контрольовані витрати</w:t>
            </w:r>
            <w:r w:rsidRPr="001D1F44">
              <w:rPr>
                <w:rFonts w:ascii="Times New Roman" w:hAnsi="Times New Roman"/>
                <w:sz w:val="24"/>
              </w:rPr>
              <w:t>" (DОКВ) не визначається.</w:t>
            </w:r>
          </w:p>
          <w:p w14:paraId="30703786" w14:textId="41026916" w:rsidR="007F5EE2" w:rsidRPr="00EC3012" w:rsidRDefault="001D1F44" w:rsidP="00940443">
            <w:pPr>
              <w:ind w:firstLine="308"/>
              <w:jc w:val="both"/>
              <w:rPr>
                <w:rFonts w:ascii="Times New Roman" w:hAnsi="Times New Roman" w:cs="Times New Roman"/>
                <w:b/>
                <w:shd w:val="clear" w:color="auto" w:fill="FFFFFF"/>
              </w:rPr>
            </w:pPr>
            <w:r w:rsidRPr="001D1F44">
              <w:rPr>
                <w:rFonts w:ascii="Times New Roman" w:hAnsi="Times New Roman"/>
                <w:sz w:val="24"/>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при виконанні ремонтів та інвестиційної програми;</w:t>
            </w:r>
          </w:p>
        </w:tc>
      </w:tr>
      <w:tr w:rsidR="00940443" w:rsidRPr="00EC3012" w14:paraId="50783C12" w14:textId="77777777" w:rsidTr="00AD1642">
        <w:trPr>
          <w:trHeight w:val="610"/>
        </w:trPr>
        <w:tc>
          <w:tcPr>
            <w:tcW w:w="7724" w:type="dxa"/>
          </w:tcPr>
          <w:p w14:paraId="5C213B0C" w14:textId="77777777" w:rsidR="00940443" w:rsidRDefault="00940443" w:rsidP="003807D6">
            <w:pPr>
              <w:ind w:firstLine="308"/>
              <w:jc w:val="both"/>
              <w:rPr>
                <w:rFonts w:ascii="Times New Roman" w:hAnsi="Times New Roman" w:cs="Times New Roman"/>
                <w:shd w:val="clear" w:color="auto" w:fill="FFFFFF"/>
              </w:rPr>
            </w:pPr>
            <w:r w:rsidRPr="00940443">
              <w:rPr>
                <w:rFonts w:ascii="Times New Roman" w:hAnsi="Times New Roman" w:cs="Times New Roman"/>
                <w:shd w:val="clear" w:color="auto" w:fill="FFFFFF"/>
              </w:rPr>
              <w:lastRenderedPageBreak/>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0400E58B" w14:textId="77777777" w:rsidR="00940443" w:rsidRDefault="00940443" w:rsidP="003807D6">
            <w:pPr>
              <w:ind w:firstLine="308"/>
              <w:jc w:val="both"/>
              <w:rPr>
                <w:rFonts w:ascii="Times New Roman" w:hAnsi="Times New Roman" w:cs="Times New Roman"/>
                <w:shd w:val="clear" w:color="auto" w:fill="FFFFFF"/>
              </w:rPr>
            </w:pPr>
          </w:p>
          <w:p w14:paraId="16743B47" w14:textId="77777777" w:rsidR="00940443" w:rsidRPr="00EC3012" w:rsidRDefault="00940443" w:rsidP="0094044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0412DA94" w14:textId="77777777" w:rsidR="00940443" w:rsidRPr="00EC3012" w:rsidRDefault="00940443" w:rsidP="00940443">
            <w:pPr>
              <w:ind w:firstLine="308"/>
              <w:jc w:val="both"/>
              <w:rPr>
                <w:rFonts w:ascii="Times New Roman" w:hAnsi="Times New Roman" w:cs="Times New Roman"/>
                <w:shd w:val="clear" w:color="auto" w:fill="FFFFFF"/>
              </w:rPr>
            </w:pPr>
          </w:p>
          <w:p w14:paraId="644825AC" w14:textId="18A5A698" w:rsidR="00940443" w:rsidRPr="00EC3012" w:rsidRDefault="00940443" w:rsidP="00AE343E">
            <w:pPr>
              <w:ind w:firstLine="308"/>
              <w:jc w:val="both"/>
              <w:rPr>
                <w:rFonts w:ascii="Times New Roman" w:hAnsi="Times New Roman" w:cs="Times New Roman"/>
                <w:shd w:val="clear" w:color="auto" w:fill="FFFFFF"/>
              </w:rPr>
            </w:pPr>
            <w:r w:rsidRPr="00940443">
              <w:rPr>
                <w:rFonts w:ascii="Times New Roman" w:hAnsi="Times New Roman" w:cs="Times New Roman"/>
                <w:shd w:val="clear" w:color="auto" w:fill="FFFFFF"/>
              </w:rPr>
              <w:lastRenderedPageBreak/>
              <w:t>3) фактичні витрати, понесені ліцензіатом у звітному році, які відповідно до постанов N 345 та N 386 визнано обґрунтованими</w:t>
            </w:r>
            <w:r>
              <w:rPr>
                <w:rFonts w:ascii="Times New Roman" w:hAnsi="Times New Roman" w:cs="Times New Roman"/>
                <w:shd w:val="clear" w:color="auto" w:fill="FFFFFF"/>
              </w:rPr>
              <w:t>.</w:t>
            </w:r>
          </w:p>
        </w:tc>
        <w:tc>
          <w:tcPr>
            <w:tcW w:w="7725" w:type="dxa"/>
          </w:tcPr>
          <w:p w14:paraId="2EEE38AD" w14:textId="77777777" w:rsidR="00940443" w:rsidRDefault="00940443" w:rsidP="00940443">
            <w:pPr>
              <w:ind w:firstLine="308"/>
              <w:jc w:val="both"/>
              <w:rPr>
                <w:rFonts w:ascii="Times New Roman" w:hAnsi="Times New Roman" w:cs="Times New Roman"/>
                <w:shd w:val="clear" w:color="auto" w:fill="FFFFFF"/>
              </w:rPr>
            </w:pPr>
            <w:r w:rsidRPr="00940443">
              <w:rPr>
                <w:rFonts w:ascii="Times New Roman" w:hAnsi="Times New Roman" w:cs="Times New Roman"/>
                <w:shd w:val="clear" w:color="auto" w:fill="FFFFFF"/>
              </w:rPr>
              <w:lastRenderedPageBreak/>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04011793" w14:textId="77777777" w:rsidR="00940443" w:rsidRDefault="00940443" w:rsidP="00940443">
            <w:pPr>
              <w:ind w:firstLine="308"/>
              <w:jc w:val="both"/>
              <w:rPr>
                <w:rFonts w:ascii="Times New Roman" w:hAnsi="Times New Roman" w:cs="Times New Roman"/>
                <w:shd w:val="clear" w:color="auto" w:fill="FFFFFF"/>
              </w:rPr>
            </w:pPr>
          </w:p>
          <w:p w14:paraId="38F203E5" w14:textId="77777777" w:rsidR="00940443" w:rsidRPr="00EC3012" w:rsidRDefault="00940443" w:rsidP="00940443">
            <w:pPr>
              <w:ind w:firstLine="308"/>
              <w:jc w:val="both"/>
              <w:rPr>
                <w:rFonts w:ascii="Times New Roman" w:hAnsi="Times New Roman" w:cs="Times New Roman"/>
                <w:shd w:val="clear" w:color="auto" w:fill="FFFFFF"/>
              </w:rPr>
            </w:pPr>
            <w:r w:rsidRPr="00EC3012">
              <w:rPr>
                <w:rFonts w:ascii="Times New Roman" w:hAnsi="Times New Roman" w:cs="Times New Roman"/>
                <w:shd w:val="clear" w:color="auto" w:fill="FFFFFF"/>
              </w:rPr>
              <w:t>&lt;…&gt;</w:t>
            </w:r>
          </w:p>
          <w:p w14:paraId="378C4973" w14:textId="77777777" w:rsidR="00940443" w:rsidRPr="00EC3012" w:rsidRDefault="00940443" w:rsidP="00940443">
            <w:pPr>
              <w:ind w:firstLine="308"/>
              <w:jc w:val="both"/>
              <w:rPr>
                <w:rFonts w:ascii="Times New Roman" w:hAnsi="Times New Roman" w:cs="Times New Roman"/>
                <w:shd w:val="clear" w:color="auto" w:fill="FFFFFF"/>
              </w:rPr>
            </w:pPr>
          </w:p>
          <w:p w14:paraId="3EDA1C30" w14:textId="24CA2AEC" w:rsidR="00940443" w:rsidRPr="00EC3012" w:rsidRDefault="00940443" w:rsidP="00940443">
            <w:pPr>
              <w:ind w:firstLine="308"/>
              <w:jc w:val="both"/>
              <w:rPr>
                <w:rFonts w:ascii="Times New Roman" w:hAnsi="Times New Roman" w:cs="Times New Roman"/>
                <w:shd w:val="clear" w:color="auto" w:fill="FFFFFF"/>
              </w:rPr>
            </w:pPr>
            <w:r w:rsidRPr="00940443">
              <w:rPr>
                <w:rFonts w:ascii="Times New Roman" w:hAnsi="Times New Roman" w:cs="Times New Roman"/>
                <w:shd w:val="clear" w:color="auto" w:fill="FFFFFF"/>
              </w:rPr>
              <w:lastRenderedPageBreak/>
              <w:t>3) фактичні витрати, понесені ліцензіатом у звітному році, які відповідно до постанов N 345 та N 386 визнано обґрунтованими</w:t>
            </w:r>
            <w:r w:rsidR="00AE343E" w:rsidRPr="00AE343E">
              <w:rPr>
                <w:rFonts w:ascii="Times New Roman" w:hAnsi="Times New Roman" w:cs="Times New Roman"/>
                <w:b/>
                <w:shd w:val="clear" w:color="auto" w:fill="FFFFFF"/>
              </w:rPr>
              <w:t>, за винятком витрат, понесених ліцензіатом у звітному році, які відповідно до постанови № 386 визнано обґрунтованими, визначених відповідно до пунктів 12 та 13 цієї Методики</w:t>
            </w:r>
            <w:r w:rsidR="00AE343E">
              <w:rPr>
                <w:rFonts w:ascii="Times New Roman" w:hAnsi="Times New Roman" w:cs="Times New Roman"/>
                <w:b/>
                <w:shd w:val="clear" w:color="auto" w:fill="FFFFFF"/>
              </w:rPr>
              <w:t>.</w:t>
            </w:r>
          </w:p>
        </w:tc>
      </w:tr>
      <w:tr w:rsidR="003807D6" w:rsidRPr="00EC3012" w14:paraId="22D16DDE" w14:textId="77777777" w:rsidTr="00AD1642">
        <w:trPr>
          <w:trHeight w:val="610"/>
        </w:trPr>
        <w:tc>
          <w:tcPr>
            <w:tcW w:w="7724" w:type="dxa"/>
          </w:tcPr>
          <w:p w14:paraId="1C75F4D7" w14:textId="71924017" w:rsidR="003807D6" w:rsidRPr="00EC3012" w:rsidRDefault="00AE343E" w:rsidP="003807D6">
            <w:pPr>
              <w:ind w:firstLine="308"/>
              <w:jc w:val="both"/>
              <w:rPr>
                <w:rFonts w:ascii="Times New Roman" w:hAnsi="Times New Roman" w:cs="Times New Roman"/>
                <w:shd w:val="clear" w:color="auto" w:fill="FFFFFF"/>
              </w:rPr>
            </w:pPr>
            <w:r w:rsidRPr="00AE343E">
              <w:rPr>
                <w:rFonts w:ascii="Times New Roman" w:hAnsi="Times New Roman" w:cs="Times New Roman"/>
                <w:shd w:val="clear" w:color="auto" w:fill="FFFFFF"/>
              </w:rPr>
              <w:lastRenderedPageBreak/>
              <w:t>10. При здійсненні заходів контролю за результатами діяльності з розподілу електричної енергії у 2022 - 2024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tc>
        <w:tc>
          <w:tcPr>
            <w:tcW w:w="7725" w:type="dxa"/>
          </w:tcPr>
          <w:p w14:paraId="743EA874" w14:textId="1529A565" w:rsidR="003807D6" w:rsidRPr="00EC3012" w:rsidRDefault="00AE343E" w:rsidP="003807D6">
            <w:pPr>
              <w:ind w:firstLine="308"/>
              <w:jc w:val="both"/>
              <w:rPr>
                <w:rFonts w:ascii="Times New Roman" w:hAnsi="Times New Roman" w:cs="Times New Roman"/>
                <w:shd w:val="clear" w:color="auto" w:fill="FFFFFF"/>
              </w:rPr>
            </w:pPr>
            <w:r w:rsidRPr="00AE343E">
              <w:rPr>
                <w:rFonts w:ascii="Times New Roman" w:hAnsi="Times New Roman" w:cs="Times New Roman"/>
                <w:shd w:val="clear" w:color="auto" w:fill="FFFFFF"/>
              </w:rPr>
              <w:t xml:space="preserve">10. При здійсненні заходів контролю за результатами діяльності з розподілу електричної енергії у 2022 - </w:t>
            </w:r>
            <w:r w:rsidRPr="00AE343E">
              <w:rPr>
                <w:rFonts w:ascii="Times New Roman" w:hAnsi="Times New Roman" w:cs="Times New Roman"/>
                <w:b/>
                <w:shd w:val="clear" w:color="auto" w:fill="FFFFFF"/>
              </w:rPr>
              <w:t>2025</w:t>
            </w:r>
            <w:r w:rsidRPr="00AE343E">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tc>
      </w:tr>
      <w:tr w:rsidR="003807D6" w:rsidRPr="00EC3012" w14:paraId="5B2BFFD0" w14:textId="77777777" w:rsidTr="00AD1642">
        <w:trPr>
          <w:trHeight w:val="610"/>
        </w:trPr>
        <w:tc>
          <w:tcPr>
            <w:tcW w:w="7724" w:type="dxa"/>
          </w:tcPr>
          <w:p w14:paraId="5D709CA1" w14:textId="355AA18E" w:rsidR="003807D6" w:rsidRPr="00EC3012" w:rsidRDefault="004E4BD7" w:rsidP="003807D6">
            <w:pPr>
              <w:ind w:firstLine="308"/>
              <w:jc w:val="both"/>
              <w:rPr>
                <w:rFonts w:ascii="Times New Roman" w:hAnsi="Times New Roman" w:cs="Times New Roman"/>
                <w:shd w:val="clear" w:color="auto" w:fill="FFFFFF"/>
              </w:rPr>
            </w:pPr>
            <w:r w:rsidRPr="004E4BD7">
              <w:rPr>
                <w:rFonts w:ascii="Times New Roman" w:hAnsi="Times New Roman" w:cs="Times New Roman"/>
                <w:shd w:val="clear" w:color="auto" w:fill="FFFFFF"/>
              </w:rPr>
              <w:t>12.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об'єкта в експлуатацію), зменшену на суму об'єктивного перевищення вартості заходів (до 5 %), у розрізі заходів інвестиційної програми із наданням відповідних обґрунтувань згідно з установленим порядком.</w:t>
            </w:r>
          </w:p>
        </w:tc>
        <w:tc>
          <w:tcPr>
            <w:tcW w:w="7725" w:type="dxa"/>
          </w:tcPr>
          <w:p w14:paraId="4435B34A" w14:textId="7131C9C6" w:rsidR="003807D6" w:rsidRPr="00EC3012" w:rsidRDefault="004E4BD7" w:rsidP="003807D6">
            <w:pPr>
              <w:ind w:firstLine="308"/>
              <w:jc w:val="both"/>
              <w:rPr>
                <w:rFonts w:ascii="Times New Roman" w:hAnsi="Times New Roman" w:cs="Times New Roman"/>
                <w:shd w:val="clear" w:color="auto" w:fill="FFFFFF"/>
              </w:rPr>
            </w:pPr>
            <w:r w:rsidRPr="004E4BD7">
              <w:rPr>
                <w:rFonts w:ascii="Times New Roman" w:hAnsi="Times New Roman" w:cs="Times New Roman"/>
                <w:shd w:val="clear" w:color="auto" w:fill="FFFFFF"/>
              </w:rPr>
              <w:t>12.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об'єкта в експлуатацію), зменшену на суму об'єктивного перевищення вартості заходів (до 5 %), у розрізі заходів інвестиційної програми із наданням відповідних обґрунтувань згідно з установленим порядком</w:t>
            </w:r>
            <w:r w:rsidRPr="004E4BD7">
              <w:rPr>
                <w:rFonts w:ascii="Times New Roman" w:hAnsi="Times New Roman" w:cs="Times New Roman"/>
                <w:b/>
                <w:shd w:val="clear" w:color="auto" w:fill="FFFFFF"/>
              </w:rPr>
              <w:t>, а також зменшену на суму фактичних витрат, понесених ліцензіатом у звітному році за рахунок зекономлених коштів, які відповідно до постанови № 386 визнано обґрунтованими</w:t>
            </w:r>
            <w:r>
              <w:rPr>
                <w:rFonts w:ascii="Times New Roman" w:hAnsi="Times New Roman" w:cs="Times New Roman"/>
                <w:b/>
                <w:shd w:val="clear" w:color="auto" w:fill="FFFFFF"/>
              </w:rPr>
              <w:t>.</w:t>
            </w:r>
          </w:p>
        </w:tc>
      </w:tr>
      <w:tr w:rsidR="00EC5706" w:rsidRPr="00EC3012" w14:paraId="724750F9" w14:textId="77777777" w:rsidTr="00AD1642">
        <w:trPr>
          <w:trHeight w:val="610"/>
        </w:trPr>
        <w:tc>
          <w:tcPr>
            <w:tcW w:w="7724" w:type="dxa"/>
          </w:tcPr>
          <w:p w14:paraId="6B3D445C" w14:textId="77777777" w:rsidR="00EC5706" w:rsidRPr="00EC5706" w:rsidRDefault="00EC5706" w:rsidP="00EC5706">
            <w:pPr>
              <w:spacing w:after="75"/>
              <w:ind w:firstLine="240"/>
              <w:jc w:val="both"/>
            </w:pPr>
            <w:bookmarkStart w:id="125" w:name="18092"/>
            <w:r w:rsidRPr="00EC5706">
              <w:rPr>
                <w:rFonts w:ascii="Times New Roman" w:hAnsi="Times New Roman"/>
                <w:sz w:val="24"/>
              </w:rPr>
              <w:t>13. Обсяг фінансування інвестиційної програми на рік, що є наступним за звітним роком, збільшується в такому порядку:</w:t>
            </w:r>
          </w:p>
          <w:p w14:paraId="287479F4" w14:textId="77777777" w:rsidR="00EC5706" w:rsidRPr="00EC5706" w:rsidRDefault="00EC5706" w:rsidP="00EC5706">
            <w:pPr>
              <w:spacing w:after="75"/>
              <w:ind w:firstLine="240"/>
              <w:jc w:val="both"/>
            </w:pPr>
            <w:bookmarkStart w:id="126" w:name="18093"/>
            <w:bookmarkEnd w:id="125"/>
            <w:r w:rsidRPr="00EC5706">
              <w:rPr>
                <w:rFonts w:ascii="Times New Roman" w:hAnsi="Times New Roman"/>
                <w:sz w:val="24"/>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w:t>
            </w:r>
          </w:p>
          <w:p w14:paraId="17775B49" w14:textId="77777777" w:rsidR="00EC5706" w:rsidRPr="00EC5706" w:rsidRDefault="00EC5706" w:rsidP="00EC5706">
            <w:pPr>
              <w:spacing w:after="75"/>
              <w:ind w:firstLine="240"/>
              <w:jc w:val="both"/>
            </w:pPr>
            <w:bookmarkStart w:id="127" w:name="18094"/>
            <w:bookmarkEnd w:id="126"/>
            <w:r w:rsidRPr="00EC5706">
              <w:rPr>
                <w:rFonts w:ascii="Times New Roman" w:hAnsi="Times New Roman"/>
                <w:sz w:val="24"/>
              </w:rPr>
              <w:t>на 50 % суми додатково отриманого доходу, отриманого у звітному році від плати за доступ до елементів інфраструктури об'єктів електроенергетики;</w:t>
            </w:r>
          </w:p>
          <w:p w14:paraId="58F5CA99" w14:textId="77777777" w:rsidR="00EC5706" w:rsidRPr="00EC5706" w:rsidRDefault="00EC5706" w:rsidP="00EC5706">
            <w:pPr>
              <w:spacing w:after="75"/>
              <w:ind w:firstLine="240"/>
              <w:jc w:val="both"/>
            </w:pPr>
            <w:bookmarkStart w:id="128" w:name="18095"/>
            <w:bookmarkEnd w:id="127"/>
            <w:r w:rsidRPr="00EC5706">
              <w:rPr>
                <w:rFonts w:ascii="Times New Roman" w:hAnsi="Times New Roman"/>
                <w:sz w:val="24"/>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bookmarkEnd w:id="128"/>
          <w:p w14:paraId="76E3FADB" w14:textId="686A2992" w:rsidR="00EC5706" w:rsidRPr="00EC5706" w:rsidRDefault="00EC5706" w:rsidP="00EC5706">
            <w:pPr>
              <w:ind w:firstLine="308"/>
              <w:jc w:val="both"/>
              <w:rPr>
                <w:rFonts w:ascii="Times New Roman" w:hAnsi="Times New Roman" w:cs="Times New Roman"/>
                <w:shd w:val="clear" w:color="auto" w:fill="FFFFFF"/>
              </w:rPr>
            </w:pPr>
            <w:r w:rsidRPr="00EC5706">
              <w:rPr>
                <w:rFonts w:ascii="Times New Roman" w:hAnsi="Times New Roman"/>
                <w:sz w:val="24"/>
              </w:rPr>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proofErr w:type="spellStart"/>
            <w:r w:rsidRPr="00EC5706">
              <w:rPr>
                <w:rFonts w:ascii="Times New Roman" w:hAnsi="Times New Roman"/>
                <w:vertAlign w:val="subscript"/>
              </w:rPr>
              <w:t>D</w:t>
            </w:r>
            <w:r w:rsidRPr="00EC5706">
              <w:rPr>
                <w:rFonts w:ascii="Times New Roman" w:hAnsi="Times New Roman"/>
                <w:sz w:val="24"/>
              </w:rPr>
              <w:t>П</w:t>
            </w:r>
            <w:r w:rsidRPr="00EC5706">
              <w:rPr>
                <w:rFonts w:ascii="Times New Roman" w:hAnsi="Times New Roman"/>
                <w:vertAlign w:val="subscript"/>
              </w:rPr>
              <w:t>ст</w:t>
            </w:r>
            <w:proofErr w:type="spellEnd"/>
            <w:r w:rsidRPr="00EC5706">
              <w:rPr>
                <w:rFonts w:ascii="Times New Roman" w:hAnsi="Times New Roman"/>
                <w:sz w:val="24"/>
              </w:rPr>
              <w:t>).</w:t>
            </w:r>
          </w:p>
        </w:tc>
        <w:tc>
          <w:tcPr>
            <w:tcW w:w="7725" w:type="dxa"/>
          </w:tcPr>
          <w:p w14:paraId="68CD6FBF" w14:textId="77777777" w:rsidR="00EC5706" w:rsidRPr="00EC5706" w:rsidRDefault="00EC5706" w:rsidP="00EC5706">
            <w:pPr>
              <w:spacing w:after="75"/>
              <w:ind w:firstLine="240"/>
              <w:jc w:val="both"/>
            </w:pPr>
            <w:r w:rsidRPr="00EC5706">
              <w:rPr>
                <w:rFonts w:ascii="Times New Roman" w:hAnsi="Times New Roman"/>
                <w:sz w:val="24"/>
              </w:rPr>
              <w:t>13. Обсяг фінансування інвестиційної програми на рік, що є наступним за звітним роком, збільшується в такому порядку:</w:t>
            </w:r>
          </w:p>
          <w:p w14:paraId="2C44ECE5" w14:textId="1D98B859" w:rsidR="00EC5706" w:rsidRPr="00EC5706" w:rsidRDefault="00EC5706" w:rsidP="00EC5706">
            <w:pPr>
              <w:spacing w:after="75"/>
              <w:ind w:firstLine="240"/>
              <w:jc w:val="both"/>
            </w:pPr>
            <w:r w:rsidRPr="00EC5706">
              <w:rPr>
                <w:rFonts w:ascii="Times New Roman" w:hAnsi="Times New Roman"/>
                <w:sz w:val="24"/>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w:t>
            </w:r>
            <w:r w:rsidRPr="00EC5706">
              <w:rPr>
                <w:rFonts w:ascii="Times New Roman" w:hAnsi="Times New Roman"/>
                <w:b/>
                <w:sz w:val="24"/>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Pr="00EC5706">
              <w:rPr>
                <w:rFonts w:ascii="Times New Roman" w:hAnsi="Times New Roman"/>
                <w:sz w:val="24"/>
              </w:rPr>
              <w:t>;</w:t>
            </w:r>
          </w:p>
          <w:p w14:paraId="6B40E65B" w14:textId="4DE7CBE9" w:rsidR="00EC5706" w:rsidRPr="00EC5706" w:rsidRDefault="00EC5706" w:rsidP="00EC5706">
            <w:pPr>
              <w:spacing w:after="75"/>
              <w:ind w:firstLine="240"/>
              <w:jc w:val="both"/>
            </w:pPr>
            <w:r w:rsidRPr="00EC5706">
              <w:rPr>
                <w:rFonts w:ascii="Times New Roman" w:hAnsi="Times New Roman"/>
                <w:sz w:val="24"/>
              </w:rPr>
              <w:t>на 50 % суми додатково отриманого доходу, отриманого у звітному році від плати за доступ до елементів інфраструктури об'єктів електроенергетики</w:t>
            </w:r>
            <w:r w:rsidRPr="00EC5706">
              <w:rPr>
                <w:rFonts w:ascii="Times New Roman" w:hAnsi="Times New Roman"/>
                <w:b/>
                <w:sz w:val="24"/>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Pr="00EC5706">
              <w:rPr>
                <w:rFonts w:ascii="Times New Roman" w:hAnsi="Times New Roman"/>
                <w:sz w:val="24"/>
              </w:rPr>
              <w:t>;</w:t>
            </w:r>
          </w:p>
          <w:p w14:paraId="33D210BE" w14:textId="5086970A" w:rsidR="00EC5706" w:rsidRPr="00EC5706" w:rsidRDefault="00EC5706" w:rsidP="00EC5706">
            <w:pPr>
              <w:spacing w:after="75"/>
              <w:ind w:firstLine="240"/>
              <w:jc w:val="both"/>
            </w:pPr>
            <w:r w:rsidRPr="00EC5706">
              <w:rPr>
                <w:rFonts w:ascii="Times New Roman" w:hAnsi="Times New Roman"/>
                <w:sz w:val="24"/>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r w:rsidRPr="00EC5706">
              <w:rPr>
                <w:rFonts w:ascii="Times New Roman" w:hAnsi="Times New Roman"/>
                <w:b/>
                <w:sz w:val="24"/>
              </w:rPr>
              <w:t xml:space="preserve">, зменшеного на суму фактичних витрат, понесених ліцензіатом у звітному році за рахунок </w:t>
            </w:r>
            <w:r w:rsidRPr="00EC5706">
              <w:rPr>
                <w:rFonts w:ascii="Times New Roman" w:hAnsi="Times New Roman"/>
                <w:b/>
                <w:sz w:val="24"/>
              </w:rPr>
              <w:lastRenderedPageBreak/>
              <w:t>цього доходу, які відповідно до постанови № 386 визнано обґрунтованими</w:t>
            </w:r>
            <w:r w:rsidRPr="00EC5706">
              <w:rPr>
                <w:rFonts w:ascii="Times New Roman" w:hAnsi="Times New Roman"/>
                <w:sz w:val="24"/>
              </w:rPr>
              <w:t>;</w:t>
            </w:r>
          </w:p>
          <w:p w14:paraId="0C881E3E" w14:textId="77777777" w:rsidR="00EC5706" w:rsidRDefault="00EC5706" w:rsidP="00EC5706">
            <w:pPr>
              <w:ind w:firstLine="308"/>
              <w:jc w:val="both"/>
              <w:rPr>
                <w:rFonts w:ascii="Times New Roman" w:hAnsi="Times New Roman"/>
                <w:sz w:val="24"/>
              </w:rPr>
            </w:pPr>
            <w:r w:rsidRPr="00EC5706">
              <w:rPr>
                <w:rFonts w:ascii="Times New Roman" w:hAnsi="Times New Roman"/>
                <w:sz w:val="24"/>
              </w:rPr>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proofErr w:type="spellStart"/>
            <w:r w:rsidRPr="00EC5706">
              <w:rPr>
                <w:rFonts w:ascii="Times New Roman" w:hAnsi="Times New Roman"/>
                <w:vertAlign w:val="subscript"/>
              </w:rPr>
              <w:t>D</w:t>
            </w:r>
            <w:r w:rsidRPr="00EC5706">
              <w:rPr>
                <w:rFonts w:ascii="Times New Roman" w:hAnsi="Times New Roman"/>
                <w:sz w:val="24"/>
              </w:rPr>
              <w:t>П</w:t>
            </w:r>
            <w:r w:rsidRPr="00EC5706">
              <w:rPr>
                <w:rFonts w:ascii="Times New Roman" w:hAnsi="Times New Roman"/>
                <w:vertAlign w:val="subscript"/>
              </w:rPr>
              <w:t>ст</w:t>
            </w:r>
            <w:proofErr w:type="spellEnd"/>
            <w:r w:rsidRPr="00EC5706">
              <w:rPr>
                <w:rFonts w:ascii="Times New Roman" w:hAnsi="Times New Roman"/>
                <w:sz w:val="24"/>
              </w:rPr>
              <w:t>).</w:t>
            </w:r>
          </w:p>
          <w:p w14:paraId="231B8844" w14:textId="6A0CAC6D" w:rsidR="00EC5706" w:rsidRPr="00EC5706" w:rsidRDefault="00EC5706" w:rsidP="00EC5706">
            <w:pPr>
              <w:ind w:firstLine="308"/>
              <w:jc w:val="both"/>
              <w:rPr>
                <w:rFonts w:ascii="Times New Roman" w:hAnsi="Times New Roman" w:cs="Times New Roman"/>
                <w:b/>
                <w:shd w:val="clear" w:color="auto" w:fill="FFFFFF"/>
              </w:rPr>
            </w:pPr>
            <w:r w:rsidRPr="00EC5706">
              <w:rPr>
                <w:rFonts w:ascii="Times New Roman" w:hAnsi="Times New Roman" w:cs="Times New Roman"/>
                <w:b/>
                <w:shd w:val="clear" w:color="auto" w:fill="FFFFFF"/>
              </w:rPr>
              <w:t>на 100 % прибутку від надання послуг комерційного обліку електричної енергії, зменшено</w:t>
            </w:r>
            <w:bookmarkStart w:id="129" w:name="_GoBack"/>
            <w:bookmarkEnd w:id="129"/>
            <w:r w:rsidRPr="00EC5706">
              <w:rPr>
                <w:rFonts w:ascii="Times New Roman" w:hAnsi="Times New Roman" w:cs="Times New Roman"/>
                <w:b/>
                <w:shd w:val="clear" w:color="auto" w:fill="FFFFFF"/>
              </w:rPr>
              <w:t>го на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tc>
      </w:tr>
      <w:tr w:rsidR="00EC5706" w:rsidRPr="00EC3012" w14:paraId="18BF0B00" w14:textId="77777777" w:rsidTr="00AD1642">
        <w:trPr>
          <w:trHeight w:val="610"/>
        </w:trPr>
        <w:tc>
          <w:tcPr>
            <w:tcW w:w="7724" w:type="dxa"/>
          </w:tcPr>
          <w:p w14:paraId="2FDC5EC2" w14:textId="67A573D0" w:rsidR="00EC5706" w:rsidRPr="00EC5706" w:rsidRDefault="00EC5706" w:rsidP="00EC5706">
            <w:pPr>
              <w:spacing w:after="75"/>
              <w:ind w:firstLine="240"/>
              <w:jc w:val="both"/>
              <w:rPr>
                <w:rFonts w:ascii="Times New Roman" w:hAnsi="Times New Roman"/>
                <w:sz w:val="24"/>
              </w:rPr>
            </w:pPr>
            <w:r w:rsidRPr="00EC3012">
              <w:rPr>
                <w:rFonts w:ascii="Times New Roman" w:hAnsi="Times New Roman" w:cs="Times New Roman"/>
                <w:shd w:val="clear" w:color="auto" w:fill="FFFFFF"/>
              </w:rPr>
              <w:lastRenderedPageBreak/>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tc>
        <w:tc>
          <w:tcPr>
            <w:tcW w:w="7725" w:type="dxa"/>
          </w:tcPr>
          <w:p w14:paraId="342C0B6C" w14:textId="3B81CD85" w:rsidR="00EC5706" w:rsidRPr="00EC5706" w:rsidRDefault="00EC5706" w:rsidP="00EC5706">
            <w:pPr>
              <w:spacing w:after="75"/>
              <w:ind w:firstLine="240"/>
              <w:jc w:val="both"/>
              <w:rPr>
                <w:rFonts w:ascii="Times New Roman" w:hAnsi="Times New Roman"/>
                <w:b/>
                <w:sz w:val="24"/>
              </w:rPr>
            </w:pPr>
            <w:r w:rsidRPr="00EC5706">
              <w:rPr>
                <w:rFonts w:ascii="Times New Roman" w:hAnsi="Times New Roman"/>
                <w:b/>
                <w:sz w:val="24"/>
              </w:rPr>
              <w:t>Доповнити новим додатком, що додається</w:t>
            </w:r>
            <w:r>
              <w:rPr>
                <w:rFonts w:ascii="Times New Roman" w:hAnsi="Times New Roman"/>
                <w:b/>
                <w:sz w:val="24"/>
              </w:rPr>
              <w:t>.</w:t>
            </w:r>
          </w:p>
        </w:tc>
      </w:tr>
      <w:tr w:rsidR="00EC5706" w:rsidRPr="00EC3012" w14:paraId="2F74BF80" w14:textId="77777777" w:rsidTr="00656A42">
        <w:trPr>
          <w:trHeight w:val="610"/>
        </w:trPr>
        <w:tc>
          <w:tcPr>
            <w:tcW w:w="15449" w:type="dxa"/>
            <w:gridSpan w:val="2"/>
            <w:shd w:val="clear" w:color="auto" w:fill="A8D08D" w:themeFill="accent6" w:themeFillTint="99"/>
          </w:tcPr>
          <w:p w14:paraId="175BB54F" w14:textId="579B71D6" w:rsidR="00EC5706" w:rsidRPr="00EC3012" w:rsidRDefault="00EC5706" w:rsidP="00656A42">
            <w:pPr>
              <w:jc w:val="center"/>
              <w:rPr>
                <w:rFonts w:ascii="Times New Roman" w:hAnsi="Times New Roman" w:cs="Times New Roman"/>
                <w:b/>
              </w:rPr>
            </w:pPr>
            <w:r w:rsidRPr="00EC3012">
              <w:rPr>
                <w:rFonts w:ascii="Times New Roman" w:hAnsi="Times New Roman" w:cs="Times New Roman"/>
                <w:b/>
              </w:rPr>
              <w:t xml:space="preserve">Додаток </w:t>
            </w:r>
            <w:r>
              <w:rPr>
                <w:rFonts w:ascii="Times New Roman" w:hAnsi="Times New Roman" w:cs="Times New Roman"/>
                <w:b/>
              </w:rPr>
              <w:t>34</w:t>
            </w:r>
          </w:p>
          <w:p w14:paraId="3447542B" w14:textId="2D350C38" w:rsidR="00EC5706" w:rsidRPr="00EC3012" w:rsidRDefault="00EC5706" w:rsidP="00656A42">
            <w:pPr>
              <w:ind w:firstLine="308"/>
              <w:jc w:val="center"/>
              <w:rPr>
                <w:rFonts w:ascii="Times New Roman" w:hAnsi="Times New Roman" w:cs="Times New Roman"/>
                <w:shd w:val="clear" w:color="auto" w:fill="FFFFFF"/>
              </w:rPr>
            </w:pPr>
            <w:r w:rsidRPr="00EC3012">
              <w:rPr>
                <w:rFonts w:ascii="Times New Roman" w:hAnsi="Times New Roman" w:cs="Times New Roman"/>
                <w:b/>
              </w:rPr>
              <w:t xml:space="preserve">Методика </w:t>
            </w:r>
            <w:r w:rsidRPr="00EC5706">
              <w:rPr>
                <w:rFonts w:ascii="Times New Roman" w:hAnsi="Times New Roman" w:cs="Times New Roman"/>
                <w:b/>
              </w:rPr>
              <w:t>визначення сум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w:t>
            </w:r>
          </w:p>
        </w:tc>
      </w:tr>
      <w:tr w:rsidR="00AB6B3D" w:rsidRPr="00EC3012" w14:paraId="55536837" w14:textId="77777777" w:rsidTr="00AB6B3D">
        <w:trPr>
          <w:trHeight w:val="610"/>
        </w:trPr>
        <w:tc>
          <w:tcPr>
            <w:tcW w:w="7724" w:type="dxa"/>
            <w:shd w:val="clear" w:color="auto" w:fill="auto"/>
          </w:tcPr>
          <w:p w14:paraId="64E1ED28" w14:textId="51851635" w:rsidR="00AB6B3D" w:rsidRPr="00AB6B3D" w:rsidRDefault="00AB6B3D" w:rsidP="00AB6B3D">
            <w:pPr>
              <w:spacing w:after="75"/>
              <w:ind w:firstLine="240"/>
              <w:jc w:val="both"/>
              <w:rPr>
                <w:rFonts w:ascii="Times New Roman" w:hAnsi="Times New Roman" w:cs="Times New Roman"/>
                <w:shd w:val="clear" w:color="auto" w:fill="FFFFFF"/>
              </w:rPr>
            </w:pPr>
            <w:r w:rsidRPr="00EC3012">
              <w:rPr>
                <w:rFonts w:ascii="Times New Roman" w:hAnsi="Times New Roman" w:cs="Times New Roman"/>
                <w:shd w:val="clear" w:color="auto" w:fill="FFFFFF"/>
              </w:rPr>
              <w:t xml:space="preserve">&lt; </w:t>
            </w:r>
            <w:r>
              <w:rPr>
                <w:rFonts w:ascii="Times New Roman" w:hAnsi="Times New Roman" w:cs="Times New Roman"/>
                <w:shd w:val="clear" w:color="auto" w:fill="FFFFFF"/>
              </w:rPr>
              <w:t>В</w:t>
            </w:r>
            <w:r w:rsidRPr="00EC3012">
              <w:rPr>
                <w:rFonts w:ascii="Times New Roman" w:hAnsi="Times New Roman" w:cs="Times New Roman"/>
                <w:shd w:val="clear" w:color="auto" w:fill="FFFFFF"/>
              </w:rPr>
              <w:t>ідсутній &gt;</w:t>
            </w:r>
          </w:p>
        </w:tc>
        <w:tc>
          <w:tcPr>
            <w:tcW w:w="7725" w:type="dxa"/>
            <w:shd w:val="clear" w:color="auto" w:fill="auto"/>
          </w:tcPr>
          <w:p w14:paraId="5D1A4EF1" w14:textId="56774B69" w:rsidR="00AB6B3D" w:rsidRPr="00AB6B3D" w:rsidRDefault="00AB6B3D" w:rsidP="00AB6B3D">
            <w:pPr>
              <w:spacing w:after="75"/>
              <w:ind w:firstLine="240"/>
              <w:jc w:val="both"/>
              <w:rPr>
                <w:rFonts w:ascii="Times New Roman" w:hAnsi="Times New Roman" w:cs="Times New Roman"/>
                <w:b/>
                <w:shd w:val="clear" w:color="auto" w:fill="FFFFFF"/>
              </w:rPr>
            </w:pPr>
            <w:r w:rsidRPr="00AB6B3D">
              <w:rPr>
                <w:rFonts w:ascii="Times New Roman" w:hAnsi="Times New Roman" w:cs="Times New Roman"/>
                <w:b/>
                <w:shd w:val="clear" w:color="auto" w:fill="FFFFFF"/>
              </w:rPr>
              <w:t>Доповнити новим додатком 34, що додається</w:t>
            </w:r>
            <w:r>
              <w:rPr>
                <w:rFonts w:ascii="Times New Roman" w:hAnsi="Times New Roman" w:cs="Times New Roman"/>
                <w:b/>
                <w:shd w:val="clear" w:color="auto" w:fill="FFFFFF"/>
              </w:rPr>
              <w:t>.</w:t>
            </w:r>
          </w:p>
        </w:tc>
      </w:tr>
    </w:tbl>
    <w:p w14:paraId="05741DD7" w14:textId="77777777" w:rsidR="00876C1D" w:rsidRPr="00EC3012" w:rsidRDefault="00876C1D" w:rsidP="00620873">
      <w:pPr>
        <w:rPr>
          <w:rFonts w:ascii="Times New Roman" w:hAnsi="Times New Roman" w:cs="Times New Roman"/>
          <w:b/>
          <w:sz w:val="24"/>
        </w:rPr>
      </w:pPr>
    </w:p>
    <w:sectPr w:rsidR="00876C1D" w:rsidRPr="00EC3012" w:rsidSect="00000A11">
      <w:headerReference w:type="default" r:id="rId23"/>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0AA42" w14:textId="77777777" w:rsidR="00EC30B1" w:rsidRDefault="00EC30B1" w:rsidP="00E82F7A">
      <w:pPr>
        <w:spacing w:after="0" w:line="240" w:lineRule="auto"/>
      </w:pPr>
      <w:r>
        <w:separator/>
      </w:r>
    </w:p>
  </w:endnote>
  <w:endnote w:type="continuationSeparator" w:id="0">
    <w:p w14:paraId="5C5D2CAD" w14:textId="77777777" w:rsidR="00EC30B1" w:rsidRDefault="00EC30B1"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8AA41" w14:textId="77777777" w:rsidR="00EC30B1" w:rsidRDefault="00EC30B1" w:rsidP="00E82F7A">
      <w:pPr>
        <w:spacing w:after="0" w:line="240" w:lineRule="auto"/>
      </w:pPr>
      <w:r>
        <w:separator/>
      </w:r>
    </w:p>
  </w:footnote>
  <w:footnote w:type="continuationSeparator" w:id="0">
    <w:p w14:paraId="5643E933" w14:textId="77777777" w:rsidR="00EC30B1" w:rsidRDefault="00EC30B1"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Content>
      <w:p w14:paraId="40F8BCFE" w14:textId="77777777" w:rsidR="0084161E" w:rsidRPr="00E82F7A" w:rsidRDefault="0084161E">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84161E" w:rsidRPr="00E82F7A" w:rsidRDefault="0084161E">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3D6C"/>
    <w:rsid w:val="000147F3"/>
    <w:rsid w:val="00015D78"/>
    <w:rsid w:val="00016BF3"/>
    <w:rsid w:val="000170C6"/>
    <w:rsid w:val="00017D02"/>
    <w:rsid w:val="00021604"/>
    <w:rsid w:val="00027FE0"/>
    <w:rsid w:val="0004250F"/>
    <w:rsid w:val="00043800"/>
    <w:rsid w:val="0004744E"/>
    <w:rsid w:val="00051288"/>
    <w:rsid w:val="00052179"/>
    <w:rsid w:val="0005258C"/>
    <w:rsid w:val="00053545"/>
    <w:rsid w:val="00053580"/>
    <w:rsid w:val="00053FA6"/>
    <w:rsid w:val="00054641"/>
    <w:rsid w:val="00055024"/>
    <w:rsid w:val="00055888"/>
    <w:rsid w:val="00055FF4"/>
    <w:rsid w:val="0005734B"/>
    <w:rsid w:val="0006260F"/>
    <w:rsid w:val="00063DED"/>
    <w:rsid w:val="00065299"/>
    <w:rsid w:val="000700F7"/>
    <w:rsid w:val="00070BA8"/>
    <w:rsid w:val="0007102D"/>
    <w:rsid w:val="00071481"/>
    <w:rsid w:val="000725AD"/>
    <w:rsid w:val="000726B0"/>
    <w:rsid w:val="00072B57"/>
    <w:rsid w:val="000758B0"/>
    <w:rsid w:val="0007634B"/>
    <w:rsid w:val="00077C2A"/>
    <w:rsid w:val="00081B66"/>
    <w:rsid w:val="00083439"/>
    <w:rsid w:val="0008352C"/>
    <w:rsid w:val="00085CF9"/>
    <w:rsid w:val="00087A5E"/>
    <w:rsid w:val="00091A88"/>
    <w:rsid w:val="00091A8C"/>
    <w:rsid w:val="000924F7"/>
    <w:rsid w:val="00092646"/>
    <w:rsid w:val="000940A0"/>
    <w:rsid w:val="0009661F"/>
    <w:rsid w:val="00096B4B"/>
    <w:rsid w:val="000A1218"/>
    <w:rsid w:val="000A1F13"/>
    <w:rsid w:val="000A3B97"/>
    <w:rsid w:val="000A3F17"/>
    <w:rsid w:val="000A75AA"/>
    <w:rsid w:val="000A7685"/>
    <w:rsid w:val="000A7AE2"/>
    <w:rsid w:val="000B295D"/>
    <w:rsid w:val="000B2EF7"/>
    <w:rsid w:val="000B5AB0"/>
    <w:rsid w:val="000B6196"/>
    <w:rsid w:val="000B7670"/>
    <w:rsid w:val="000C123B"/>
    <w:rsid w:val="000C31C4"/>
    <w:rsid w:val="000C3CB3"/>
    <w:rsid w:val="000C43FB"/>
    <w:rsid w:val="000C4E42"/>
    <w:rsid w:val="000C53DE"/>
    <w:rsid w:val="000C607F"/>
    <w:rsid w:val="000D3C0A"/>
    <w:rsid w:val="000D7574"/>
    <w:rsid w:val="000E0131"/>
    <w:rsid w:val="000E0EAB"/>
    <w:rsid w:val="000E0F44"/>
    <w:rsid w:val="000E4CAC"/>
    <w:rsid w:val="000E705D"/>
    <w:rsid w:val="000E7505"/>
    <w:rsid w:val="000F07B8"/>
    <w:rsid w:val="000F1E96"/>
    <w:rsid w:val="000F2390"/>
    <w:rsid w:val="000F3662"/>
    <w:rsid w:val="000F7F02"/>
    <w:rsid w:val="0010377A"/>
    <w:rsid w:val="00103999"/>
    <w:rsid w:val="00104698"/>
    <w:rsid w:val="0010682E"/>
    <w:rsid w:val="00113D08"/>
    <w:rsid w:val="001162AB"/>
    <w:rsid w:val="00116FC7"/>
    <w:rsid w:val="00117EFA"/>
    <w:rsid w:val="001220B0"/>
    <w:rsid w:val="00124A2F"/>
    <w:rsid w:val="0012527A"/>
    <w:rsid w:val="00125DE4"/>
    <w:rsid w:val="001271E8"/>
    <w:rsid w:val="00130551"/>
    <w:rsid w:val="00131132"/>
    <w:rsid w:val="001326FE"/>
    <w:rsid w:val="0013270A"/>
    <w:rsid w:val="00132C2F"/>
    <w:rsid w:val="00135CA0"/>
    <w:rsid w:val="00135F65"/>
    <w:rsid w:val="00141714"/>
    <w:rsid w:val="00142373"/>
    <w:rsid w:val="00142D61"/>
    <w:rsid w:val="00145008"/>
    <w:rsid w:val="001471CA"/>
    <w:rsid w:val="001472A1"/>
    <w:rsid w:val="0015075D"/>
    <w:rsid w:val="001507DB"/>
    <w:rsid w:val="00152218"/>
    <w:rsid w:val="001529E2"/>
    <w:rsid w:val="00153A9C"/>
    <w:rsid w:val="0015638C"/>
    <w:rsid w:val="001563FA"/>
    <w:rsid w:val="00162BFF"/>
    <w:rsid w:val="0016381E"/>
    <w:rsid w:val="0016461D"/>
    <w:rsid w:val="00164C2B"/>
    <w:rsid w:val="001657B7"/>
    <w:rsid w:val="001729EC"/>
    <w:rsid w:val="001756C3"/>
    <w:rsid w:val="00175730"/>
    <w:rsid w:val="00176371"/>
    <w:rsid w:val="0017768C"/>
    <w:rsid w:val="00183034"/>
    <w:rsid w:val="0018792B"/>
    <w:rsid w:val="00190398"/>
    <w:rsid w:val="001908C1"/>
    <w:rsid w:val="0019120C"/>
    <w:rsid w:val="0019133E"/>
    <w:rsid w:val="00192D20"/>
    <w:rsid w:val="00197659"/>
    <w:rsid w:val="0019790E"/>
    <w:rsid w:val="001A1EA1"/>
    <w:rsid w:val="001A2671"/>
    <w:rsid w:val="001A78B7"/>
    <w:rsid w:val="001B03C0"/>
    <w:rsid w:val="001B49D9"/>
    <w:rsid w:val="001B4DFF"/>
    <w:rsid w:val="001B73DD"/>
    <w:rsid w:val="001C0FB6"/>
    <w:rsid w:val="001C44AE"/>
    <w:rsid w:val="001C5271"/>
    <w:rsid w:val="001C7243"/>
    <w:rsid w:val="001C7ED0"/>
    <w:rsid w:val="001D1075"/>
    <w:rsid w:val="001D1F44"/>
    <w:rsid w:val="001D4E8D"/>
    <w:rsid w:val="001D4EE8"/>
    <w:rsid w:val="001D63BA"/>
    <w:rsid w:val="001D775B"/>
    <w:rsid w:val="001E1705"/>
    <w:rsid w:val="001E26EC"/>
    <w:rsid w:val="001E2CD7"/>
    <w:rsid w:val="001E3E51"/>
    <w:rsid w:val="001E515F"/>
    <w:rsid w:val="001E5D4F"/>
    <w:rsid w:val="001E6521"/>
    <w:rsid w:val="001E747A"/>
    <w:rsid w:val="001F249E"/>
    <w:rsid w:val="001F70C5"/>
    <w:rsid w:val="0020185F"/>
    <w:rsid w:val="002031A0"/>
    <w:rsid w:val="002032F9"/>
    <w:rsid w:val="00203BFC"/>
    <w:rsid w:val="00206CC9"/>
    <w:rsid w:val="00206D1A"/>
    <w:rsid w:val="00211868"/>
    <w:rsid w:val="00211DCF"/>
    <w:rsid w:val="00214451"/>
    <w:rsid w:val="00216CEA"/>
    <w:rsid w:val="00225288"/>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4787F"/>
    <w:rsid w:val="002512B8"/>
    <w:rsid w:val="00254B87"/>
    <w:rsid w:val="00254BBE"/>
    <w:rsid w:val="00257310"/>
    <w:rsid w:val="002605A8"/>
    <w:rsid w:val="002621A6"/>
    <w:rsid w:val="0026325F"/>
    <w:rsid w:val="00263C3F"/>
    <w:rsid w:val="00263F6C"/>
    <w:rsid w:val="00265EF0"/>
    <w:rsid w:val="00267512"/>
    <w:rsid w:val="00267AFB"/>
    <w:rsid w:val="0027108A"/>
    <w:rsid w:val="00271C15"/>
    <w:rsid w:val="002764BA"/>
    <w:rsid w:val="00281F71"/>
    <w:rsid w:val="0028277C"/>
    <w:rsid w:val="00283945"/>
    <w:rsid w:val="00283EC6"/>
    <w:rsid w:val="0028439B"/>
    <w:rsid w:val="00286780"/>
    <w:rsid w:val="00286D28"/>
    <w:rsid w:val="00287F16"/>
    <w:rsid w:val="00292167"/>
    <w:rsid w:val="002A10E3"/>
    <w:rsid w:val="002A1A8F"/>
    <w:rsid w:val="002A1BAF"/>
    <w:rsid w:val="002A4524"/>
    <w:rsid w:val="002A4A73"/>
    <w:rsid w:val="002A4F31"/>
    <w:rsid w:val="002B1486"/>
    <w:rsid w:val="002B22F5"/>
    <w:rsid w:val="002B46B6"/>
    <w:rsid w:val="002B662F"/>
    <w:rsid w:val="002B67A3"/>
    <w:rsid w:val="002B6B6B"/>
    <w:rsid w:val="002B70E6"/>
    <w:rsid w:val="002C1461"/>
    <w:rsid w:val="002C20A2"/>
    <w:rsid w:val="002C2C9B"/>
    <w:rsid w:val="002C4005"/>
    <w:rsid w:val="002C4180"/>
    <w:rsid w:val="002C4A50"/>
    <w:rsid w:val="002C53D1"/>
    <w:rsid w:val="002C6B07"/>
    <w:rsid w:val="002D72D4"/>
    <w:rsid w:val="002D7B2B"/>
    <w:rsid w:val="002E0550"/>
    <w:rsid w:val="002E3FDA"/>
    <w:rsid w:val="002E4DBB"/>
    <w:rsid w:val="002E560B"/>
    <w:rsid w:val="002E7B25"/>
    <w:rsid w:val="002F39CC"/>
    <w:rsid w:val="002F4732"/>
    <w:rsid w:val="002F7BC4"/>
    <w:rsid w:val="00302D0A"/>
    <w:rsid w:val="00304D9E"/>
    <w:rsid w:val="00306C2B"/>
    <w:rsid w:val="00307BFC"/>
    <w:rsid w:val="00311CBA"/>
    <w:rsid w:val="00313C95"/>
    <w:rsid w:val="0031746E"/>
    <w:rsid w:val="003204CD"/>
    <w:rsid w:val="00321DF4"/>
    <w:rsid w:val="00322A9F"/>
    <w:rsid w:val="00323427"/>
    <w:rsid w:val="00325EC6"/>
    <w:rsid w:val="0033251E"/>
    <w:rsid w:val="00332579"/>
    <w:rsid w:val="003358B2"/>
    <w:rsid w:val="00335E32"/>
    <w:rsid w:val="00336F1B"/>
    <w:rsid w:val="0033754D"/>
    <w:rsid w:val="00341F78"/>
    <w:rsid w:val="00350576"/>
    <w:rsid w:val="00350A78"/>
    <w:rsid w:val="00351D73"/>
    <w:rsid w:val="00356237"/>
    <w:rsid w:val="003574A6"/>
    <w:rsid w:val="00366C8E"/>
    <w:rsid w:val="00367F18"/>
    <w:rsid w:val="003726E8"/>
    <w:rsid w:val="0037663C"/>
    <w:rsid w:val="003778F7"/>
    <w:rsid w:val="0038011D"/>
    <w:rsid w:val="003807D6"/>
    <w:rsid w:val="0038109F"/>
    <w:rsid w:val="00382579"/>
    <w:rsid w:val="00384EDA"/>
    <w:rsid w:val="00384F03"/>
    <w:rsid w:val="00384FFE"/>
    <w:rsid w:val="003858E3"/>
    <w:rsid w:val="00385C88"/>
    <w:rsid w:val="003866D5"/>
    <w:rsid w:val="00386ECF"/>
    <w:rsid w:val="003875D9"/>
    <w:rsid w:val="00390345"/>
    <w:rsid w:val="003913AF"/>
    <w:rsid w:val="00391AE4"/>
    <w:rsid w:val="003928E2"/>
    <w:rsid w:val="003945D0"/>
    <w:rsid w:val="0039596D"/>
    <w:rsid w:val="0039744E"/>
    <w:rsid w:val="003977F7"/>
    <w:rsid w:val="003A2D94"/>
    <w:rsid w:val="003A3D50"/>
    <w:rsid w:val="003B055C"/>
    <w:rsid w:val="003B1F9C"/>
    <w:rsid w:val="003B2E51"/>
    <w:rsid w:val="003B4854"/>
    <w:rsid w:val="003B608D"/>
    <w:rsid w:val="003C7BBC"/>
    <w:rsid w:val="003D28AF"/>
    <w:rsid w:val="003D5721"/>
    <w:rsid w:val="003D5AAE"/>
    <w:rsid w:val="003D6955"/>
    <w:rsid w:val="003D76EB"/>
    <w:rsid w:val="003D7CFD"/>
    <w:rsid w:val="003F0EB5"/>
    <w:rsid w:val="003F2BE8"/>
    <w:rsid w:val="003F3E3D"/>
    <w:rsid w:val="003F4037"/>
    <w:rsid w:val="003F40C1"/>
    <w:rsid w:val="003F4C99"/>
    <w:rsid w:val="00400893"/>
    <w:rsid w:val="004013B5"/>
    <w:rsid w:val="00401E40"/>
    <w:rsid w:val="004030C4"/>
    <w:rsid w:val="004050F6"/>
    <w:rsid w:val="0040578D"/>
    <w:rsid w:val="00405A25"/>
    <w:rsid w:val="00421195"/>
    <w:rsid w:val="00421C3E"/>
    <w:rsid w:val="004221F0"/>
    <w:rsid w:val="00424616"/>
    <w:rsid w:val="00426601"/>
    <w:rsid w:val="00426F3E"/>
    <w:rsid w:val="00431B16"/>
    <w:rsid w:val="00432349"/>
    <w:rsid w:val="00445996"/>
    <w:rsid w:val="00447B67"/>
    <w:rsid w:val="00447D4A"/>
    <w:rsid w:val="004510B4"/>
    <w:rsid w:val="00452673"/>
    <w:rsid w:val="00452C39"/>
    <w:rsid w:val="00453064"/>
    <w:rsid w:val="00455756"/>
    <w:rsid w:val="004605B7"/>
    <w:rsid w:val="00460A1B"/>
    <w:rsid w:val="004646C3"/>
    <w:rsid w:val="00466915"/>
    <w:rsid w:val="00470269"/>
    <w:rsid w:val="00470784"/>
    <w:rsid w:val="00470891"/>
    <w:rsid w:val="00472088"/>
    <w:rsid w:val="004741D8"/>
    <w:rsid w:val="00474F9E"/>
    <w:rsid w:val="004755E3"/>
    <w:rsid w:val="004756A2"/>
    <w:rsid w:val="00476035"/>
    <w:rsid w:val="004769B5"/>
    <w:rsid w:val="0048208D"/>
    <w:rsid w:val="00484A9E"/>
    <w:rsid w:val="004862C1"/>
    <w:rsid w:val="004868D7"/>
    <w:rsid w:val="00490E22"/>
    <w:rsid w:val="00491BAD"/>
    <w:rsid w:val="0049273D"/>
    <w:rsid w:val="00492E3F"/>
    <w:rsid w:val="00493FF8"/>
    <w:rsid w:val="00496021"/>
    <w:rsid w:val="004977A9"/>
    <w:rsid w:val="004A1FF9"/>
    <w:rsid w:val="004A20EF"/>
    <w:rsid w:val="004A36F3"/>
    <w:rsid w:val="004A3D1E"/>
    <w:rsid w:val="004A5464"/>
    <w:rsid w:val="004A6D76"/>
    <w:rsid w:val="004B1189"/>
    <w:rsid w:val="004B4CD5"/>
    <w:rsid w:val="004B7B15"/>
    <w:rsid w:val="004C1AD6"/>
    <w:rsid w:val="004C1B42"/>
    <w:rsid w:val="004C4CEC"/>
    <w:rsid w:val="004C4D20"/>
    <w:rsid w:val="004C69C2"/>
    <w:rsid w:val="004D0A88"/>
    <w:rsid w:val="004D4499"/>
    <w:rsid w:val="004E0C19"/>
    <w:rsid w:val="004E25E8"/>
    <w:rsid w:val="004E3CFC"/>
    <w:rsid w:val="004E4BD7"/>
    <w:rsid w:val="004F1880"/>
    <w:rsid w:val="004F1AF3"/>
    <w:rsid w:val="004F3DB8"/>
    <w:rsid w:val="004F5A53"/>
    <w:rsid w:val="004F67A5"/>
    <w:rsid w:val="004F7F11"/>
    <w:rsid w:val="005038C9"/>
    <w:rsid w:val="00510E01"/>
    <w:rsid w:val="00511FC9"/>
    <w:rsid w:val="00513B04"/>
    <w:rsid w:val="00513B56"/>
    <w:rsid w:val="005158DE"/>
    <w:rsid w:val="0051660A"/>
    <w:rsid w:val="005171B7"/>
    <w:rsid w:val="0051790D"/>
    <w:rsid w:val="005204FB"/>
    <w:rsid w:val="00521304"/>
    <w:rsid w:val="00524256"/>
    <w:rsid w:val="00526245"/>
    <w:rsid w:val="00527221"/>
    <w:rsid w:val="00530C00"/>
    <w:rsid w:val="00530C1F"/>
    <w:rsid w:val="00530CD9"/>
    <w:rsid w:val="0053200B"/>
    <w:rsid w:val="00533687"/>
    <w:rsid w:val="005350FF"/>
    <w:rsid w:val="00537305"/>
    <w:rsid w:val="00540C80"/>
    <w:rsid w:val="0054173E"/>
    <w:rsid w:val="0054493B"/>
    <w:rsid w:val="00547FC2"/>
    <w:rsid w:val="00550F43"/>
    <w:rsid w:val="00552D73"/>
    <w:rsid w:val="00553313"/>
    <w:rsid w:val="0056170A"/>
    <w:rsid w:val="005638D2"/>
    <w:rsid w:val="00563930"/>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3F29"/>
    <w:rsid w:val="00590B6F"/>
    <w:rsid w:val="005915A1"/>
    <w:rsid w:val="00595A02"/>
    <w:rsid w:val="00596631"/>
    <w:rsid w:val="00596D17"/>
    <w:rsid w:val="00597501"/>
    <w:rsid w:val="005977EB"/>
    <w:rsid w:val="005A19DC"/>
    <w:rsid w:val="005A437A"/>
    <w:rsid w:val="005A5437"/>
    <w:rsid w:val="005A5BD3"/>
    <w:rsid w:val="005A7420"/>
    <w:rsid w:val="005B0085"/>
    <w:rsid w:val="005B043B"/>
    <w:rsid w:val="005B2F6F"/>
    <w:rsid w:val="005B37FD"/>
    <w:rsid w:val="005B6634"/>
    <w:rsid w:val="005B67B8"/>
    <w:rsid w:val="005B7CF9"/>
    <w:rsid w:val="005C0DA9"/>
    <w:rsid w:val="005C3341"/>
    <w:rsid w:val="005C553E"/>
    <w:rsid w:val="005C6021"/>
    <w:rsid w:val="005C6AC5"/>
    <w:rsid w:val="005D4486"/>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0E6E"/>
    <w:rsid w:val="00600F03"/>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7079"/>
    <w:rsid w:val="0065798D"/>
    <w:rsid w:val="00661FEC"/>
    <w:rsid w:val="00664AF0"/>
    <w:rsid w:val="006650A2"/>
    <w:rsid w:val="006712A8"/>
    <w:rsid w:val="006719BC"/>
    <w:rsid w:val="0067675D"/>
    <w:rsid w:val="00676C4E"/>
    <w:rsid w:val="00676D25"/>
    <w:rsid w:val="00676E54"/>
    <w:rsid w:val="0067785D"/>
    <w:rsid w:val="006803CE"/>
    <w:rsid w:val="00680E43"/>
    <w:rsid w:val="00681618"/>
    <w:rsid w:val="00681913"/>
    <w:rsid w:val="00682D44"/>
    <w:rsid w:val="006847FE"/>
    <w:rsid w:val="006905A0"/>
    <w:rsid w:val="00691CDE"/>
    <w:rsid w:val="00692A49"/>
    <w:rsid w:val="00693C9C"/>
    <w:rsid w:val="00694AFF"/>
    <w:rsid w:val="00695E4F"/>
    <w:rsid w:val="0069775E"/>
    <w:rsid w:val="006A07C2"/>
    <w:rsid w:val="006A0869"/>
    <w:rsid w:val="006A208A"/>
    <w:rsid w:val="006A2144"/>
    <w:rsid w:val="006A338A"/>
    <w:rsid w:val="006A3CC6"/>
    <w:rsid w:val="006A69B6"/>
    <w:rsid w:val="006A7A7F"/>
    <w:rsid w:val="006B12D0"/>
    <w:rsid w:val="006B7893"/>
    <w:rsid w:val="006B7DDC"/>
    <w:rsid w:val="006C1043"/>
    <w:rsid w:val="006C16E5"/>
    <w:rsid w:val="006C32A8"/>
    <w:rsid w:val="006C7095"/>
    <w:rsid w:val="006D1FCC"/>
    <w:rsid w:val="006D6FC0"/>
    <w:rsid w:val="006D6FE6"/>
    <w:rsid w:val="006E1F05"/>
    <w:rsid w:val="006E27F8"/>
    <w:rsid w:val="006F034A"/>
    <w:rsid w:val="006F08B1"/>
    <w:rsid w:val="006F255E"/>
    <w:rsid w:val="006F35E3"/>
    <w:rsid w:val="006F35EB"/>
    <w:rsid w:val="006F3758"/>
    <w:rsid w:val="006F5F13"/>
    <w:rsid w:val="00704682"/>
    <w:rsid w:val="00704A18"/>
    <w:rsid w:val="007058BC"/>
    <w:rsid w:val="00707437"/>
    <w:rsid w:val="007076DB"/>
    <w:rsid w:val="00707B90"/>
    <w:rsid w:val="00710666"/>
    <w:rsid w:val="007131E2"/>
    <w:rsid w:val="00715486"/>
    <w:rsid w:val="007164AC"/>
    <w:rsid w:val="007166B3"/>
    <w:rsid w:val="0072166A"/>
    <w:rsid w:val="00721FC5"/>
    <w:rsid w:val="00722611"/>
    <w:rsid w:val="00726A22"/>
    <w:rsid w:val="00726A2F"/>
    <w:rsid w:val="007346EB"/>
    <w:rsid w:val="00740897"/>
    <w:rsid w:val="0074173B"/>
    <w:rsid w:val="00743DAF"/>
    <w:rsid w:val="00746593"/>
    <w:rsid w:val="00747203"/>
    <w:rsid w:val="00754593"/>
    <w:rsid w:val="0076598C"/>
    <w:rsid w:val="00765D2D"/>
    <w:rsid w:val="007706E5"/>
    <w:rsid w:val="0077164D"/>
    <w:rsid w:val="00772465"/>
    <w:rsid w:val="00772AD7"/>
    <w:rsid w:val="00774412"/>
    <w:rsid w:val="00774A49"/>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4778"/>
    <w:rsid w:val="007D5004"/>
    <w:rsid w:val="007D6196"/>
    <w:rsid w:val="007E0EC9"/>
    <w:rsid w:val="007E2E7F"/>
    <w:rsid w:val="007E3C7C"/>
    <w:rsid w:val="007E457E"/>
    <w:rsid w:val="007E4CC2"/>
    <w:rsid w:val="007E7097"/>
    <w:rsid w:val="007E7790"/>
    <w:rsid w:val="007F0633"/>
    <w:rsid w:val="007F0FFD"/>
    <w:rsid w:val="007F1D27"/>
    <w:rsid w:val="007F21C4"/>
    <w:rsid w:val="007F25A5"/>
    <w:rsid w:val="007F3976"/>
    <w:rsid w:val="007F5EE2"/>
    <w:rsid w:val="007F7911"/>
    <w:rsid w:val="0080041E"/>
    <w:rsid w:val="00803138"/>
    <w:rsid w:val="00803BC5"/>
    <w:rsid w:val="00803ECC"/>
    <w:rsid w:val="00806342"/>
    <w:rsid w:val="00807AE7"/>
    <w:rsid w:val="00811987"/>
    <w:rsid w:val="008119DA"/>
    <w:rsid w:val="00812345"/>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26D1E"/>
    <w:rsid w:val="008344F3"/>
    <w:rsid w:val="0083515E"/>
    <w:rsid w:val="0084161E"/>
    <w:rsid w:val="0084268E"/>
    <w:rsid w:val="00844F01"/>
    <w:rsid w:val="008536B0"/>
    <w:rsid w:val="008537A0"/>
    <w:rsid w:val="00860021"/>
    <w:rsid w:val="008624EF"/>
    <w:rsid w:val="00862C13"/>
    <w:rsid w:val="008668DD"/>
    <w:rsid w:val="008719F5"/>
    <w:rsid w:val="00873181"/>
    <w:rsid w:val="00875683"/>
    <w:rsid w:val="00875A1E"/>
    <w:rsid w:val="00876C1D"/>
    <w:rsid w:val="00880F8A"/>
    <w:rsid w:val="008812EB"/>
    <w:rsid w:val="008813B8"/>
    <w:rsid w:val="008818D2"/>
    <w:rsid w:val="00881A5D"/>
    <w:rsid w:val="008843D3"/>
    <w:rsid w:val="00884687"/>
    <w:rsid w:val="00886E19"/>
    <w:rsid w:val="00893245"/>
    <w:rsid w:val="0089612A"/>
    <w:rsid w:val="00897C3F"/>
    <w:rsid w:val="008A0411"/>
    <w:rsid w:val="008A30C3"/>
    <w:rsid w:val="008A543E"/>
    <w:rsid w:val="008A6DE7"/>
    <w:rsid w:val="008A7E00"/>
    <w:rsid w:val="008B26C1"/>
    <w:rsid w:val="008B321F"/>
    <w:rsid w:val="008B793F"/>
    <w:rsid w:val="008C1C7D"/>
    <w:rsid w:val="008C2421"/>
    <w:rsid w:val="008C2A20"/>
    <w:rsid w:val="008C33F8"/>
    <w:rsid w:val="008C3591"/>
    <w:rsid w:val="008C4401"/>
    <w:rsid w:val="008D0858"/>
    <w:rsid w:val="008D14B4"/>
    <w:rsid w:val="008D1685"/>
    <w:rsid w:val="008D45BE"/>
    <w:rsid w:val="008D6591"/>
    <w:rsid w:val="008E0721"/>
    <w:rsid w:val="008E1270"/>
    <w:rsid w:val="008E721D"/>
    <w:rsid w:val="008F3507"/>
    <w:rsid w:val="0090264B"/>
    <w:rsid w:val="00905CDD"/>
    <w:rsid w:val="00906035"/>
    <w:rsid w:val="00906365"/>
    <w:rsid w:val="00906428"/>
    <w:rsid w:val="009102E9"/>
    <w:rsid w:val="009135BA"/>
    <w:rsid w:val="0091434F"/>
    <w:rsid w:val="00924675"/>
    <w:rsid w:val="009270B4"/>
    <w:rsid w:val="00932B1F"/>
    <w:rsid w:val="0093746D"/>
    <w:rsid w:val="00940443"/>
    <w:rsid w:val="00940773"/>
    <w:rsid w:val="00942D46"/>
    <w:rsid w:val="0094318E"/>
    <w:rsid w:val="009438A9"/>
    <w:rsid w:val="009440F2"/>
    <w:rsid w:val="009468F1"/>
    <w:rsid w:val="00950E51"/>
    <w:rsid w:val="00951683"/>
    <w:rsid w:val="0095227F"/>
    <w:rsid w:val="0095249B"/>
    <w:rsid w:val="00952FA6"/>
    <w:rsid w:val="00953230"/>
    <w:rsid w:val="009536D1"/>
    <w:rsid w:val="00960FBC"/>
    <w:rsid w:val="00963EEF"/>
    <w:rsid w:val="00964E93"/>
    <w:rsid w:val="00967056"/>
    <w:rsid w:val="00970373"/>
    <w:rsid w:val="00973C32"/>
    <w:rsid w:val="0097697B"/>
    <w:rsid w:val="009773F9"/>
    <w:rsid w:val="00980319"/>
    <w:rsid w:val="009817BF"/>
    <w:rsid w:val="00983148"/>
    <w:rsid w:val="009837DE"/>
    <w:rsid w:val="009866D1"/>
    <w:rsid w:val="00997606"/>
    <w:rsid w:val="009A0856"/>
    <w:rsid w:val="009A266B"/>
    <w:rsid w:val="009A28AE"/>
    <w:rsid w:val="009A299C"/>
    <w:rsid w:val="009A4DD6"/>
    <w:rsid w:val="009A5948"/>
    <w:rsid w:val="009A6AC3"/>
    <w:rsid w:val="009A7094"/>
    <w:rsid w:val="009A7F4F"/>
    <w:rsid w:val="009B21DA"/>
    <w:rsid w:val="009B367F"/>
    <w:rsid w:val="009B3C74"/>
    <w:rsid w:val="009B411F"/>
    <w:rsid w:val="009B6D1D"/>
    <w:rsid w:val="009B6E1D"/>
    <w:rsid w:val="009C374D"/>
    <w:rsid w:val="009C40BD"/>
    <w:rsid w:val="009D1C96"/>
    <w:rsid w:val="009D4D97"/>
    <w:rsid w:val="009E130E"/>
    <w:rsid w:val="009E162E"/>
    <w:rsid w:val="009E1988"/>
    <w:rsid w:val="009E2088"/>
    <w:rsid w:val="009E29F3"/>
    <w:rsid w:val="009E416D"/>
    <w:rsid w:val="009E54F8"/>
    <w:rsid w:val="009E7A7C"/>
    <w:rsid w:val="009F0B18"/>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5031"/>
    <w:rsid w:val="00A26050"/>
    <w:rsid w:val="00A2790F"/>
    <w:rsid w:val="00A27DEB"/>
    <w:rsid w:val="00A305F8"/>
    <w:rsid w:val="00A30E6B"/>
    <w:rsid w:val="00A30FF9"/>
    <w:rsid w:val="00A32E47"/>
    <w:rsid w:val="00A34D36"/>
    <w:rsid w:val="00A358EF"/>
    <w:rsid w:val="00A37CF9"/>
    <w:rsid w:val="00A420C8"/>
    <w:rsid w:val="00A42363"/>
    <w:rsid w:val="00A43FAE"/>
    <w:rsid w:val="00A444D8"/>
    <w:rsid w:val="00A47AF8"/>
    <w:rsid w:val="00A52BDC"/>
    <w:rsid w:val="00A5304F"/>
    <w:rsid w:val="00A63956"/>
    <w:rsid w:val="00A66C1D"/>
    <w:rsid w:val="00A66C21"/>
    <w:rsid w:val="00A67E57"/>
    <w:rsid w:val="00A76B1E"/>
    <w:rsid w:val="00A8093B"/>
    <w:rsid w:val="00A81E08"/>
    <w:rsid w:val="00A820C8"/>
    <w:rsid w:val="00A82422"/>
    <w:rsid w:val="00A87031"/>
    <w:rsid w:val="00A93D7D"/>
    <w:rsid w:val="00A93FC5"/>
    <w:rsid w:val="00A96D41"/>
    <w:rsid w:val="00A96F08"/>
    <w:rsid w:val="00AA1C2F"/>
    <w:rsid w:val="00AA26C8"/>
    <w:rsid w:val="00AA4B7A"/>
    <w:rsid w:val="00AA5868"/>
    <w:rsid w:val="00AA6B00"/>
    <w:rsid w:val="00AA7002"/>
    <w:rsid w:val="00AA7B75"/>
    <w:rsid w:val="00AB017F"/>
    <w:rsid w:val="00AB0402"/>
    <w:rsid w:val="00AB1A23"/>
    <w:rsid w:val="00AB3EA9"/>
    <w:rsid w:val="00AB5513"/>
    <w:rsid w:val="00AB5EF4"/>
    <w:rsid w:val="00AB6756"/>
    <w:rsid w:val="00AB6B3D"/>
    <w:rsid w:val="00AB7788"/>
    <w:rsid w:val="00AC248B"/>
    <w:rsid w:val="00AC3237"/>
    <w:rsid w:val="00AC6BC9"/>
    <w:rsid w:val="00AD1642"/>
    <w:rsid w:val="00AD1AC3"/>
    <w:rsid w:val="00AD301A"/>
    <w:rsid w:val="00AD4BE8"/>
    <w:rsid w:val="00AD69E4"/>
    <w:rsid w:val="00AD6E91"/>
    <w:rsid w:val="00AD6FF8"/>
    <w:rsid w:val="00AD70A3"/>
    <w:rsid w:val="00AE2727"/>
    <w:rsid w:val="00AE343E"/>
    <w:rsid w:val="00AE51A5"/>
    <w:rsid w:val="00AE6C36"/>
    <w:rsid w:val="00AF2047"/>
    <w:rsid w:val="00AF52E0"/>
    <w:rsid w:val="00AF7BAE"/>
    <w:rsid w:val="00B003F7"/>
    <w:rsid w:val="00B01840"/>
    <w:rsid w:val="00B033C6"/>
    <w:rsid w:val="00B04EA0"/>
    <w:rsid w:val="00B11403"/>
    <w:rsid w:val="00B1428C"/>
    <w:rsid w:val="00B1485F"/>
    <w:rsid w:val="00B1693B"/>
    <w:rsid w:val="00B175E7"/>
    <w:rsid w:val="00B177E4"/>
    <w:rsid w:val="00B21476"/>
    <w:rsid w:val="00B21848"/>
    <w:rsid w:val="00B21FA7"/>
    <w:rsid w:val="00B22305"/>
    <w:rsid w:val="00B22832"/>
    <w:rsid w:val="00B22E44"/>
    <w:rsid w:val="00B24ADB"/>
    <w:rsid w:val="00B251CD"/>
    <w:rsid w:val="00B26554"/>
    <w:rsid w:val="00B31067"/>
    <w:rsid w:val="00B31A42"/>
    <w:rsid w:val="00B34639"/>
    <w:rsid w:val="00B3476D"/>
    <w:rsid w:val="00B34A03"/>
    <w:rsid w:val="00B34B05"/>
    <w:rsid w:val="00B36F96"/>
    <w:rsid w:val="00B37587"/>
    <w:rsid w:val="00B421D8"/>
    <w:rsid w:val="00B470E9"/>
    <w:rsid w:val="00B47A2F"/>
    <w:rsid w:val="00B47E12"/>
    <w:rsid w:val="00B50F4A"/>
    <w:rsid w:val="00B56EF0"/>
    <w:rsid w:val="00B6109D"/>
    <w:rsid w:val="00B63F7B"/>
    <w:rsid w:val="00B666F1"/>
    <w:rsid w:val="00B670A4"/>
    <w:rsid w:val="00B72304"/>
    <w:rsid w:val="00B72D11"/>
    <w:rsid w:val="00B74585"/>
    <w:rsid w:val="00B748B1"/>
    <w:rsid w:val="00B80662"/>
    <w:rsid w:val="00B8101A"/>
    <w:rsid w:val="00B81CFD"/>
    <w:rsid w:val="00B82485"/>
    <w:rsid w:val="00B84BAA"/>
    <w:rsid w:val="00B907F8"/>
    <w:rsid w:val="00B91BCD"/>
    <w:rsid w:val="00B951D6"/>
    <w:rsid w:val="00BA050A"/>
    <w:rsid w:val="00BA0839"/>
    <w:rsid w:val="00BA703E"/>
    <w:rsid w:val="00BB01C5"/>
    <w:rsid w:val="00BB0556"/>
    <w:rsid w:val="00BB0B16"/>
    <w:rsid w:val="00BB4AA4"/>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A37"/>
    <w:rsid w:val="00C370A3"/>
    <w:rsid w:val="00C40C71"/>
    <w:rsid w:val="00C41103"/>
    <w:rsid w:val="00C41233"/>
    <w:rsid w:val="00C41AB8"/>
    <w:rsid w:val="00C4239D"/>
    <w:rsid w:val="00C562FF"/>
    <w:rsid w:val="00C60666"/>
    <w:rsid w:val="00C6157A"/>
    <w:rsid w:val="00C61685"/>
    <w:rsid w:val="00C6246B"/>
    <w:rsid w:val="00C625B6"/>
    <w:rsid w:val="00C634D3"/>
    <w:rsid w:val="00C64683"/>
    <w:rsid w:val="00C66765"/>
    <w:rsid w:val="00C6752B"/>
    <w:rsid w:val="00C70BF3"/>
    <w:rsid w:val="00C71881"/>
    <w:rsid w:val="00C77973"/>
    <w:rsid w:val="00C81821"/>
    <w:rsid w:val="00C83A6A"/>
    <w:rsid w:val="00C83DD8"/>
    <w:rsid w:val="00C877AB"/>
    <w:rsid w:val="00C92B62"/>
    <w:rsid w:val="00C93B08"/>
    <w:rsid w:val="00C93C40"/>
    <w:rsid w:val="00C948C7"/>
    <w:rsid w:val="00C95836"/>
    <w:rsid w:val="00CA0539"/>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C7AB6"/>
    <w:rsid w:val="00CD082C"/>
    <w:rsid w:val="00CD30F2"/>
    <w:rsid w:val="00CD5BF4"/>
    <w:rsid w:val="00CD5F57"/>
    <w:rsid w:val="00CD66E3"/>
    <w:rsid w:val="00CD6C2C"/>
    <w:rsid w:val="00CE3735"/>
    <w:rsid w:val="00CE3DF8"/>
    <w:rsid w:val="00CE423C"/>
    <w:rsid w:val="00CE4EA9"/>
    <w:rsid w:val="00CE565A"/>
    <w:rsid w:val="00CE663A"/>
    <w:rsid w:val="00CF078B"/>
    <w:rsid w:val="00CF10C5"/>
    <w:rsid w:val="00CF2015"/>
    <w:rsid w:val="00CF5851"/>
    <w:rsid w:val="00CF5EAD"/>
    <w:rsid w:val="00CF610C"/>
    <w:rsid w:val="00CF6808"/>
    <w:rsid w:val="00CF7F0B"/>
    <w:rsid w:val="00CF7F6C"/>
    <w:rsid w:val="00D02755"/>
    <w:rsid w:val="00D03DAF"/>
    <w:rsid w:val="00D03F59"/>
    <w:rsid w:val="00D07C25"/>
    <w:rsid w:val="00D100F5"/>
    <w:rsid w:val="00D10159"/>
    <w:rsid w:val="00D12B50"/>
    <w:rsid w:val="00D14D2F"/>
    <w:rsid w:val="00D16AF7"/>
    <w:rsid w:val="00D21ADC"/>
    <w:rsid w:val="00D23DE5"/>
    <w:rsid w:val="00D26BA6"/>
    <w:rsid w:val="00D271BC"/>
    <w:rsid w:val="00D36F46"/>
    <w:rsid w:val="00D415DF"/>
    <w:rsid w:val="00D4527B"/>
    <w:rsid w:val="00D45E80"/>
    <w:rsid w:val="00D47CCE"/>
    <w:rsid w:val="00D50CE1"/>
    <w:rsid w:val="00D514C2"/>
    <w:rsid w:val="00D53FD3"/>
    <w:rsid w:val="00D5543A"/>
    <w:rsid w:val="00D55ABF"/>
    <w:rsid w:val="00D55D1A"/>
    <w:rsid w:val="00D55D6A"/>
    <w:rsid w:val="00D56761"/>
    <w:rsid w:val="00D60AD9"/>
    <w:rsid w:val="00D612AC"/>
    <w:rsid w:val="00D62838"/>
    <w:rsid w:val="00D64F20"/>
    <w:rsid w:val="00D66054"/>
    <w:rsid w:val="00D6671B"/>
    <w:rsid w:val="00D6734F"/>
    <w:rsid w:val="00D71D7B"/>
    <w:rsid w:val="00D7261A"/>
    <w:rsid w:val="00D72D1A"/>
    <w:rsid w:val="00D74DE8"/>
    <w:rsid w:val="00D75809"/>
    <w:rsid w:val="00D758C2"/>
    <w:rsid w:val="00D778DB"/>
    <w:rsid w:val="00D81686"/>
    <w:rsid w:val="00D81C95"/>
    <w:rsid w:val="00D83011"/>
    <w:rsid w:val="00D8420A"/>
    <w:rsid w:val="00D847D5"/>
    <w:rsid w:val="00D847DF"/>
    <w:rsid w:val="00D8589C"/>
    <w:rsid w:val="00D871AE"/>
    <w:rsid w:val="00D878BE"/>
    <w:rsid w:val="00D90A77"/>
    <w:rsid w:val="00D91973"/>
    <w:rsid w:val="00D91AE7"/>
    <w:rsid w:val="00D91E74"/>
    <w:rsid w:val="00D945CE"/>
    <w:rsid w:val="00DA0A32"/>
    <w:rsid w:val="00DA1742"/>
    <w:rsid w:val="00DA17B7"/>
    <w:rsid w:val="00DA25CC"/>
    <w:rsid w:val="00DA41D9"/>
    <w:rsid w:val="00DA4414"/>
    <w:rsid w:val="00DA483D"/>
    <w:rsid w:val="00DA5F50"/>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E6F13"/>
    <w:rsid w:val="00DF09A8"/>
    <w:rsid w:val="00DF1596"/>
    <w:rsid w:val="00DF2778"/>
    <w:rsid w:val="00DF2AB3"/>
    <w:rsid w:val="00DF31AD"/>
    <w:rsid w:val="00DF3944"/>
    <w:rsid w:val="00DF4E43"/>
    <w:rsid w:val="00DF5562"/>
    <w:rsid w:val="00E058FE"/>
    <w:rsid w:val="00E05C39"/>
    <w:rsid w:val="00E065BD"/>
    <w:rsid w:val="00E068CC"/>
    <w:rsid w:val="00E137F6"/>
    <w:rsid w:val="00E13FF8"/>
    <w:rsid w:val="00E17B43"/>
    <w:rsid w:val="00E20797"/>
    <w:rsid w:val="00E233E7"/>
    <w:rsid w:val="00E30DC9"/>
    <w:rsid w:val="00E31929"/>
    <w:rsid w:val="00E36C7D"/>
    <w:rsid w:val="00E42084"/>
    <w:rsid w:val="00E45077"/>
    <w:rsid w:val="00E46178"/>
    <w:rsid w:val="00E47E9E"/>
    <w:rsid w:val="00E50069"/>
    <w:rsid w:val="00E51940"/>
    <w:rsid w:val="00E51D4A"/>
    <w:rsid w:val="00E53808"/>
    <w:rsid w:val="00E54AF2"/>
    <w:rsid w:val="00E561F5"/>
    <w:rsid w:val="00E56789"/>
    <w:rsid w:val="00E616C6"/>
    <w:rsid w:val="00E6211E"/>
    <w:rsid w:val="00E62585"/>
    <w:rsid w:val="00E62D91"/>
    <w:rsid w:val="00E63BBF"/>
    <w:rsid w:val="00E724E7"/>
    <w:rsid w:val="00E76201"/>
    <w:rsid w:val="00E81BA0"/>
    <w:rsid w:val="00E81FE9"/>
    <w:rsid w:val="00E8221B"/>
    <w:rsid w:val="00E82311"/>
    <w:rsid w:val="00E82F7A"/>
    <w:rsid w:val="00E83DC4"/>
    <w:rsid w:val="00E8463D"/>
    <w:rsid w:val="00E84DBE"/>
    <w:rsid w:val="00E85725"/>
    <w:rsid w:val="00E8692A"/>
    <w:rsid w:val="00E90030"/>
    <w:rsid w:val="00E90E00"/>
    <w:rsid w:val="00E92CFC"/>
    <w:rsid w:val="00E93DDC"/>
    <w:rsid w:val="00E9489C"/>
    <w:rsid w:val="00E94E06"/>
    <w:rsid w:val="00E96511"/>
    <w:rsid w:val="00E965D8"/>
    <w:rsid w:val="00E968DE"/>
    <w:rsid w:val="00EA0532"/>
    <w:rsid w:val="00EA1685"/>
    <w:rsid w:val="00EA45AD"/>
    <w:rsid w:val="00EA4C7A"/>
    <w:rsid w:val="00EB1164"/>
    <w:rsid w:val="00EB6FCC"/>
    <w:rsid w:val="00EC296B"/>
    <w:rsid w:val="00EC3012"/>
    <w:rsid w:val="00EC30B1"/>
    <w:rsid w:val="00EC45D1"/>
    <w:rsid w:val="00EC5706"/>
    <w:rsid w:val="00EC7EC0"/>
    <w:rsid w:val="00ED1461"/>
    <w:rsid w:val="00ED25FC"/>
    <w:rsid w:val="00ED50EB"/>
    <w:rsid w:val="00ED516B"/>
    <w:rsid w:val="00ED7296"/>
    <w:rsid w:val="00ED7A5D"/>
    <w:rsid w:val="00EE0BF6"/>
    <w:rsid w:val="00EE5B89"/>
    <w:rsid w:val="00EF0268"/>
    <w:rsid w:val="00EF5BAA"/>
    <w:rsid w:val="00EF7EE7"/>
    <w:rsid w:val="00F0152D"/>
    <w:rsid w:val="00F03711"/>
    <w:rsid w:val="00F06731"/>
    <w:rsid w:val="00F06D8F"/>
    <w:rsid w:val="00F06F89"/>
    <w:rsid w:val="00F07B62"/>
    <w:rsid w:val="00F1105B"/>
    <w:rsid w:val="00F12454"/>
    <w:rsid w:val="00F134F3"/>
    <w:rsid w:val="00F170D6"/>
    <w:rsid w:val="00F2057A"/>
    <w:rsid w:val="00F21C09"/>
    <w:rsid w:val="00F222E6"/>
    <w:rsid w:val="00F23B9E"/>
    <w:rsid w:val="00F26527"/>
    <w:rsid w:val="00F265F2"/>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AC8"/>
    <w:rsid w:val="00F82938"/>
    <w:rsid w:val="00F8443E"/>
    <w:rsid w:val="00F924C6"/>
    <w:rsid w:val="00F93AF1"/>
    <w:rsid w:val="00F9499F"/>
    <w:rsid w:val="00F965DB"/>
    <w:rsid w:val="00F96DC9"/>
    <w:rsid w:val="00F974DC"/>
    <w:rsid w:val="00FA0DCA"/>
    <w:rsid w:val="00FA17CC"/>
    <w:rsid w:val="00FA69BA"/>
    <w:rsid w:val="00FA6A53"/>
    <w:rsid w:val="00FB0D8A"/>
    <w:rsid w:val="00FB15BD"/>
    <w:rsid w:val="00FB1C33"/>
    <w:rsid w:val="00FB1F19"/>
    <w:rsid w:val="00FB33F4"/>
    <w:rsid w:val="00FB4E85"/>
    <w:rsid w:val="00FB73BD"/>
    <w:rsid w:val="00FB7485"/>
    <w:rsid w:val="00FC0BBD"/>
    <w:rsid w:val="00FC1552"/>
    <w:rsid w:val="00FC19A5"/>
    <w:rsid w:val="00FD00FA"/>
    <w:rsid w:val="00FD2612"/>
    <w:rsid w:val="00FD74CD"/>
    <w:rsid w:val="00FE3E86"/>
    <w:rsid w:val="00FF0E4F"/>
    <w:rsid w:val="00FF11F9"/>
    <w:rsid w:val="00FF40C1"/>
    <w:rsid w:val="00FF513B"/>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2AD7"/>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semiHidden/>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02057648">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334112471">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06041873">
      <w:bodyDiv w:val="1"/>
      <w:marLeft w:val="0"/>
      <w:marRight w:val="0"/>
      <w:marTop w:val="0"/>
      <w:marBottom w:val="0"/>
      <w:divBdr>
        <w:top w:val="none" w:sz="0" w:space="0" w:color="auto"/>
        <w:left w:val="none" w:sz="0" w:space="0" w:color="auto"/>
        <w:bottom w:val="none" w:sz="0" w:space="0" w:color="auto"/>
        <w:right w:val="none" w:sz="0" w:space="0" w:color="auto"/>
      </w:divBdr>
    </w:div>
    <w:div w:id="655376897">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197111454">
      <w:bodyDiv w:val="1"/>
      <w:marLeft w:val="0"/>
      <w:marRight w:val="0"/>
      <w:marTop w:val="0"/>
      <w:marBottom w:val="0"/>
      <w:divBdr>
        <w:top w:val="none" w:sz="0" w:space="0" w:color="auto"/>
        <w:left w:val="none" w:sz="0" w:space="0" w:color="auto"/>
        <w:bottom w:val="none" w:sz="0" w:space="0" w:color="auto"/>
        <w:right w:val="none" w:sz="0" w:space="0" w:color="auto"/>
      </w:divBdr>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212964632">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57157721">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21347894">
      <w:bodyDiv w:val="1"/>
      <w:marLeft w:val="0"/>
      <w:marRight w:val="0"/>
      <w:marTop w:val="0"/>
      <w:marBottom w:val="0"/>
      <w:divBdr>
        <w:top w:val="none" w:sz="0" w:space="0" w:color="auto"/>
        <w:left w:val="none" w:sz="0" w:space="0" w:color="auto"/>
        <w:bottom w:val="none" w:sz="0" w:space="0" w:color="auto"/>
        <w:right w:val="none" w:sz="0" w:space="0" w:color="auto"/>
      </w:divBdr>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3" Type="http://schemas.openxmlformats.org/officeDocument/2006/relationships/styles" Target="style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header" Target="header1.xml"/><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8D5E3-2206-42F4-8BB2-E54C07E1E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33</Pages>
  <Words>68166</Words>
  <Characters>38856</Characters>
  <Application>Microsoft Office Word</Application>
  <DocSecurity>0</DocSecurity>
  <Lines>323</Lines>
  <Paragraphs>213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106809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518</cp:revision>
  <cp:lastPrinted>2023-12-20T13:56:00Z</cp:lastPrinted>
  <dcterms:created xsi:type="dcterms:W3CDTF">2023-12-20T15:25:00Z</dcterms:created>
  <dcterms:modified xsi:type="dcterms:W3CDTF">2026-02-03T13:55:00Z</dcterms:modified>
</cp:coreProperties>
</file>