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1F0CEB" w14:textId="609D796C" w:rsidR="003C73C8" w:rsidRDefault="00792BD9" w:rsidP="0020092A">
      <w:pPr>
        <w:jc w:val="center"/>
        <w:rPr>
          <w:b/>
          <w:sz w:val="24"/>
          <w:szCs w:val="24"/>
        </w:rPr>
      </w:pPr>
      <w:r w:rsidRPr="0020092A">
        <w:rPr>
          <w:b/>
          <w:sz w:val="24"/>
          <w:szCs w:val="24"/>
        </w:rPr>
        <w:t>Порівняльна таблиця до про</w:t>
      </w:r>
      <w:r w:rsidR="009E295C" w:rsidRPr="0020092A">
        <w:rPr>
          <w:b/>
          <w:sz w:val="24"/>
          <w:szCs w:val="24"/>
        </w:rPr>
        <w:t>є</w:t>
      </w:r>
      <w:r w:rsidRPr="0020092A">
        <w:rPr>
          <w:b/>
          <w:sz w:val="24"/>
          <w:szCs w:val="24"/>
        </w:rPr>
        <w:t>кту</w:t>
      </w:r>
      <w:r w:rsidR="00D431F9" w:rsidRPr="00D431F9">
        <w:rPr>
          <w:sz w:val="28"/>
          <w:szCs w:val="28"/>
        </w:rPr>
        <w:t xml:space="preserve"> </w:t>
      </w:r>
      <w:r w:rsidR="00D431F9" w:rsidRPr="00D431F9">
        <w:rPr>
          <w:b/>
          <w:sz w:val="24"/>
          <w:szCs w:val="24"/>
        </w:rPr>
        <w:t>рішення, що має ознаки регуляторного акта, –</w:t>
      </w:r>
      <w:r w:rsidRPr="0020092A">
        <w:rPr>
          <w:b/>
          <w:sz w:val="24"/>
          <w:szCs w:val="24"/>
        </w:rPr>
        <w:t xml:space="preserve"> постанови</w:t>
      </w:r>
      <w:r w:rsidR="003C73C8" w:rsidRPr="003C73C8">
        <w:rPr>
          <w:b/>
          <w:sz w:val="24"/>
          <w:szCs w:val="24"/>
        </w:rPr>
        <w:t xml:space="preserve"> НКРЕКП «</w:t>
      </w:r>
      <w:r w:rsidR="00410EBB" w:rsidRPr="00410EBB">
        <w:rPr>
          <w:b/>
          <w:sz w:val="24"/>
          <w:szCs w:val="24"/>
        </w:rPr>
        <w:t>Про внесення змін до постанови Національної комісії, що здійснює державне регулювання у сфері енергетики, від 26 липня 2013 року № 102</w:t>
      </w:r>
      <w:r w:rsidR="00410EBB">
        <w:rPr>
          <w:b/>
          <w:sz w:val="24"/>
          <w:szCs w:val="24"/>
        </w:rPr>
        <w:t>9</w:t>
      </w:r>
      <w:r w:rsidR="003C73C8" w:rsidRPr="003C73C8">
        <w:rPr>
          <w:b/>
          <w:sz w:val="24"/>
          <w:szCs w:val="24"/>
        </w:rPr>
        <w:t xml:space="preserve">» </w:t>
      </w:r>
    </w:p>
    <w:p w14:paraId="353F4068" w14:textId="77777777" w:rsidR="009E295C" w:rsidRPr="004A4421" w:rsidRDefault="009E295C" w:rsidP="00792BD9"/>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25"/>
        <w:gridCol w:w="7797"/>
      </w:tblGrid>
      <w:tr w:rsidR="004A4421" w:rsidRPr="004A4421" w14:paraId="6433B2A7" w14:textId="77777777" w:rsidTr="00410EBB">
        <w:tc>
          <w:tcPr>
            <w:tcW w:w="7825" w:type="dxa"/>
          </w:tcPr>
          <w:p w14:paraId="56969B20" w14:textId="77777777" w:rsidR="00814A88" w:rsidRPr="004A4421" w:rsidRDefault="003F45AA" w:rsidP="00943BE5">
            <w:pPr>
              <w:contextualSpacing/>
              <w:jc w:val="center"/>
              <w:rPr>
                <w:b/>
                <w:sz w:val="24"/>
                <w:szCs w:val="24"/>
              </w:rPr>
            </w:pPr>
            <w:r w:rsidRPr="004A4421">
              <w:rPr>
                <w:b/>
                <w:sz w:val="24"/>
                <w:szCs w:val="24"/>
              </w:rPr>
              <w:t>Чинна редакція</w:t>
            </w:r>
          </w:p>
        </w:tc>
        <w:tc>
          <w:tcPr>
            <w:tcW w:w="7797" w:type="dxa"/>
          </w:tcPr>
          <w:p w14:paraId="6ACA0BCD" w14:textId="77777777" w:rsidR="00814A88" w:rsidRPr="004A4421" w:rsidRDefault="003F45AA" w:rsidP="00943BE5">
            <w:pPr>
              <w:contextualSpacing/>
              <w:jc w:val="center"/>
              <w:rPr>
                <w:b/>
                <w:sz w:val="24"/>
                <w:szCs w:val="24"/>
              </w:rPr>
            </w:pPr>
            <w:r w:rsidRPr="004A4421">
              <w:rPr>
                <w:b/>
                <w:sz w:val="24"/>
                <w:szCs w:val="24"/>
              </w:rPr>
              <w:t>Запропоновані зміни</w:t>
            </w:r>
          </w:p>
        </w:tc>
      </w:tr>
      <w:tr w:rsidR="00974A94" w:rsidRPr="004A4421" w14:paraId="64CAE905" w14:textId="77777777" w:rsidTr="00AF3A68">
        <w:tc>
          <w:tcPr>
            <w:tcW w:w="15622" w:type="dxa"/>
            <w:gridSpan w:val="2"/>
          </w:tcPr>
          <w:p w14:paraId="74FB391C" w14:textId="0B6C2975" w:rsidR="00974A94" w:rsidRPr="00974A94" w:rsidRDefault="00974A94" w:rsidP="00974A94">
            <w:pPr>
              <w:spacing w:after="160" w:line="259" w:lineRule="auto"/>
              <w:jc w:val="center"/>
              <w:rPr>
                <w:b/>
                <w:sz w:val="24"/>
                <w:szCs w:val="24"/>
              </w:rPr>
            </w:pPr>
            <w:r w:rsidRPr="00974A94">
              <w:rPr>
                <w:rFonts w:eastAsia="Calibri"/>
                <w:b/>
                <w:sz w:val="24"/>
                <w:szCs w:val="24"/>
                <w:lang w:eastAsia="en-US"/>
              </w:rPr>
              <w:t>Постанов</w:t>
            </w:r>
            <w:r>
              <w:rPr>
                <w:rFonts w:eastAsia="Calibri"/>
                <w:b/>
                <w:sz w:val="24"/>
                <w:szCs w:val="24"/>
                <w:lang w:eastAsia="en-US"/>
              </w:rPr>
              <w:t>а</w:t>
            </w:r>
            <w:r w:rsidRPr="00974A94">
              <w:rPr>
                <w:rFonts w:eastAsia="Calibri"/>
                <w:b/>
                <w:sz w:val="24"/>
                <w:szCs w:val="24"/>
                <w:lang w:eastAsia="en-US"/>
              </w:rPr>
              <w:t xml:space="preserve"> Національної комісії, що здійснює державне регулювання у сфері енергетики, від 26 липня 2013 року № 1029 «Про застосування стимулюючого регулювання при провадженні господарської діяльності з розподілу електричної енергії»</w:t>
            </w:r>
          </w:p>
        </w:tc>
      </w:tr>
      <w:tr w:rsidR="004A4421" w:rsidRPr="004A4421" w14:paraId="6DF2896E" w14:textId="77777777" w:rsidTr="00410EBB">
        <w:tc>
          <w:tcPr>
            <w:tcW w:w="7825" w:type="dxa"/>
          </w:tcPr>
          <w:p w14:paraId="0E007333" w14:textId="3C209C86" w:rsidR="00410EBB" w:rsidRPr="00410EBB" w:rsidRDefault="00410EBB" w:rsidP="00410EBB">
            <w:pPr>
              <w:spacing w:after="160" w:line="259" w:lineRule="auto"/>
              <w:jc w:val="both"/>
              <w:rPr>
                <w:rFonts w:eastAsia="Calibri"/>
                <w:sz w:val="24"/>
                <w:szCs w:val="24"/>
                <w:lang w:eastAsia="en-US"/>
              </w:rPr>
            </w:pPr>
            <w:r w:rsidRPr="00410EBB">
              <w:rPr>
                <w:rFonts w:eastAsia="Calibri"/>
                <w:sz w:val="24"/>
                <w:szCs w:val="24"/>
                <w:lang w:eastAsia="en-US"/>
              </w:rPr>
              <w:t>2. Протягом першого регуляторного періоду ліцензіат має забезпечувати:</w:t>
            </w:r>
          </w:p>
          <w:p w14:paraId="42502FCA" w14:textId="04D301C5" w:rsidR="00410EBB" w:rsidRPr="00410EBB" w:rsidRDefault="00410EBB" w:rsidP="00410EBB">
            <w:pPr>
              <w:spacing w:after="160" w:line="259" w:lineRule="auto"/>
              <w:jc w:val="both"/>
              <w:rPr>
                <w:rFonts w:eastAsia="Calibri"/>
                <w:sz w:val="24"/>
                <w:szCs w:val="24"/>
                <w:lang w:eastAsia="en-US"/>
              </w:rPr>
            </w:pPr>
            <w:r w:rsidRPr="00410EBB">
              <w:rPr>
                <w:rFonts w:eastAsia="Calibri"/>
                <w:sz w:val="24"/>
                <w:szCs w:val="24"/>
                <w:lang w:eastAsia="en-US"/>
              </w:rPr>
              <w:t>1) повне виконання плану заходів із забезпечення достовірності даних для здійснення моніторингу якості послуг (зокрема шляхом створення систем реєстрації відключень в електричних мережах 6 - 150 кВ);</w:t>
            </w:r>
          </w:p>
          <w:p w14:paraId="554CFC65" w14:textId="599180D5" w:rsidR="003722D8" w:rsidRPr="004A4421" w:rsidRDefault="00410EBB" w:rsidP="0020092A">
            <w:pPr>
              <w:spacing w:after="160" w:line="259" w:lineRule="auto"/>
              <w:jc w:val="both"/>
              <w:rPr>
                <w:rFonts w:eastAsia="Calibri"/>
                <w:sz w:val="24"/>
                <w:szCs w:val="24"/>
                <w:lang w:eastAsia="en-US"/>
              </w:rPr>
            </w:pPr>
            <w:r w:rsidRPr="00410EBB">
              <w:rPr>
                <w:rFonts w:eastAsia="Calibri"/>
                <w:sz w:val="24"/>
                <w:szCs w:val="24"/>
                <w:lang w:eastAsia="en-US"/>
              </w:rPr>
              <w:t xml:space="preserve">2) при здійсненні діяльності з розподілу електричної енергії щорічне інвестування в обсягах не менше ніж річна сума амортизації та доходу від плати за реактивну енергію та 50 відсотків від прибутку на регуляторну базу активів з розподілу електричної енергії, яка створена на дату переходу до стимулюючого регулювання, згідно з інвестиційною програмою, затвердженою, погодженою та схваленою відповідно до Порядку розроблення та подання на затвердження планів розвитку систем розподілу та інвестиційних програм операторів систем розподілу, затвердженого постановою НКРЕКП від 04 вересня 2018 року </w:t>
            </w:r>
            <w:r w:rsidR="00974A94">
              <w:rPr>
                <w:rFonts w:eastAsia="Calibri"/>
                <w:sz w:val="24"/>
                <w:szCs w:val="24"/>
                <w:lang w:eastAsia="en-US"/>
              </w:rPr>
              <w:t>№</w:t>
            </w:r>
            <w:r w:rsidRPr="00410EBB">
              <w:rPr>
                <w:rFonts w:eastAsia="Calibri"/>
                <w:sz w:val="24"/>
                <w:szCs w:val="24"/>
                <w:lang w:eastAsia="en-US"/>
              </w:rPr>
              <w:t xml:space="preserve"> 955</w:t>
            </w:r>
            <w:r>
              <w:rPr>
                <w:rFonts w:eastAsia="Calibri"/>
                <w:sz w:val="24"/>
                <w:szCs w:val="24"/>
                <w:lang w:eastAsia="en-US"/>
              </w:rPr>
              <w:t>.</w:t>
            </w:r>
          </w:p>
        </w:tc>
        <w:tc>
          <w:tcPr>
            <w:tcW w:w="7797" w:type="dxa"/>
          </w:tcPr>
          <w:p w14:paraId="2CECC2B6" w14:textId="77777777" w:rsidR="00410EBB" w:rsidRPr="00410EBB" w:rsidRDefault="00410EBB" w:rsidP="00410EBB">
            <w:pPr>
              <w:spacing w:after="160" w:line="259" w:lineRule="auto"/>
              <w:jc w:val="both"/>
              <w:rPr>
                <w:rFonts w:eastAsia="Calibri"/>
                <w:sz w:val="24"/>
                <w:szCs w:val="24"/>
                <w:lang w:eastAsia="en-US"/>
              </w:rPr>
            </w:pPr>
            <w:r w:rsidRPr="00410EBB">
              <w:rPr>
                <w:rFonts w:eastAsia="Calibri"/>
                <w:sz w:val="24"/>
                <w:szCs w:val="24"/>
                <w:lang w:eastAsia="en-US"/>
              </w:rPr>
              <w:t>2. Протягом першого регуляторного періоду ліцензіат має забезпечувати:</w:t>
            </w:r>
          </w:p>
          <w:p w14:paraId="11F68521" w14:textId="77777777" w:rsidR="00410EBB" w:rsidRPr="00410EBB" w:rsidRDefault="00410EBB" w:rsidP="00410EBB">
            <w:pPr>
              <w:spacing w:after="160" w:line="259" w:lineRule="auto"/>
              <w:jc w:val="both"/>
              <w:rPr>
                <w:rFonts w:eastAsia="Calibri"/>
                <w:sz w:val="24"/>
                <w:szCs w:val="24"/>
                <w:lang w:eastAsia="en-US"/>
              </w:rPr>
            </w:pPr>
            <w:r w:rsidRPr="00410EBB">
              <w:rPr>
                <w:rFonts w:eastAsia="Calibri"/>
                <w:sz w:val="24"/>
                <w:szCs w:val="24"/>
                <w:lang w:eastAsia="en-US"/>
              </w:rPr>
              <w:t>1)</w:t>
            </w:r>
            <w:r w:rsidRPr="00410EBB">
              <w:rPr>
                <w:rFonts w:eastAsia="Calibri"/>
                <w:b/>
                <w:bCs/>
                <w:strike/>
                <w:sz w:val="24"/>
                <w:szCs w:val="24"/>
                <w:lang w:eastAsia="en-US"/>
              </w:rPr>
              <w:t xml:space="preserve"> повне</w:t>
            </w:r>
            <w:r w:rsidRPr="00410EBB">
              <w:rPr>
                <w:rFonts w:eastAsia="Calibri"/>
                <w:sz w:val="24"/>
                <w:szCs w:val="24"/>
                <w:lang w:eastAsia="en-US"/>
              </w:rPr>
              <w:t xml:space="preserve"> виконання плану заходів із забезпечення достовірності даних для здійснення моніторингу якості послуг (зокрема шляхом створення систем реєстрації відключень в електричних мережах 6 - 150 кВ);</w:t>
            </w:r>
          </w:p>
          <w:p w14:paraId="057B8038" w14:textId="5DDE6C51" w:rsidR="003722D8" w:rsidRPr="004A4421" w:rsidRDefault="00410EBB" w:rsidP="00410EBB">
            <w:pPr>
              <w:contextualSpacing/>
              <w:jc w:val="both"/>
              <w:rPr>
                <w:b/>
                <w:bCs/>
                <w:sz w:val="24"/>
                <w:szCs w:val="24"/>
                <w:lang w:eastAsia="uk-UA"/>
              </w:rPr>
            </w:pPr>
            <w:r w:rsidRPr="00410EBB">
              <w:rPr>
                <w:rFonts w:eastAsia="Calibri"/>
                <w:sz w:val="24"/>
                <w:szCs w:val="24"/>
                <w:lang w:eastAsia="en-US"/>
              </w:rPr>
              <w:t xml:space="preserve">2) при здійсненні діяльності з розподілу електричної енергії щорічне інвестування в обсягах не менше ніж річна сума амортизації та доходу від плати за реактивну енергію та 50 відсотків від прибутку на регуляторну базу активів з розподілу електричної енергії, яка створена на дату переходу до стимулюючого регулювання, згідно з інвестиційною програмою, затвердженою, погодженою та схваленою відповідно до Порядку розроблення та подання на затвердження планів розвитку систем розподілу та інвестиційних програм операторів систем розподілу, затвердженого постановою НКРЕКП від 04 вересня 2018 року </w:t>
            </w:r>
            <w:r w:rsidR="00974A94">
              <w:rPr>
                <w:rFonts w:eastAsia="Calibri"/>
                <w:sz w:val="24"/>
                <w:szCs w:val="24"/>
                <w:lang w:eastAsia="en-US"/>
              </w:rPr>
              <w:t>№</w:t>
            </w:r>
            <w:r w:rsidRPr="00410EBB">
              <w:rPr>
                <w:rFonts w:eastAsia="Calibri"/>
                <w:sz w:val="24"/>
                <w:szCs w:val="24"/>
                <w:lang w:eastAsia="en-US"/>
              </w:rPr>
              <w:t xml:space="preserve"> 955</w:t>
            </w:r>
            <w:r>
              <w:rPr>
                <w:rFonts w:eastAsia="Calibri"/>
                <w:sz w:val="24"/>
                <w:szCs w:val="24"/>
                <w:lang w:eastAsia="en-US"/>
              </w:rPr>
              <w:t>.</w:t>
            </w:r>
          </w:p>
        </w:tc>
      </w:tr>
      <w:tr w:rsidR="0020092A" w:rsidRPr="004A4421" w14:paraId="5636E0C4" w14:textId="77777777" w:rsidTr="00410EBB">
        <w:tc>
          <w:tcPr>
            <w:tcW w:w="7825" w:type="dxa"/>
          </w:tcPr>
          <w:p w14:paraId="704D73AE" w14:textId="37FE34F1" w:rsidR="00410EBB" w:rsidRDefault="0020092A" w:rsidP="00B73BE3">
            <w:pPr>
              <w:spacing w:after="160" w:line="259" w:lineRule="auto"/>
              <w:jc w:val="both"/>
              <w:rPr>
                <w:rFonts w:eastAsiaTheme="minorHAnsi" w:cstheme="minorBidi"/>
                <w:b/>
                <w:sz w:val="24"/>
                <w:szCs w:val="22"/>
                <w:lang w:eastAsia="en-US"/>
              </w:rPr>
            </w:pPr>
            <w:r w:rsidRPr="0020092A">
              <w:rPr>
                <w:rFonts w:eastAsiaTheme="minorHAnsi" w:cstheme="minorBidi"/>
                <w:sz w:val="24"/>
                <w:szCs w:val="22"/>
                <w:lang w:eastAsia="en-US"/>
              </w:rPr>
              <w:t>3</w:t>
            </w:r>
            <w:r w:rsidR="00410EBB">
              <w:t>.</w:t>
            </w:r>
            <w:r w:rsidR="00410EBB" w:rsidRPr="00410EBB">
              <w:rPr>
                <w:rFonts w:eastAsiaTheme="minorHAnsi" w:cstheme="minorBidi"/>
                <w:sz w:val="24"/>
                <w:szCs w:val="22"/>
                <w:lang w:eastAsia="en-US"/>
              </w:rPr>
              <w:t>Умовами для застосування ліцензіатами стимулюючого регулювання після першого регуляторного періоду є виконання зобов'язань, визначених пунктом </w:t>
            </w:r>
            <w:r w:rsidR="00410EBB">
              <w:rPr>
                <w:rFonts w:eastAsiaTheme="minorHAnsi" w:cstheme="minorBidi"/>
                <w:sz w:val="24"/>
                <w:szCs w:val="22"/>
                <w:lang w:eastAsia="en-US"/>
              </w:rPr>
              <w:t xml:space="preserve">2 </w:t>
            </w:r>
            <w:r w:rsidR="00410EBB" w:rsidRPr="00410EBB">
              <w:rPr>
                <w:rFonts w:eastAsiaTheme="minorHAnsi" w:cstheme="minorBidi"/>
                <w:sz w:val="24"/>
                <w:szCs w:val="22"/>
                <w:lang w:eastAsia="en-US"/>
              </w:rPr>
              <w:t>цієї постанови.</w:t>
            </w:r>
            <w:r w:rsidR="00410EBB" w:rsidRPr="00410EBB">
              <w:rPr>
                <w:rFonts w:eastAsiaTheme="minorHAnsi" w:cstheme="minorBidi"/>
                <w:b/>
                <w:sz w:val="24"/>
                <w:szCs w:val="22"/>
                <w:lang w:eastAsia="en-US"/>
              </w:rPr>
              <w:t xml:space="preserve"> </w:t>
            </w:r>
          </w:p>
          <w:p w14:paraId="75A30C39" w14:textId="55C7E29D" w:rsidR="00410EBB" w:rsidRPr="0020092A" w:rsidRDefault="00410EBB" w:rsidP="00B73BE3">
            <w:pPr>
              <w:spacing w:after="160" w:line="259" w:lineRule="auto"/>
              <w:jc w:val="both"/>
              <w:rPr>
                <w:rFonts w:eastAsia="Calibri"/>
                <w:sz w:val="24"/>
                <w:szCs w:val="24"/>
                <w:lang w:eastAsia="en-US"/>
              </w:rPr>
            </w:pPr>
            <w:r>
              <w:rPr>
                <w:rFonts w:eastAsiaTheme="minorHAnsi" w:cstheme="minorBidi"/>
                <w:b/>
                <w:sz w:val="24"/>
                <w:szCs w:val="22"/>
                <w:lang w:eastAsia="en-US"/>
              </w:rPr>
              <w:t>абзаци</w:t>
            </w:r>
            <w:r w:rsidRPr="0020092A">
              <w:rPr>
                <w:rFonts w:eastAsiaTheme="minorHAnsi" w:cstheme="minorBidi"/>
                <w:b/>
                <w:sz w:val="24"/>
                <w:szCs w:val="22"/>
                <w:lang w:eastAsia="en-US"/>
              </w:rPr>
              <w:t xml:space="preserve"> відсутні</w:t>
            </w:r>
          </w:p>
        </w:tc>
        <w:tc>
          <w:tcPr>
            <w:tcW w:w="7797" w:type="dxa"/>
          </w:tcPr>
          <w:p w14:paraId="601F606C" w14:textId="77777777" w:rsidR="00410EBB" w:rsidRDefault="00410EBB" w:rsidP="00410EBB">
            <w:pPr>
              <w:jc w:val="both"/>
              <w:rPr>
                <w:rFonts w:eastAsiaTheme="minorHAnsi" w:cstheme="minorBidi"/>
                <w:b/>
                <w:sz w:val="24"/>
                <w:szCs w:val="22"/>
                <w:lang w:eastAsia="en-US"/>
              </w:rPr>
            </w:pPr>
            <w:r w:rsidRPr="0020092A">
              <w:rPr>
                <w:rFonts w:eastAsiaTheme="minorHAnsi" w:cstheme="minorBidi"/>
                <w:sz w:val="24"/>
                <w:szCs w:val="22"/>
                <w:lang w:eastAsia="en-US"/>
              </w:rPr>
              <w:t>3</w:t>
            </w:r>
            <w:r>
              <w:t>.</w:t>
            </w:r>
            <w:r w:rsidRPr="00410EBB">
              <w:rPr>
                <w:rFonts w:eastAsiaTheme="minorHAnsi" w:cstheme="minorBidi"/>
                <w:sz w:val="24"/>
                <w:szCs w:val="22"/>
                <w:lang w:eastAsia="en-US"/>
              </w:rPr>
              <w:t>Умовами для застосування ліцензіатами стимулюючого регулювання після першого регуляторного періоду є виконання зобов'язань, визначених пунктом </w:t>
            </w:r>
            <w:r>
              <w:rPr>
                <w:rFonts w:eastAsiaTheme="minorHAnsi" w:cstheme="minorBidi"/>
                <w:sz w:val="24"/>
                <w:szCs w:val="22"/>
                <w:lang w:eastAsia="en-US"/>
              </w:rPr>
              <w:t xml:space="preserve">2 </w:t>
            </w:r>
            <w:r w:rsidRPr="00410EBB">
              <w:rPr>
                <w:rFonts w:eastAsiaTheme="minorHAnsi" w:cstheme="minorBidi"/>
                <w:sz w:val="24"/>
                <w:szCs w:val="22"/>
                <w:lang w:eastAsia="en-US"/>
              </w:rPr>
              <w:t>цієї постанови.</w:t>
            </w:r>
            <w:r w:rsidRPr="00410EBB">
              <w:rPr>
                <w:rFonts w:eastAsiaTheme="minorHAnsi" w:cstheme="minorBidi"/>
                <w:b/>
                <w:sz w:val="24"/>
                <w:szCs w:val="22"/>
                <w:lang w:eastAsia="en-US"/>
              </w:rPr>
              <w:t xml:space="preserve"> </w:t>
            </w:r>
          </w:p>
          <w:p w14:paraId="16CE11B2" w14:textId="0B62C11C" w:rsidR="00410EBB" w:rsidRPr="00410EBB" w:rsidRDefault="00410EBB" w:rsidP="00DB6309">
            <w:pPr>
              <w:shd w:val="clear" w:color="auto" w:fill="FFFFFF"/>
              <w:ind w:firstLine="41"/>
              <w:jc w:val="both"/>
              <w:rPr>
                <w:rFonts w:eastAsiaTheme="minorHAnsi" w:cstheme="minorBidi"/>
                <w:b/>
                <w:bCs/>
                <w:sz w:val="24"/>
                <w:szCs w:val="22"/>
                <w:lang w:eastAsia="en-US"/>
              </w:rPr>
            </w:pPr>
            <w:r w:rsidRPr="00410EBB">
              <w:rPr>
                <w:rFonts w:eastAsiaTheme="minorHAnsi" w:cstheme="minorBidi"/>
                <w:b/>
                <w:bCs/>
                <w:sz w:val="24"/>
                <w:szCs w:val="22"/>
                <w:lang w:eastAsia="en-US"/>
              </w:rPr>
              <w:t xml:space="preserve">Стан виконання зобов’язань, визначених пунктом 2 цієї постанови фіксується та досліджується під час проведення заходів державного контролю відповідно до Методики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 які перейшли на стимулююче регулювання (далі – Методика), що є додатком </w:t>
            </w:r>
            <w:r w:rsidR="00095254">
              <w:rPr>
                <w:rFonts w:eastAsiaTheme="minorHAnsi" w:cstheme="minorBidi"/>
                <w:b/>
                <w:bCs/>
                <w:sz w:val="24"/>
                <w:szCs w:val="22"/>
                <w:lang w:eastAsia="en-US"/>
              </w:rPr>
              <w:t xml:space="preserve">29 </w:t>
            </w:r>
            <w:r w:rsidRPr="00410EBB">
              <w:rPr>
                <w:rFonts w:eastAsiaTheme="minorHAnsi" w:cstheme="minorBidi"/>
                <w:b/>
                <w:bCs/>
                <w:sz w:val="24"/>
                <w:szCs w:val="22"/>
                <w:lang w:eastAsia="en-US"/>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 червня 2018 року № 428.</w:t>
            </w:r>
          </w:p>
          <w:p w14:paraId="0B18EC88" w14:textId="293E4024" w:rsidR="0020092A" w:rsidRPr="00DB6309" w:rsidRDefault="00410EBB" w:rsidP="00DB6309">
            <w:pPr>
              <w:shd w:val="clear" w:color="auto" w:fill="FFFFFF"/>
              <w:ind w:firstLine="41"/>
              <w:jc w:val="both"/>
              <w:rPr>
                <w:rFonts w:eastAsiaTheme="minorHAnsi" w:cstheme="minorBidi"/>
                <w:b/>
                <w:bCs/>
                <w:sz w:val="24"/>
                <w:szCs w:val="22"/>
                <w:lang w:eastAsia="en-US"/>
              </w:rPr>
            </w:pPr>
            <w:r w:rsidRPr="00410EBB">
              <w:rPr>
                <w:rFonts w:eastAsiaTheme="minorHAnsi" w:cstheme="minorBidi"/>
                <w:b/>
                <w:bCs/>
                <w:sz w:val="24"/>
                <w:szCs w:val="22"/>
                <w:lang w:eastAsia="en-US"/>
              </w:rPr>
              <w:lastRenderedPageBreak/>
              <w:t>З метою встановлення показників ефективності для ліцензіатів на другий регуляторний період за результатами оцінки досягнення фактичних показників першого регуляторного періоду під час проведення заходів державного контролю відповідно до вимог Методики фіксуються та досліджуються фактичні показники першого регуляторного періоду, визначені підпунктами 3, 5 – 8 пункту 1 постанови Національної комісії, що здійснює державне регулювання у сфері енергетики, від 23 липня 2013 року № 1009 «Про встановлення параметрів регулювання, що мають довгостроковий строк дії, для цілей стимулюючого регулювання».</w:t>
            </w:r>
          </w:p>
        </w:tc>
      </w:tr>
    </w:tbl>
    <w:p w14:paraId="1259A45C" w14:textId="77777777" w:rsidR="006E391C" w:rsidRPr="004A4421" w:rsidRDefault="006E391C" w:rsidP="00C77CBE">
      <w:pPr>
        <w:pStyle w:val="20"/>
        <w:rPr>
          <w:i/>
          <w:sz w:val="18"/>
          <w:szCs w:val="18"/>
        </w:rPr>
      </w:pPr>
    </w:p>
    <w:sectPr w:rsidR="006E391C" w:rsidRPr="004A4421" w:rsidSect="00943BE5">
      <w:footerReference w:type="default" r:id="rId8"/>
      <w:pgSz w:w="16840" w:h="11907" w:orient="landscape"/>
      <w:pgMar w:top="567" w:right="567" w:bottom="454" w:left="567" w:header="720" w:footer="5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041A5" w14:textId="77777777" w:rsidR="005E77B8" w:rsidRDefault="005E77B8">
      <w:r>
        <w:separator/>
      </w:r>
    </w:p>
  </w:endnote>
  <w:endnote w:type="continuationSeparator" w:id="0">
    <w:p w14:paraId="7A23D7D0" w14:textId="77777777" w:rsidR="005E77B8" w:rsidRDefault="005E7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559" w:type="dxa"/>
      <w:tblLayout w:type="fixed"/>
      <w:tblLook w:val="0000" w:firstRow="0" w:lastRow="0" w:firstColumn="0" w:lastColumn="0" w:noHBand="0" w:noVBand="0"/>
    </w:tblPr>
    <w:tblGrid>
      <w:gridCol w:w="6487"/>
      <w:gridCol w:w="3119"/>
      <w:gridCol w:w="5953"/>
    </w:tblGrid>
    <w:tr w:rsidR="00D21536" w14:paraId="76BE78C3" w14:textId="77777777" w:rsidTr="008C4BDD">
      <w:tc>
        <w:tcPr>
          <w:tcW w:w="6487" w:type="dxa"/>
        </w:tcPr>
        <w:p w14:paraId="4A7A015A" w14:textId="77777777" w:rsidR="00D21536" w:rsidRPr="009150DF" w:rsidRDefault="00D21536">
          <w:pPr>
            <w:pStyle w:val="a3"/>
            <w:rPr>
              <w:sz w:val="14"/>
              <w:szCs w:val="14"/>
            </w:rPr>
          </w:pPr>
        </w:p>
      </w:tc>
      <w:tc>
        <w:tcPr>
          <w:tcW w:w="3119" w:type="dxa"/>
        </w:tcPr>
        <w:p w14:paraId="4592A9B8" w14:textId="77777777" w:rsidR="00D21536" w:rsidRPr="008C4BDD" w:rsidRDefault="00D21536" w:rsidP="008C4BDD">
          <w:pPr>
            <w:pStyle w:val="a3"/>
            <w:jc w:val="center"/>
            <w:rPr>
              <w:sz w:val="14"/>
              <w:szCs w:val="14"/>
              <w:lang w:val="en-US"/>
            </w:rPr>
          </w:pPr>
        </w:p>
      </w:tc>
      <w:tc>
        <w:tcPr>
          <w:tcW w:w="5953" w:type="dxa"/>
        </w:tcPr>
        <w:p w14:paraId="2685D163" w14:textId="77777777" w:rsidR="00D21536" w:rsidRPr="009150DF" w:rsidRDefault="00D21536" w:rsidP="009150DF">
          <w:pPr>
            <w:pStyle w:val="a3"/>
            <w:jc w:val="right"/>
            <w:rPr>
              <w:sz w:val="14"/>
              <w:szCs w:val="14"/>
            </w:rPr>
          </w:pPr>
          <w:r w:rsidRPr="009150DF">
            <w:rPr>
              <w:sz w:val="14"/>
              <w:szCs w:val="14"/>
              <w:lang w:val="en-US"/>
            </w:rPr>
            <w:t xml:space="preserve">- </w:t>
          </w:r>
          <w:r w:rsidRPr="009150DF">
            <w:rPr>
              <w:sz w:val="14"/>
              <w:szCs w:val="14"/>
              <w:lang w:val="en-US"/>
            </w:rPr>
            <w:fldChar w:fldCharType="begin"/>
          </w:r>
          <w:r w:rsidRPr="009150DF">
            <w:rPr>
              <w:sz w:val="14"/>
              <w:szCs w:val="14"/>
              <w:lang w:val="en-US"/>
            </w:rPr>
            <w:instrText xml:space="preserve"> PAGE </w:instrText>
          </w:r>
          <w:r w:rsidRPr="009150DF">
            <w:rPr>
              <w:sz w:val="14"/>
              <w:szCs w:val="14"/>
              <w:lang w:val="en-US"/>
            </w:rPr>
            <w:fldChar w:fldCharType="separate"/>
          </w:r>
          <w:r w:rsidR="005202B5">
            <w:rPr>
              <w:noProof/>
              <w:sz w:val="14"/>
              <w:szCs w:val="14"/>
              <w:lang w:val="en-US"/>
            </w:rPr>
            <w:t>1</w:t>
          </w:r>
          <w:r w:rsidRPr="009150DF">
            <w:rPr>
              <w:sz w:val="14"/>
              <w:szCs w:val="14"/>
              <w:lang w:val="en-US"/>
            </w:rPr>
            <w:fldChar w:fldCharType="end"/>
          </w:r>
          <w:r w:rsidRPr="009150DF">
            <w:rPr>
              <w:sz w:val="14"/>
              <w:szCs w:val="14"/>
              <w:lang w:val="en-US"/>
            </w:rPr>
            <w:t xml:space="preserve"> -</w:t>
          </w:r>
        </w:p>
      </w:tc>
    </w:tr>
  </w:tbl>
  <w:p w14:paraId="042BBAB8" w14:textId="77777777" w:rsidR="00D21536" w:rsidRPr="009150DF" w:rsidRDefault="00D21536" w:rsidP="009150DF">
    <w:pPr>
      <w:pStyle w:val="a4"/>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84B00" w14:textId="77777777" w:rsidR="005E77B8" w:rsidRDefault="005E77B8">
      <w:r>
        <w:separator/>
      </w:r>
    </w:p>
  </w:footnote>
  <w:footnote w:type="continuationSeparator" w:id="0">
    <w:p w14:paraId="3FCCB666" w14:textId="77777777" w:rsidR="005E77B8" w:rsidRDefault="005E77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16.5pt;visibility:visible" o:bullet="t">
        <v:imagedata r:id="rId1" o:title="GK40721_IMG_054"/>
      </v:shape>
    </w:pict>
  </w:numPicBullet>
  <w:numPicBullet w:numPicBulletId="1">
    <w:pict>
      <v:shape id="_x0000_i1026" type="#_x0000_t75" style="width:34.5pt;height:17.25pt;visibility:visible" o:bullet="t">
        <v:imagedata r:id="rId2" o:title="GK40721_IMG_018"/>
      </v:shape>
    </w:pict>
  </w:numPicBullet>
  <w:abstractNum w:abstractNumId="0" w15:restartNumberingAfterBreak="0">
    <w:nsid w:val="21C5482C"/>
    <w:multiLevelType w:val="hybridMultilevel"/>
    <w:tmpl w:val="55785692"/>
    <w:lvl w:ilvl="0" w:tplc="A560C38C">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 w15:restartNumberingAfterBreak="0">
    <w:nsid w:val="2CE34142"/>
    <w:multiLevelType w:val="hybridMultilevel"/>
    <w:tmpl w:val="A9E2D282"/>
    <w:lvl w:ilvl="0" w:tplc="3A08941E">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 w15:restartNumberingAfterBreak="0">
    <w:nsid w:val="459109E8"/>
    <w:multiLevelType w:val="hybridMultilevel"/>
    <w:tmpl w:val="82CE85F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50BA338C"/>
    <w:multiLevelType w:val="hybridMultilevel"/>
    <w:tmpl w:val="E13A2F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37627B0"/>
    <w:multiLevelType w:val="hybridMultilevel"/>
    <w:tmpl w:val="4322BFAA"/>
    <w:lvl w:ilvl="0" w:tplc="C0F6218A">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5" w15:restartNumberingAfterBreak="0">
    <w:nsid w:val="76E031AF"/>
    <w:multiLevelType w:val="hybridMultilevel"/>
    <w:tmpl w:val="40BE0800"/>
    <w:lvl w:ilvl="0" w:tplc="052238F4">
      <w:start w:val="1"/>
      <w:numFmt w:val="decimal"/>
      <w:lvlText w:val="%1."/>
      <w:lvlJc w:val="left"/>
      <w:pPr>
        <w:ind w:left="394" w:hanging="360"/>
      </w:pPr>
      <w:rPr>
        <w:rFonts w:hint="default"/>
      </w:rPr>
    </w:lvl>
    <w:lvl w:ilvl="1" w:tplc="04220019" w:tentative="1">
      <w:start w:val="1"/>
      <w:numFmt w:val="lowerLetter"/>
      <w:lvlText w:val="%2."/>
      <w:lvlJc w:val="left"/>
      <w:pPr>
        <w:ind w:left="1114" w:hanging="360"/>
      </w:pPr>
    </w:lvl>
    <w:lvl w:ilvl="2" w:tplc="0422001B" w:tentative="1">
      <w:start w:val="1"/>
      <w:numFmt w:val="lowerRoman"/>
      <w:lvlText w:val="%3."/>
      <w:lvlJc w:val="right"/>
      <w:pPr>
        <w:ind w:left="1834" w:hanging="180"/>
      </w:pPr>
    </w:lvl>
    <w:lvl w:ilvl="3" w:tplc="0422000F" w:tentative="1">
      <w:start w:val="1"/>
      <w:numFmt w:val="decimal"/>
      <w:lvlText w:val="%4."/>
      <w:lvlJc w:val="left"/>
      <w:pPr>
        <w:ind w:left="2554" w:hanging="360"/>
      </w:pPr>
    </w:lvl>
    <w:lvl w:ilvl="4" w:tplc="04220019" w:tentative="1">
      <w:start w:val="1"/>
      <w:numFmt w:val="lowerLetter"/>
      <w:lvlText w:val="%5."/>
      <w:lvlJc w:val="left"/>
      <w:pPr>
        <w:ind w:left="3274" w:hanging="360"/>
      </w:pPr>
    </w:lvl>
    <w:lvl w:ilvl="5" w:tplc="0422001B" w:tentative="1">
      <w:start w:val="1"/>
      <w:numFmt w:val="lowerRoman"/>
      <w:lvlText w:val="%6."/>
      <w:lvlJc w:val="right"/>
      <w:pPr>
        <w:ind w:left="3994" w:hanging="180"/>
      </w:pPr>
    </w:lvl>
    <w:lvl w:ilvl="6" w:tplc="0422000F" w:tentative="1">
      <w:start w:val="1"/>
      <w:numFmt w:val="decimal"/>
      <w:lvlText w:val="%7."/>
      <w:lvlJc w:val="left"/>
      <w:pPr>
        <w:ind w:left="4714" w:hanging="360"/>
      </w:pPr>
    </w:lvl>
    <w:lvl w:ilvl="7" w:tplc="04220019" w:tentative="1">
      <w:start w:val="1"/>
      <w:numFmt w:val="lowerLetter"/>
      <w:lvlText w:val="%8."/>
      <w:lvlJc w:val="left"/>
      <w:pPr>
        <w:ind w:left="5434" w:hanging="360"/>
      </w:pPr>
    </w:lvl>
    <w:lvl w:ilvl="8" w:tplc="0422001B" w:tentative="1">
      <w:start w:val="1"/>
      <w:numFmt w:val="lowerRoman"/>
      <w:lvlText w:val="%9."/>
      <w:lvlJc w:val="right"/>
      <w:pPr>
        <w:ind w:left="6154" w:hanging="180"/>
      </w:pPr>
    </w:lvl>
  </w:abstractNum>
  <w:num w:numId="1" w16cid:durableId="2134323521">
    <w:abstractNumId w:val="3"/>
  </w:num>
  <w:num w:numId="2" w16cid:durableId="1683044577">
    <w:abstractNumId w:val="5"/>
  </w:num>
  <w:num w:numId="3" w16cid:durableId="12199012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4194880">
    <w:abstractNumId w:val="4"/>
  </w:num>
  <w:num w:numId="5" w16cid:durableId="765274115">
    <w:abstractNumId w:val="0"/>
  </w:num>
  <w:num w:numId="6" w16cid:durableId="2683912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E30"/>
    <w:rsid w:val="00002079"/>
    <w:rsid w:val="00002C80"/>
    <w:rsid w:val="00004731"/>
    <w:rsid w:val="00004D6E"/>
    <w:rsid w:val="000052B9"/>
    <w:rsid w:val="00005D5F"/>
    <w:rsid w:val="00006C06"/>
    <w:rsid w:val="00006EC0"/>
    <w:rsid w:val="00007896"/>
    <w:rsid w:val="00007C54"/>
    <w:rsid w:val="00010762"/>
    <w:rsid w:val="00011772"/>
    <w:rsid w:val="00013425"/>
    <w:rsid w:val="00014A70"/>
    <w:rsid w:val="00016DCE"/>
    <w:rsid w:val="00022869"/>
    <w:rsid w:val="00023367"/>
    <w:rsid w:val="00023ECE"/>
    <w:rsid w:val="0002509A"/>
    <w:rsid w:val="00025FAB"/>
    <w:rsid w:val="00026C77"/>
    <w:rsid w:val="00026F9B"/>
    <w:rsid w:val="000278F2"/>
    <w:rsid w:val="0003039A"/>
    <w:rsid w:val="00030B6C"/>
    <w:rsid w:val="00031959"/>
    <w:rsid w:val="00031E1F"/>
    <w:rsid w:val="00032A51"/>
    <w:rsid w:val="00034797"/>
    <w:rsid w:val="00034A19"/>
    <w:rsid w:val="000379F4"/>
    <w:rsid w:val="00037BA4"/>
    <w:rsid w:val="0004041C"/>
    <w:rsid w:val="00040964"/>
    <w:rsid w:val="00042A09"/>
    <w:rsid w:val="00043488"/>
    <w:rsid w:val="00043D68"/>
    <w:rsid w:val="00044D14"/>
    <w:rsid w:val="00044D67"/>
    <w:rsid w:val="00044F0B"/>
    <w:rsid w:val="00045D3B"/>
    <w:rsid w:val="000466AD"/>
    <w:rsid w:val="00046861"/>
    <w:rsid w:val="00046EF2"/>
    <w:rsid w:val="000471F0"/>
    <w:rsid w:val="00051182"/>
    <w:rsid w:val="00051BB0"/>
    <w:rsid w:val="0005219E"/>
    <w:rsid w:val="000557EC"/>
    <w:rsid w:val="00057506"/>
    <w:rsid w:val="00060AA5"/>
    <w:rsid w:val="00060AFD"/>
    <w:rsid w:val="00062C87"/>
    <w:rsid w:val="0006587B"/>
    <w:rsid w:val="00065B5D"/>
    <w:rsid w:val="00067576"/>
    <w:rsid w:val="000675BC"/>
    <w:rsid w:val="00067F3A"/>
    <w:rsid w:val="0007213C"/>
    <w:rsid w:val="00072208"/>
    <w:rsid w:val="0007237C"/>
    <w:rsid w:val="00073242"/>
    <w:rsid w:val="00073EB6"/>
    <w:rsid w:val="00074C14"/>
    <w:rsid w:val="00076006"/>
    <w:rsid w:val="00077617"/>
    <w:rsid w:val="000808F2"/>
    <w:rsid w:val="00080E4E"/>
    <w:rsid w:val="000824AA"/>
    <w:rsid w:val="000835DB"/>
    <w:rsid w:val="0008391D"/>
    <w:rsid w:val="00084670"/>
    <w:rsid w:val="0008619B"/>
    <w:rsid w:val="000871B0"/>
    <w:rsid w:val="000908FF"/>
    <w:rsid w:val="0009101D"/>
    <w:rsid w:val="0009297E"/>
    <w:rsid w:val="00094DA0"/>
    <w:rsid w:val="00095254"/>
    <w:rsid w:val="00096A58"/>
    <w:rsid w:val="00096CF6"/>
    <w:rsid w:val="000971AD"/>
    <w:rsid w:val="000A0E5D"/>
    <w:rsid w:val="000A1211"/>
    <w:rsid w:val="000A1CE3"/>
    <w:rsid w:val="000A2307"/>
    <w:rsid w:val="000A2939"/>
    <w:rsid w:val="000A2C0E"/>
    <w:rsid w:val="000A3BD4"/>
    <w:rsid w:val="000A44E4"/>
    <w:rsid w:val="000A45D5"/>
    <w:rsid w:val="000A498D"/>
    <w:rsid w:val="000A4E3E"/>
    <w:rsid w:val="000A5224"/>
    <w:rsid w:val="000B0015"/>
    <w:rsid w:val="000B26ED"/>
    <w:rsid w:val="000B4E48"/>
    <w:rsid w:val="000B4F80"/>
    <w:rsid w:val="000B5760"/>
    <w:rsid w:val="000B643C"/>
    <w:rsid w:val="000B6A15"/>
    <w:rsid w:val="000C183C"/>
    <w:rsid w:val="000C1B45"/>
    <w:rsid w:val="000C35EB"/>
    <w:rsid w:val="000C3D6D"/>
    <w:rsid w:val="000C3FDA"/>
    <w:rsid w:val="000C5880"/>
    <w:rsid w:val="000C5DAB"/>
    <w:rsid w:val="000C6DE2"/>
    <w:rsid w:val="000D18FB"/>
    <w:rsid w:val="000D1993"/>
    <w:rsid w:val="000D5BDC"/>
    <w:rsid w:val="000D635D"/>
    <w:rsid w:val="000D6843"/>
    <w:rsid w:val="000D6D09"/>
    <w:rsid w:val="000D769D"/>
    <w:rsid w:val="000E101D"/>
    <w:rsid w:val="000E1F52"/>
    <w:rsid w:val="000E2AA4"/>
    <w:rsid w:val="000E39D6"/>
    <w:rsid w:val="000E5FA0"/>
    <w:rsid w:val="000E6121"/>
    <w:rsid w:val="000F12F9"/>
    <w:rsid w:val="000F184E"/>
    <w:rsid w:val="000F1D5F"/>
    <w:rsid w:val="000F1E30"/>
    <w:rsid w:val="000F313E"/>
    <w:rsid w:val="000F4161"/>
    <w:rsid w:val="000F5215"/>
    <w:rsid w:val="000F6246"/>
    <w:rsid w:val="00101DF8"/>
    <w:rsid w:val="00101E31"/>
    <w:rsid w:val="0010557B"/>
    <w:rsid w:val="00106EFA"/>
    <w:rsid w:val="00111734"/>
    <w:rsid w:val="001145DF"/>
    <w:rsid w:val="001155DB"/>
    <w:rsid w:val="00115926"/>
    <w:rsid w:val="001160D9"/>
    <w:rsid w:val="00117706"/>
    <w:rsid w:val="0012008A"/>
    <w:rsid w:val="00121B2E"/>
    <w:rsid w:val="00121E65"/>
    <w:rsid w:val="00122E25"/>
    <w:rsid w:val="001230D5"/>
    <w:rsid w:val="0012336B"/>
    <w:rsid w:val="00124674"/>
    <w:rsid w:val="00124827"/>
    <w:rsid w:val="00127229"/>
    <w:rsid w:val="00127D53"/>
    <w:rsid w:val="001309E3"/>
    <w:rsid w:val="001312C3"/>
    <w:rsid w:val="00131672"/>
    <w:rsid w:val="001320CC"/>
    <w:rsid w:val="00133C87"/>
    <w:rsid w:val="001347F9"/>
    <w:rsid w:val="00134D82"/>
    <w:rsid w:val="0013592E"/>
    <w:rsid w:val="00135D0C"/>
    <w:rsid w:val="001366D1"/>
    <w:rsid w:val="00140B9B"/>
    <w:rsid w:val="001413AD"/>
    <w:rsid w:val="00141E54"/>
    <w:rsid w:val="00143F7E"/>
    <w:rsid w:val="0014684F"/>
    <w:rsid w:val="00155396"/>
    <w:rsid w:val="001572EC"/>
    <w:rsid w:val="00157373"/>
    <w:rsid w:val="001577EC"/>
    <w:rsid w:val="00160263"/>
    <w:rsid w:val="00160B99"/>
    <w:rsid w:val="001622DD"/>
    <w:rsid w:val="0016420E"/>
    <w:rsid w:val="00164242"/>
    <w:rsid w:val="00166C2C"/>
    <w:rsid w:val="00171D3C"/>
    <w:rsid w:val="0017303A"/>
    <w:rsid w:val="001755AE"/>
    <w:rsid w:val="0017576C"/>
    <w:rsid w:val="001767FA"/>
    <w:rsid w:val="00180E0A"/>
    <w:rsid w:val="00181558"/>
    <w:rsid w:val="0018161D"/>
    <w:rsid w:val="001816BE"/>
    <w:rsid w:val="0018265D"/>
    <w:rsid w:val="001830BD"/>
    <w:rsid w:val="001831A3"/>
    <w:rsid w:val="00183C5A"/>
    <w:rsid w:val="00184507"/>
    <w:rsid w:val="001852BE"/>
    <w:rsid w:val="00186013"/>
    <w:rsid w:val="00187CA3"/>
    <w:rsid w:val="00187EF7"/>
    <w:rsid w:val="00190516"/>
    <w:rsid w:val="00192587"/>
    <w:rsid w:val="00192DE9"/>
    <w:rsid w:val="00193C3E"/>
    <w:rsid w:val="00193FE4"/>
    <w:rsid w:val="001949E8"/>
    <w:rsid w:val="001953F9"/>
    <w:rsid w:val="0019644F"/>
    <w:rsid w:val="001A13FF"/>
    <w:rsid w:val="001A1AF0"/>
    <w:rsid w:val="001A2C81"/>
    <w:rsid w:val="001A51BC"/>
    <w:rsid w:val="001A54BF"/>
    <w:rsid w:val="001A78A4"/>
    <w:rsid w:val="001B1AE2"/>
    <w:rsid w:val="001B25EB"/>
    <w:rsid w:val="001B384D"/>
    <w:rsid w:val="001B3CEE"/>
    <w:rsid w:val="001B46D7"/>
    <w:rsid w:val="001B4865"/>
    <w:rsid w:val="001B49C2"/>
    <w:rsid w:val="001B5209"/>
    <w:rsid w:val="001B6BE2"/>
    <w:rsid w:val="001B7F23"/>
    <w:rsid w:val="001C0464"/>
    <w:rsid w:val="001C059C"/>
    <w:rsid w:val="001C11C8"/>
    <w:rsid w:val="001C2F09"/>
    <w:rsid w:val="001C33DB"/>
    <w:rsid w:val="001C3CA5"/>
    <w:rsid w:val="001C4AE4"/>
    <w:rsid w:val="001C5DE1"/>
    <w:rsid w:val="001D0E61"/>
    <w:rsid w:val="001D1104"/>
    <w:rsid w:val="001D5CDE"/>
    <w:rsid w:val="001D68F0"/>
    <w:rsid w:val="001D6CFE"/>
    <w:rsid w:val="001D7489"/>
    <w:rsid w:val="001D7D43"/>
    <w:rsid w:val="001E099E"/>
    <w:rsid w:val="001E0C23"/>
    <w:rsid w:val="001E171C"/>
    <w:rsid w:val="001E1C7F"/>
    <w:rsid w:val="001E241A"/>
    <w:rsid w:val="001E2638"/>
    <w:rsid w:val="001E3311"/>
    <w:rsid w:val="001E6694"/>
    <w:rsid w:val="001F0634"/>
    <w:rsid w:val="001F085F"/>
    <w:rsid w:val="001F089D"/>
    <w:rsid w:val="001F20FB"/>
    <w:rsid w:val="001F2FD6"/>
    <w:rsid w:val="001F455C"/>
    <w:rsid w:val="001F61A9"/>
    <w:rsid w:val="001F6B0A"/>
    <w:rsid w:val="001F7C88"/>
    <w:rsid w:val="0020092A"/>
    <w:rsid w:val="002015C5"/>
    <w:rsid w:val="002023EA"/>
    <w:rsid w:val="00204F9E"/>
    <w:rsid w:val="00205D32"/>
    <w:rsid w:val="00206C49"/>
    <w:rsid w:val="00206D46"/>
    <w:rsid w:val="00206D60"/>
    <w:rsid w:val="00207901"/>
    <w:rsid w:val="002144F0"/>
    <w:rsid w:val="00215983"/>
    <w:rsid w:val="00216240"/>
    <w:rsid w:val="00216883"/>
    <w:rsid w:val="00216A0D"/>
    <w:rsid w:val="00216C68"/>
    <w:rsid w:val="00216CF6"/>
    <w:rsid w:val="00216DF4"/>
    <w:rsid w:val="00221173"/>
    <w:rsid w:val="002213A5"/>
    <w:rsid w:val="00221BC7"/>
    <w:rsid w:val="00222D14"/>
    <w:rsid w:val="002237BE"/>
    <w:rsid w:val="002332D3"/>
    <w:rsid w:val="002355FD"/>
    <w:rsid w:val="002371FE"/>
    <w:rsid w:val="002378AE"/>
    <w:rsid w:val="0024132B"/>
    <w:rsid w:val="00241C28"/>
    <w:rsid w:val="0024303B"/>
    <w:rsid w:val="00243183"/>
    <w:rsid w:val="00245439"/>
    <w:rsid w:val="00245701"/>
    <w:rsid w:val="00247CEF"/>
    <w:rsid w:val="00247E1D"/>
    <w:rsid w:val="002501EA"/>
    <w:rsid w:val="00250670"/>
    <w:rsid w:val="00250777"/>
    <w:rsid w:val="0025095B"/>
    <w:rsid w:val="002509EC"/>
    <w:rsid w:val="00251C23"/>
    <w:rsid w:val="00251E1A"/>
    <w:rsid w:val="00253E18"/>
    <w:rsid w:val="00255C39"/>
    <w:rsid w:val="0025673A"/>
    <w:rsid w:val="00257665"/>
    <w:rsid w:val="00257B19"/>
    <w:rsid w:val="0026145F"/>
    <w:rsid w:val="00262EDB"/>
    <w:rsid w:val="00264C33"/>
    <w:rsid w:val="00265313"/>
    <w:rsid w:val="002657C5"/>
    <w:rsid w:val="002658AF"/>
    <w:rsid w:val="002708B7"/>
    <w:rsid w:val="00271B6D"/>
    <w:rsid w:val="00272E40"/>
    <w:rsid w:val="00273A93"/>
    <w:rsid w:val="00273BDC"/>
    <w:rsid w:val="00274B31"/>
    <w:rsid w:val="00274DB1"/>
    <w:rsid w:val="0027526A"/>
    <w:rsid w:val="0027581D"/>
    <w:rsid w:val="0027770B"/>
    <w:rsid w:val="0028037B"/>
    <w:rsid w:val="00281542"/>
    <w:rsid w:val="00283531"/>
    <w:rsid w:val="00284393"/>
    <w:rsid w:val="00285174"/>
    <w:rsid w:val="002903E0"/>
    <w:rsid w:val="00291C31"/>
    <w:rsid w:val="002922B2"/>
    <w:rsid w:val="002957A7"/>
    <w:rsid w:val="00295CB4"/>
    <w:rsid w:val="002A0BE1"/>
    <w:rsid w:val="002A0CCA"/>
    <w:rsid w:val="002A11A7"/>
    <w:rsid w:val="002A4B02"/>
    <w:rsid w:val="002A4B7F"/>
    <w:rsid w:val="002A55CA"/>
    <w:rsid w:val="002A5B8F"/>
    <w:rsid w:val="002A61EF"/>
    <w:rsid w:val="002A74CA"/>
    <w:rsid w:val="002B1034"/>
    <w:rsid w:val="002B408A"/>
    <w:rsid w:val="002B41BB"/>
    <w:rsid w:val="002B5304"/>
    <w:rsid w:val="002B59BB"/>
    <w:rsid w:val="002B7307"/>
    <w:rsid w:val="002B774E"/>
    <w:rsid w:val="002C030E"/>
    <w:rsid w:val="002C0F5D"/>
    <w:rsid w:val="002C2E99"/>
    <w:rsid w:val="002C3F0E"/>
    <w:rsid w:val="002C4D26"/>
    <w:rsid w:val="002C51BA"/>
    <w:rsid w:val="002C54AF"/>
    <w:rsid w:val="002D196D"/>
    <w:rsid w:val="002D3E8C"/>
    <w:rsid w:val="002D4131"/>
    <w:rsid w:val="002D5ACB"/>
    <w:rsid w:val="002D7FC8"/>
    <w:rsid w:val="002E06F7"/>
    <w:rsid w:val="002E2AFD"/>
    <w:rsid w:val="002E31F1"/>
    <w:rsid w:val="002E49F7"/>
    <w:rsid w:val="002E6060"/>
    <w:rsid w:val="002E6799"/>
    <w:rsid w:val="002E791D"/>
    <w:rsid w:val="002F1625"/>
    <w:rsid w:val="002F2EFF"/>
    <w:rsid w:val="002F3140"/>
    <w:rsid w:val="002F4880"/>
    <w:rsid w:val="002F4A86"/>
    <w:rsid w:val="002F5FEE"/>
    <w:rsid w:val="002F7F55"/>
    <w:rsid w:val="00302B42"/>
    <w:rsid w:val="003038C4"/>
    <w:rsid w:val="00304F68"/>
    <w:rsid w:val="00305700"/>
    <w:rsid w:val="00305B88"/>
    <w:rsid w:val="003066A9"/>
    <w:rsid w:val="00307CEC"/>
    <w:rsid w:val="00307D8F"/>
    <w:rsid w:val="00310E0F"/>
    <w:rsid w:val="0031323F"/>
    <w:rsid w:val="00313430"/>
    <w:rsid w:val="00313A39"/>
    <w:rsid w:val="00313E55"/>
    <w:rsid w:val="003148CA"/>
    <w:rsid w:val="003156EB"/>
    <w:rsid w:val="00317780"/>
    <w:rsid w:val="00317CBB"/>
    <w:rsid w:val="0032166A"/>
    <w:rsid w:val="00324B7B"/>
    <w:rsid w:val="0032649E"/>
    <w:rsid w:val="0032684E"/>
    <w:rsid w:val="00327072"/>
    <w:rsid w:val="00330518"/>
    <w:rsid w:val="00330C6E"/>
    <w:rsid w:val="003312FD"/>
    <w:rsid w:val="00331F7B"/>
    <w:rsid w:val="003320CF"/>
    <w:rsid w:val="00332A40"/>
    <w:rsid w:val="00332EF4"/>
    <w:rsid w:val="00333359"/>
    <w:rsid w:val="003360AE"/>
    <w:rsid w:val="0033781F"/>
    <w:rsid w:val="00340725"/>
    <w:rsid w:val="003412FF"/>
    <w:rsid w:val="00341F25"/>
    <w:rsid w:val="00343207"/>
    <w:rsid w:val="00343282"/>
    <w:rsid w:val="00344316"/>
    <w:rsid w:val="00344401"/>
    <w:rsid w:val="0034536C"/>
    <w:rsid w:val="00346804"/>
    <w:rsid w:val="0034777A"/>
    <w:rsid w:val="00350E83"/>
    <w:rsid w:val="0035110A"/>
    <w:rsid w:val="003515AA"/>
    <w:rsid w:val="00351D92"/>
    <w:rsid w:val="00352875"/>
    <w:rsid w:val="00354EF5"/>
    <w:rsid w:val="00355752"/>
    <w:rsid w:val="00357A49"/>
    <w:rsid w:val="00361535"/>
    <w:rsid w:val="00361661"/>
    <w:rsid w:val="003624C3"/>
    <w:rsid w:val="00364979"/>
    <w:rsid w:val="00365FD2"/>
    <w:rsid w:val="00366AF6"/>
    <w:rsid w:val="00367233"/>
    <w:rsid w:val="00367608"/>
    <w:rsid w:val="00371C2C"/>
    <w:rsid w:val="00371DBE"/>
    <w:rsid w:val="003722D8"/>
    <w:rsid w:val="003738D2"/>
    <w:rsid w:val="00373D6A"/>
    <w:rsid w:val="0037541C"/>
    <w:rsid w:val="0037587F"/>
    <w:rsid w:val="00376E89"/>
    <w:rsid w:val="00376FCB"/>
    <w:rsid w:val="00380113"/>
    <w:rsid w:val="003812E3"/>
    <w:rsid w:val="003850AE"/>
    <w:rsid w:val="003859FD"/>
    <w:rsid w:val="00385E9A"/>
    <w:rsid w:val="00387426"/>
    <w:rsid w:val="003878AF"/>
    <w:rsid w:val="00391D56"/>
    <w:rsid w:val="0039304F"/>
    <w:rsid w:val="00393AE3"/>
    <w:rsid w:val="00394B46"/>
    <w:rsid w:val="00394D2B"/>
    <w:rsid w:val="00396063"/>
    <w:rsid w:val="00396868"/>
    <w:rsid w:val="00396EAB"/>
    <w:rsid w:val="00397294"/>
    <w:rsid w:val="003A14A0"/>
    <w:rsid w:val="003A1FC7"/>
    <w:rsid w:val="003A2CC0"/>
    <w:rsid w:val="003A38F7"/>
    <w:rsid w:val="003A515F"/>
    <w:rsid w:val="003A6411"/>
    <w:rsid w:val="003A66DF"/>
    <w:rsid w:val="003A6E66"/>
    <w:rsid w:val="003A6E9D"/>
    <w:rsid w:val="003A7BBD"/>
    <w:rsid w:val="003B0F93"/>
    <w:rsid w:val="003B1C74"/>
    <w:rsid w:val="003B2566"/>
    <w:rsid w:val="003B3793"/>
    <w:rsid w:val="003B3ECC"/>
    <w:rsid w:val="003B4C78"/>
    <w:rsid w:val="003B5216"/>
    <w:rsid w:val="003B5711"/>
    <w:rsid w:val="003B5B8C"/>
    <w:rsid w:val="003B659E"/>
    <w:rsid w:val="003B76ED"/>
    <w:rsid w:val="003C502F"/>
    <w:rsid w:val="003C644F"/>
    <w:rsid w:val="003C6790"/>
    <w:rsid w:val="003C73C8"/>
    <w:rsid w:val="003C7641"/>
    <w:rsid w:val="003D2089"/>
    <w:rsid w:val="003D252C"/>
    <w:rsid w:val="003D3335"/>
    <w:rsid w:val="003D39E2"/>
    <w:rsid w:val="003D45EC"/>
    <w:rsid w:val="003D49C8"/>
    <w:rsid w:val="003D5195"/>
    <w:rsid w:val="003D522E"/>
    <w:rsid w:val="003D587E"/>
    <w:rsid w:val="003D675E"/>
    <w:rsid w:val="003D73F6"/>
    <w:rsid w:val="003D753C"/>
    <w:rsid w:val="003E099C"/>
    <w:rsid w:val="003E2B44"/>
    <w:rsid w:val="003E3863"/>
    <w:rsid w:val="003E5D3A"/>
    <w:rsid w:val="003E6B2E"/>
    <w:rsid w:val="003F12DF"/>
    <w:rsid w:val="003F222E"/>
    <w:rsid w:val="003F2E3D"/>
    <w:rsid w:val="003F350D"/>
    <w:rsid w:val="003F45AA"/>
    <w:rsid w:val="003F7C10"/>
    <w:rsid w:val="00400A6F"/>
    <w:rsid w:val="00401381"/>
    <w:rsid w:val="00402BD1"/>
    <w:rsid w:val="0040597B"/>
    <w:rsid w:val="00405DDF"/>
    <w:rsid w:val="004061E1"/>
    <w:rsid w:val="00406840"/>
    <w:rsid w:val="00407CC2"/>
    <w:rsid w:val="00410EBB"/>
    <w:rsid w:val="004110D6"/>
    <w:rsid w:val="0041404D"/>
    <w:rsid w:val="004142CA"/>
    <w:rsid w:val="00415217"/>
    <w:rsid w:val="00421403"/>
    <w:rsid w:val="00423B1A"/>
    <w:rsid w:val="004242AF"/>
    <w:rsid w:val="0042476C"/>
    <w:rsid w:val="004247DF"/>
    <w:rsid w:val="004248E8"/>
    <w:rsid w:val="0042767D"/>
    <w:rsid w:val="00433370"/>
    <w:rsid w:val="00434DFE"/>
    <w:rsid w:val="004354C6"/>
    <w:rsid w:val="00436255"/>
    <w:rsid w:val="0043729D"/>
    <w:rsid w:val="00437883"/>
    <w:rsid w:val="004379C6"/>
    <w:rsid w:val="00437F43"/>
    <w:rsid w:val="0044167C"/>
    <w:rsid w:val="00443200"/>
    <w:rsid w:val="00443D2D"/>
    <w:rsid w:val="00443F41"/>
    <w:rsid w:val="00444FA5"/>
    <w:rsid w:val="0044735F"/>
    <w:rsid w:val="00450228"/>
    <w:rsid w:val="0045125A"/>
    <w:rsid w:val="004546CE"/>
    <w:rsid w:val="00454DF6"/>
    <w:rsid w:val="004551F9"/>
    <w:rsid w:val="0045695B"/>
    <w:rsid w:val="00456C65"/>
    <w:rsid w:val="0045745B"/>
    <w:rsid w:val="00461020"/>
    <w:rsid w:val="00461A81"/>
    <w:rsid w:val="00461E4D"/>
    <w:rsid w:val="00462505"/>
    <w:rsid w:val="00462C0B"/>
    <w:rsid w:val="00464C92"/>
    <w:rsid w:val="00464FC2"/>
    <w:rsid w:val="004663D3"/>
    <w:rsid w:val="00466436"/>
    <w:rsid w:val="00467019"/>
    <w:rsid w:val="00475D24"/>
    <w:rsid w:val="00476D34"/>
    <w:rsid w:val="004777B0"/>
    <w:rsid w:val="00477CE0"/>
    <w:rsid w:val="00480EBC"/>
    <w:rsid w:val="004822A4"/>
    <w:rsid w:val="00484813"/>
    <w:rsid w:val="004869C5"/>
    <w:rsid w:val="004873CB"/>
    <w:rsid w:val="00487BCF"/>
    <w:rsid w:val="004924B2"/>
    <w:rsid w:val="00492D49"/>
    <w:rsid w:val="004930F6"/>
    <w:rsid w:val="004951AF"/>
    <w:rsid w:val="00495447"/>
    <w:rsid w:val="0049570D"/>
    <w:rsid w:val="00496F9B"/>
    <w:rsid w:val="0049706C"/>
    <w:rsid w:val="004975CA"/>
    <w:rsid w:val="004A0AC5"/>
    <w:rsid w:val="004A0B75"/>
    <w:rsid w:val="004A1F86"/>
    <w:rsid w:val="004A26EB"/>
    <w:rsid w:val="004A3BE7"/>
    <w:rsid w:val="004A40E5"/>
    <w:rsid w:val="004A4421"/>
    <w:rsid w:val="004A4455"/>
    <w:rsid w:val="004B2560"/>
    <w:rsid w:val="004B374D"/>
    <w:rsid w:val="004B5FB8"/>
    <w:rsid w:val="004B6313"/>
    <w:rsid w:val="004B7036"/>
    <w:rsid w:val="004B7732"/>
    <w:rsid w:val="004C07AE"/>
    <w:rsid w:val="004C0939"/>
    <w:rsid w:val="004C307E"/>
    <w:rsid w:val="004C35B6"/>
    <w:rsid w:val="004D002C"/>
    <w:rsid w:val="004D0AE6"/>
    <w:rsid w:val="004D1EBD"/>
    <w:rsid w:val="004D309F"/>
    <w:rsid w:val="004D3DD0"/>
    <w:rsid w:val="004D56B1"/>
    <w:rsid w:val="004D613D"/>
    <w:rsid w:val="004D61BD"/>
    <w:rsid w:val="004D7B44"/>
    <w:rsid w:val="004D7F4A"/>
    <w:rsid w:val="004E08BE"/>
    <w:rsid w:val="004E1202"/>
    <w:rsid w:val="004E1AF4"/>
    <w:rsid w:val="004E41A9"/>
    <w:rsid w:val="004E4C1F"/>
    <w:rsid w:val="004E6B1F"/>
    <w:rsid w:val="004E6C3E"/>
    <w:rsid w:val="004E6F6E"/>
    <w:rsid w:val="004E7E7B"/>
    <w:rsid w:val="004F0B62"/>
    <w:rsid w:val="004F1235"/>
    <w:rsid w:val="004F1855"/>
    <w:rsid w:val="004F21B8"/>
    <w:rsid w:val="004F2416"/>
    <w:rsid w:val="004F34B6"/>
    <w:rsid w:val="004F3D4F"/>
    <w:rsid w:val="004F6966"/>
    <w:rsid w:val="004F6E4A"/>
    <w:rsid w:val="004F7148"/>
    <w:rsid w:val="0050014A"/>
    <w:rsid w:val="005005BC"/>
    <w:rsid w:val="00501883"/>
    <w:rsid w:val="00501D8F"/>
    <w:rsid w:val="00502150"/>
    <w:rsid w:val="00504547"/>
    <w:rsid w:val="00504C6C"/>
    <w:rsid w:val="005062DE"/>
    <w:rsid w:val="005101F2"/>
    <w:rsid w:val="005109B6"/>
    <w:rsid w:val="00513E66"/>
    <w:rsid w:val="00516968"/>
    <w:rsid w:val="00516DB3"/>
    <w:rsid w:val="005202B5"/>
    <w:rsid w:val="00520947"/>
    <w:rsid w:val="005210A3"/>
    <w:rsid w:val="00521538"/>
    <w:rsid w:val="00524C6F"/>
    <w:rsid w:val="00525082"/>
    <w:rsid w:val="0052593D"/>
    <w:rsid w:val="00525B5C"/>
    <w:rsid w:val="00527C2A"/>
    <w:rsid w:val="00532D75"/>
    <w:rsid w:val="005345CF"/>
    <w:rsid w:val="0053499A"/>
    <w:rsid w:val="00535B23"/>
    <w:rsid w:val="00536955"/>
    <w:rsid w:val="00536C12"/>
    <w:rsid w:val="005402ED"/>
    <w:rsid w:val="005420D6"/>
    <w:rsid w:val="00544759"/>
    <w:rsid w:val="00545324"/>
    <w:rsid w:val="00545508"/>
    <w:rsid w:val="00545E6B"/>
    <w:rsid w:val="00546418"/>
    <w:rsid w:val="00546DBC"/>
    <w:rsid w:val="00547084"/>
    <w:rsid w:val="0055038F"/>
    <w:rsid w:val="00550762"/>
    <w:rsid w:val="0055079B"/>
    <w:rsid w:val="00550912"/>
    <w:rsid w:val="00553C1A"/>
    <w:rsid w:val="00553FED"/>
    <w:rsid w:val="005565C9"/>
    <w:rsid w:val="00564471"/>
    <w:rsid w:val="00564E2B"/>
    <w:rsid w:val="00565F8B"/>
    <w:rsid w:val="00570279"/>
    <w:rsid w:val="00571340"/>
    <w:rsid w:val="00572A3F"/>
    <w:rsid w:val="00572D49"/>
    <w:rsid w:val="00576A6B"/>
    <w:rsid w:val="00576B44"/>
    <w:rsid w:val="00580854"/>
    <w:rsid w:val="00580945"/>
    <w:rsid w:val="00580F3E"/>
    <w:rsid w:val="005826FE"/>
    <w:rsid w:val="00583BD6"/>
    <w:rsid w:val="00584314"/>
    <w:rsid w:val="005844D4"/>
    <w:rsid w:val="00584B5D"/>
    <w:rsid w:val="00584F92"/>
    <w:rsid w:val="00586E11"/>
    <w:rsid w:val="00587DB3"/>
    <w:rsid w:val="0059067C"/>
    <w:rsid w:val="0059128E"/>
    <w:rsid w:val="0059228B"/>
    <w:rsid w:val="00593412"/>
    <w:rsid w:val="00595846"/>
    <w:rsid w:val="00597930"/>
    <w:rsid w:val="00597D9F"/>
    <w:rsid w:val="005A27FB"/>
    <w:rsid w:val="005A32F2"/>
    <w:rsid w:val="005B013D"/>
    <w:rsid w:val="005B02EB"/>
    <w:rsid w:val="005B03E8"/>
    <w:rsid w:val="005B25D6"/>
    <w:rsid w:val="005B26D4"/>
    <w:rsid w:val="005B2C17"/>
    <w:rsid w:val="005B2C5D"/>
    <w:rsid w:val="005B6C09"/>
    <w:rsid w:val="005B7CC7"/>
    <w:rsid w:val="005C15BA"/>
    <w:rsid w:val="005C61D1"/>
    <w:rsid w:val="005D0669"/>
    <w:rsid w:val="005D2D22"/>
    <w:rsid w:val="005D30C1"/>
    <w:rsid w:val="005D30F9"/>
    <w:rsid w:val="005D31B3"/>
    <w:rsid w:val="005D49D1"/>
    <w:rsid w:val="005D508B"/>
    <w:rsid w:val="005E0BA4"/>
    <w:rsid w:val="005E0DF9"/>
    <w:rsid w:val="005E1873"/>
    <w:rsid w:val="005E1D99"/>
    <w:rsid w:val="005E248F"/>
    <w:rsid w:val="005E2E42"/>
    <w:rsid w:val="005E3021"/>
    <w:rsid w:val="005E36A8"/>
    <w:rsid w:val="005E3736"/>
    <w:rsid w:val="005E573A"/>
    <w:rsid w:val="005E66A8"/>
    <w:rsid w:val="005E70CB"/>
    <w:rsid w:val="005E77B8"/>
    <w:rsid w:val="005F4194"/>
    <w:rsid w:val="005F43E8"/>
    <w:rsid w:val="005F5FB1"/>
    <w:rsid w:val="005F680F"/>
    <w:rsid w:val="005F6BB0"/>
    <w:rsid w:val="006003DD"/>
    <w:rsid w:val="00601A0B"/>
    <w:rsid w:val="00601BBA"/>
    <w:rsid w:val="006024A0"/>
    <w:rsid w:val="00602923"/>
    <w:rsid w:val="00602FFD"/>
    <w:rsid w:val="006037C9"/>
    <w:rsid w:val="00603ABA"/>
    <w:rsid w:val="006063CE"/>
    <w:rsid w:val="00610A4E"/>
    <w:rsid w:val="006116C2"/>
    <w:rsid w:val="00611AE8"/>
    <w:rsid w:val="006121A0"/>
    <w:rsid w:val="00612C6E"/>
    <w:rsid w:val="0061313C"/>
    <w:rsid w:val="00613E0F"/>
    <w:rsid w:val="006149CF"/>
    <w:rsid w:val="006200CA"/>
    <w:rsid w:val="00620496"/>
    <w:rsid w:val="00620780"/>
    <w:rsid w:val="00620A11"/>
    <w:rsid w:val="0062246A"/>
    <w:rsid w:val="00626887"/>
    <w:rsid w:val="00631AF1"/>
    <w:rsid w:val="006325B9"/>
    <w:rsid w:val="006344B3"/>
    <w:rsid w:val="0063500E"/>
    <w:rsid w:val="0064007F"/>
    <w:rsid w:val="006412EF"/>
    <w:rsid w:val="00641418"/>
    <w:rsid w:val="0064220E"/>
    <w:rsid w:val="00643999"/>
    <w:rsid w:val="0064484E"/>
    <w:rsid w:val="00645A49"/>
    <w:rsid w:val="00645CDE"/>
    <w:rsid w:val="0064711F"/>
    <w:rsid w:val="006477E7"/>
    <w:rsid w:val="00647C26"/>
    <w:rsid w:val="00650EAF"/>
    <w:rsid w:val="0065176D"/>
    <w:rsid w:val="00652490"/>
    <w:rsid w:val="00652B1B"/>
    <w:rsid w:val="00652B73"/>
    <w:rsid w:val="00653083"/>
    <w:rsid w:val="00653FB3"/>
    <w:rsid w:val="006551CF"/>
    <w:rsid w:val="0065549E"/>
    <w:rsid w:val="006563EC"/>
    <w:rsid w:val="00656E08"/>
    <w:rsid w:val="0065706E"/>
    <w:rsid w:val="00657E66"/>
    <w:rsid w:val="006600DF"/>
    <w:rsid w:val="006618B5"/>
    <w:rsid w:val="006619A5"/>
    <w:rsid w:val="00661C0A"/>
    <w:rsid w:val="006622BD"/>
    <w:rsid w:val="00662A96"/>
    <w:rsid w:val="00663609"/>
    <w:rsid w:val="0066533F"/>
    <w:rsid w:val="00665999"/>
    <w:rsid w:val="00665EC3"/>
    <w:rsid w:val="00671486"/>
    <w:rsid w:val="0067207D"/>
    <w:rsid w:val="006725EF"/>
    <w:rsid w:val="00673AC8"/>
    <w:rsid w:val="006743E5"/>
    <w:rsid w:val="0067471B"/>
    <w:rsid w:val="00674944"/>
    <w:rsid w:val="00677822"/>
    <w:rsid w:val="006800FA"/>
    <w:rsid w:val="00683484"/>
    <w:rsid w:val="006854FD"/>
    <w:rsid w:val="00686C4E"/>
    <w:rsid w:val="00687735"/>
    <w:rsid w:val="006907AD"/>
    <w:rsid w:val="00692F81"/>
    <w:rsid w:val="006930D4"/>
    <w:rsid w:val="006935F8"/>
    <w:rsid w:val="00694127"/>
    <w:rsid w:val="00694A16"/>
    <w:rsid w:val="00694A9E"/>
    <w:rsid w:val="006A0D7A"/>
    <w:rsid w:val="006A21D3"/>
    <w:rsid w:val="006A47E2"/>
    <w:rsid w:val="006A5DBB"/>
    <w:rsid w:val="006B00D5"/>
    <w:rsid w:val="006B0400"/>
    <w:rsid w:val="006B0878"/>
    <w:rsid w:val="006B1CC5"/>
    <w:rsid w:val="006B2F7D"/>
    <w:rsid w:val="006B5EC9"/>
    <w:rsid w:val="006B60F3"/>
    <w:rsid w:val="006B7AD9"/>
    <w:rsid w:val="006C1FE8"/>
    <w:rsid w:val="006C212A"/>
    <w:rsid w:val="006C2C44"/>
    <w:rsid w:val="006C2D11"/>
    <w:rsid w:val="006C7055"/>
    <w:rsid w:val="006D02FF"/>
    <w:rsid w:val="006D1609"/>
    <w:rsid w:val="006D2BCF"/>
    <w:rsid w:val="006D3395"/>
    <w:rsid w:val="006D3F88"/>
    <w:rsid w:val="006D4CE2"/>
    <w:rsid w:val="006D6113"/>
    <w:rsid w:val="006D6375"/>
    <w:rsid w:val="006E0431"/>
    <w:rsid w:val="006E391C"/>
    <w:rsid w:val="006E4379"/>
    <w:rsid w:val="006E5E64"/>
    <w:rsid w:val="006E6ACD"/>
    <w:rsid w:val="006F01E4"/>
    <w:rsid w:val="006F0AAA"/>
    <w:rsid w:val="006F0FAE"/>
    <w:rsid w:val="006F16AE"/>
    <w:rsid w:val="006F1E9D"/>
    <w:rsid w:val="006F2725"/>
    <w:rsid w:val="006F4A50"/>
    <w:rsid w:val="006F4B20"/>
    <w:rsid w:val="006F4B53"/>
    <w:rsid w:val="00700177"/>
    <w:rsid w:val="00700703"/>
    <w:rsid w:val="0070146A"/>
    <w:rsid w:val="00704342"/>
    <w:rsid w:val="00704EFB"/>
    <w:rsid w:val="00705CCA"/>
    <w:rsid w:val="00710187"/>
    <w:rsid w:val="0071081C"/>
    <w:rsid w:val="00713D09"/>
    <w:rsid w:val="0071425E"/>
    <w:rsid w:val="007148AB"/>
    <w:rsid w:val="007154CE"/>
    <w:rsid w:val="007157E1"/>
    <w:rsid w:val="00716C94"/>
    <w:rsid w:val="0071717E"/>
    <w:rsid w:val="00720164"/>
    <w:rsid w:val="00720D11"/>
    <w:rsid w:val="00722D83"/>
    <w:rsid w:val="0072308A"/>
    <w:rsid w:val="007234B4"/>
    <w:rsid w:val="00723C2F"/>
    <w:rsid w:val="00725B41"/>
    <w:rsid w:val="00727C34"/>
    <w:rsid w:val="00727E0A"/>
    <w:rsid w:val="0073176E"/>
    <w:rsid w:val="00732EC9"/>
    <w:rsid w:val="00734209"/>
    <w:rsid w:val="00734B27"/>
    <w:rsid w:val="00735226"/>
    <w:rsid w:val="00735646"/>
    <w:rsid w:val="00735CA5"/>
    <w:rsid w:val="00735DCE"/>
    <w:rsid w:val="00736D94"/>
    <w:rsid w:val="00742597"/>
    <w:rsid w:val="00744629"/>
    <w:rsid w:val="00744AAE"/>
    <w:rsid w:val="0074699B"/>
    <w:rsid w:val="00746E38"/>
    <w:rsid w:val="00750508"/>
    <w:rsid w:val="007520AD"/>
    <w:rsid w:val="00752BEF"/>
    <w:rsid w:val="00753424"/>
    <w:rsid w:val="00756784"/>
    <w:rsid w:val="0076078D"/>
    <w:rsid w:val="00761175"/>
    <w:rsid w:val="00761471"/>
    <w:rsid w:val="007619F1"/>
    <w:rsid w:val="00762041"/>
    <w:rsid w:val="00763719"/>
    <w:rsid w:val="0076581A"/>
    <w:rsid w:val="007668E4"/>
    <w:rsid w:val="00766A7C"/>
    <w:rsid w:val="0076729C"/>
    <w:rsid w:val="00770065"/>
    <w:rsid w:val="007719F0"/>
    <w:rsid w:val="00772229"/>
    <w:rsid w:val="00772F28"/>
    <w:rsid w:val="00773622"/>
    <w:rsid w:val="00775215"/>
    <w:rsid w:val="007768E9"/>
    <w:rsid w:val="00777D56"/>
    <w:rsid w:val="0078012D"/>
    <w:rsid w:val="00780A1D"/>
    <w:rsid w:val="00780D39"/>
    <w:rsid w:val="0078107E"/>
    <w:rsid w:val="007817B6"/>
    <w:rsid w:val="00781C16"/>
    <w:rsid w:val="00782476"/>
    <w:rsid w:val="00782B02"/>
    <w:rsid w:val="00782E61"/>
    <w:rsid w:val="00784236"/>
    <w:rsid w:val="00784A9F"/>
    <w:rsid w:val="00787098"/>
    <w:rsid w:val="00787BF0"/>
    <w:rsid w:val="007917C0"/>
    <w:rsid w:val="007923C7"/>
    <w:rsid w:val="00792BD9"/>
    <w:rsid w:val="00794140"/>
    <w:rsid w:val="00794ACE"/>
    <w:rsid w:val="007955E6"/>
    <w:rsid w:val="007A1068"/>
    <w:rsid w:val="007A1163"/>
    <w:rsid w:val="007A2B7E"/>
    <w:rsid w:val="007A453E"/>
    <w:rsid w:val="007A540D"/>
    <w:rsid w:val="007A54A2"/>
    <w:rsid w:val="007A7A05"/>
    <w:rsid w:val="007B3920"/>
    <w:rsid w:val="007B3D48"/>
    <w:rsid w:val="007B7182"/>
    <w:rsid w:val="007B7B27"/>
    <w:rsid w:val="007C1B0B"/>
    <w:rsid w:val="007C285A"/>
    <w:rsid w:val="007C32CA"/>
    <w:rsid w:val="007C3663"/>
    <w:rsid w:val="007C413A"/>
    <w:rsid w:val="007C435E"/>
    <w:rsid w:val="007C5023"/>
    <w:rsid w:val="007C5A11"/>
    <w:rsid w:val="007C7EF9"/>
    <w:rsid w:val="007D23F6"/>
    <w:rsid w:val="007D248B"/>
    <w:rsid w:val="007D35A6"/>
    <w:rsid w:val="007D37E0"/>
    <w:rsid w:val="007D3E83"/>
    <w:rsid w:val="007D6613"/>
    <w:rsid w:val="007D68F4"/>
    <w:rsid w:val="007D794E"/>
    <w:rsid w:val="007E0A2F"/>
    <w:rsid w:val="007E0B72"/>
    <w:rsid w:val="007E1142"/>
    <w:rsid w:val="007E1291"/>
    <w:rsid w:val="007E12C3"/>
    <w:rsid w:val="007E1428"/>
    <w:rsid w:val="007E1838"/>
    <w:rsid w:val="007E302A"/>
    <w:rsid w:val="007E477C"/>
    <w:rsid w:val="007E4CF5"/>
    <w:rsid w:val="007E5314"/>
    <w:rsid w:val="007E5486"/>
    <w:rsid w:val="007E6613"/>
    <w:rsid w:val="007E6617"/>
    <w:rsid w:val="007F0276"/>
    <w:rsid w:val="007F2523"/>
    <w:rsid w:val="007F3DE0"/>
    <w:rsid w:val="007F4249"/>
    <w:rsid w:val="007F4389"/>
    <w:rsid w:val="007F7510"/>
    <w:rsid w:val="007F7660"/>
    <w:rsid w:val="00803329"/>
    <w:rsid w:val="0080419A"/>
    <w:rsid w:val="00804C98"/>
    <w:rsid w:val="0080537B"/>
    <w:rsid w:val="008067C0"/>
    <w:rsid w:val="00810143"/>
    <w:rsid w:val="00813A65"/>
    <w:rsid w:val="00813BA3"/>
    <w:rsid w:val="00813D8C"/>
    <w:rsid w:val="00814A88"/>
    <w:rsid w:val="00816051"/>
    <w:rsid w:val="00820524"/>
    <w:rsid w:val="00820A5A"/>
    <w:rsid w:val="00821050"/>
    <w:rsid w:val="008210B8"/>
    <w:rsid w:val="00822FC4"/>
    <w:rsid w:val="008232DC"/>
    <w:rsid w:val="00823C40"/>
    <w:rsid w:val="00823FFD"/>
    <w:rsid w:val="00825000"/>
    <w:rsid w:val="00827B25"/>
    <w:rsid w:val="00830029"/>
    <w:rsid w:val="00831FED"/>
    <w:rsid w:val="00832731"/>
    <w:rsid w:val="00832FBC"/>
    <w:rsid w:val="00834A65"/>
    <w:rsid w:val="00834E30"/>
    <w:rsid w:val="008357E0"/>
    <w:rsid w:val="008371EB"/>
    <w:rsid w:val="00843A72"/>
    <w:rsid w:val="00843BA6"/>
    <w:rsid w:val="00843D71"/>
    <w:rsid w:val="00844ECD"/>
    <w:rsid w:val="00851039"/>
    <w:rsid w:val="00852437"/>
    <w:rsid w:val="00853DEB"/>
    <w:rsid w:val="00853FB6"/>
    <w:rsid w:val="00854D96"/>
    <w:rsid w:val="00856F87"/>
    <w:rsid w:val="00857969"/>
    <w:rsid w:val="00862187"/>
    <w:rsid w:val="00863163"/>
    <w:rsid w:val="008644E0"/>
    <w:rsid w:val="008661BD"/>
    <w:rsid w:val="00867495"/>
    <w:rsid w:val="00867B4E"/>
    <w:rsid w:val="008713B6"/>
    <w:rsid w:val="0087156B"/>
    <w:rsid w:val="0088114B"/>
    <w:rsid w:val="008817C5"/>
    <w:rsid w:val="00881985"/>
    <w:rsid w:val="0088292E"/>
    <w:rsid w:val="00883DEC"/>
    <w:rsid w:val="00886E55"/>
    <w:rsid w:val="0088715F"/>
    <w:rsid w:val="00890CDB"/>
    <w:rsid w:val="00891BC6"/>
    <w:rsid w:val="00891C67"/>
    <w:rsid w:val="00892117"/>
    <w:rsid w:val="00893252"/>
    <w:rsid w:val="008932EA"/>
    <w:rsid w:val="00893627"/>
    <w:rsid w:val="0089417D"/>
    <w:rsid w:val="00894E26"/>
    <w:rsid w:val="008956C7"/>
    <w:rsid w:val="0089603C"/>
    <w:rsid w:val="00896C81"/>
    <w:rsid w:val="00897EBA"/>
    <w:rsid w:val="008A0B98"/>
    <w:rsid w:val="008A13C4"/>
    <w:rsid w:val="008A23C3"/>
    <w:rsid w:val="008A41AC"/>
    <w:rsid w:val="008A43AE"/>
    <w:rsid w:val="008A4793"/>
    <w:rsid w:val="008A5AE0"/>
    <w:rsid w:val="008A5AE8"/>
    <w:rsid w:val="008A767B"/>
    <w:rsid w:val="008B19D6"/>
    <w:rsid w:val="008B2199"/>
    <w:rsid w:val="008B224C"/>
    <w:rsid w:val="008B2CBD"/>
    <w:rsid w:val="008B3219"/>
    <w:rsid w:val="008B4468"/>
    <w:rsid w:val="008B46EF"/>
    <w:rsid w:val="008B479D"/>
    <w:rsid w:val="008B58F1"/>
    <w:rsid w:val="008B6A93"/>
    <w:rsid w:val="008B798C"/>
    <w:rsid w:val="008B7EAC"/>
    <w:rsid w:val="008B7F4F"/>
    <w:rsid w:val="008C0025"/>
    <w:rsid w:val="008C0B8B"/>
    <w:rsid w:val="008C11E4"/>
    <w:rsid w:val="008C153B"/>
    <w:rsid w:val="008C23CF"/>
    <w:rsid w:val="008C3E8A"/>
    <w:rsid w:val="008C4BDD"/>
    <w:rsid w:val="008C4E0B"/>
    <w:rsid w:val="008C61AC"/>
    <w:rsid w:val="008C6860"/>
    <w:rsid w:val="008C69DE"/>
    <w:rsid w:val="008C6E11"/>
    <w:rsid w:val="008C7F3B"/>
    <w:rsid w:val="008D0349"/>
    <w:rsid w:val="008D099F"/>
    <w:rsid w:val="008D2631"/>
    <w:rsid w:val="008D2905"/>
    <w:rsid w:val="008D38DB"/>
    <w:rsid w:val="008D4400"/>
    <w:rsid w:val="008D59BE"/>
    <w:rsid w:val="008D6BE9"/>
    <w:rsid w:val="008E08BC"/>
    <w:rsid w:val="008E2656"/>
    <w:rsid w:val="008E4142"/>
    <w:rsid w:val="008E46A2"/>
    <w:rsid w:val="008E46C1"/>
    <w:rsid w:val="008E6E4D"/>
    <w:rsid w:val="008E70C5"/>
    <w:rsid w:val="008E75BA"/>
    <w:rsid w:val="008E7A39"/>
    <w:rsid w:val="008F2414"/>
    <w:rsid w:val="008F3619"/>
    <w:rsid w:val="008F4B0B"/>
    <w:rsid w:val="008F5516"/>
    <w:rsid w:val="008F58DB"/>
    <w:rsid w:val="008F5C0C"/>
    <w:rsid w:val="008F64B7"/>
    <w:rsid w:val="00901902"/>
    <w:rsid w:val="00903823"/>
    <w:rsid w:val="009056CB"/>
    <w:rsid w:val="00906AFD"/>
    <w:rsid w:val="00906F0C"/>
    <w:rsid w:val="00906F6A"/>
    <w:rsid w:val="00911219"/>
    <w:rsid w:val="00912B48"/>
    <w:rsid w:val="00912D60"/>
    <w:rsid w:val="009137DA"/>
    <w:rsid w:val="009137FF"/>
    <w:rsid w:val="009150DF"/>
    <w:rsid w:val="00915782"/>
    <w:rsid w:val="00915E86"/>
    <w:rsid w:val="009163CF"/>
    <w:rsid w:val="00916775"/>
    <w:rsid w:val="009221C5"/>
    <w:rsid w:val="0092359F"/>
    <w:rsid w:val="009246BD"/>
    <w:rsid w:val="00925285"/>
    <w:rsid w:val="00925BE4"/>
    <w:rsid w:val="00926555"/>
    <w:rsid w:val="009265B7"/>
    <w:rsid w:val="00926DA1"/>
    <w:rsid w:val="00927C0B"/>
    <w:rsid w:val="00927D0C"/>
    <w:rsid w:val="009317A4"/>
    <w:rsid w:val="009318D4"/>
    <w:rsid w:val="00936082"/>
    <w:rsid w:val="0093650C"/>
    <w:rsid w:val="00936693"/>
    <w:rsid w:val="009371A5"/>
    <w:rsid w:val="0093731A"/>
    <w:rsid w:val="00937569"/>
    <w:rsid w:val="009379ED"/>
    <w:rsid w:val="009419E1"/>
    <w:rsid w:val="00942019"/>
    <w:rsid w:val="009425B8"/>
    <w:rsid w:val="00943BE5"/>
    <w:rsid w:val="00944335"/>
    <w:rsid w:val="009449C9"/>
    <w:rsid w:val="0094619A"/>
    <w:rsid w:val="00947BCC"/>
    <w:rsid w:val="0095039B"/>
    <w:rsid w:val="00950FF2"/>
    <w:rsid w:val="00951A1D"/>
    <w:rsid w:val="0095289D"/>
    <w:rsid w:val="00953231"/>
    <w:rsid w:val="00957A3F"/>
    <w:rsid w:val="00957D6F"/>
    <w:rsid w:val="00960390"/>
    <w:rsid w:val="00960889"/>
    <w:rsid w:val="00962858"/>
    <w:rsid w:val="00962E45"/>
    <w:rsid w:val="00963204"/>
    <w:rsid w:val="009632E8"/>
    <w:rsid w:val="0096501E"/>
    <w:rsid w:val="00965A66"/>
    <w:rsid w:val="0096719C"/>
    <w:rsid w:val="009707A3"/>
    <w:rsid w:val="00972A05"/>
    <w:rsid w:val="00974A13"/>
    <w:rsid w:val="00974A94"/>
    <w:rsid w:val="009765E0"/>
    <w:rsid w:val="009775C0"/>
    <w:rsid w:val="00980314"/>
    <w:rsid w:val="00982D52"/>
    <w:rsid w:val="0098356A"/>
    <w:rsid w:val="0098495F"/>
    <w:rsid w:val="00984FF1"/>
    <w:rsid w:val="009869CF"/>
    <w:rsid w:val="009903A5"/>
    <w:rsid w:val="00990D73"/>
    <w:rsid w:val="00990F17"/>
    <w:rsid w:val="00991864"/>
    <w:rsid w:val="00991D59"/>
    <w:rsid w:val="009937B4"/>
    <w:rsid w:val="00994787"/>
    <w:rsid w:val="00995505"/>
    <w:rsid w:val="009961FF"/>
    <w:rsid w:val="00996E50"/>
    <w:rsid w:val="00997237"/>
    <w:rsid w:val="009A1E4B"/>
    <w:rsid w:val="009A24BE"/>
    <w:rsid w:val="009A2548"/>
    <w:rsid w:val="009A2EC7"/>
    <w:rsid w:val="009A35CF"/>
    <w:rsid w:val="009A3950"/>
    <w:rsid w:val="009A5767"/>
    <w:rsid w:val="009A5891"/>
    <w:rsid w:val="009A6C5F"/>
    <w:rsid w:val="009A7DDE"/>
    <w:rsid w:val="009B0406"/>
    <w:rsid w:val="009B136D"/>
    <w:rsid w:val="009B2129"/>
    <w:rsid w:val="009B2D5E"/>
    <w:rsid w:val="009B342D"/>
    <w:rsid w:val="009B5867"/>
    <w:rsid w:val="009C0E77"/>
    <w:rsid w:val="009C1A1E"/>
    <w:rsid w:val="009C3329"/>
    <w:rsid w:val="009C3A7D"/>
    <w:rsid w:val="009C422E"/>
    <w:rsid w:val="009C4BF6"/>
    <w:rsid w:val="009C712F"/>
    <w:rsid w:val="009D1B4B"/>
    <w:rsid w:val="009D3FA8"/>
    <w:rsid w:val="009D47ED"/>
    <w:rsid w:val="009D4FDA"/>
    <w:rsid w:val="009D5514"/>
    <w:rsid w:val="009D5B25"/>
    <w:rsid w:val="009D5D82"/>
    <w:rsid w:val="009D6430"/>
    <w:rsid w:val="009D74F9"/>
    <w:rsid w:val="009E104B"/>
    <w:rsid w:val="009E1800"/>
    <w:rsid w:val="009E2839"/>
    <w:rsid w:val="009E295C"/>
    <w:rsid w:val="009E349D"/>
    <w:rsid w:val="009E3C6A"/>
    <w:rsid w:val="009E56AE"/>
    <w:rsid w:val="009E5756"/>
    <w:rsid w:val="009E5D4D"/>
    <w:rsid w:val="009E649F"/>
    <w:rsid w:val="009F0A1F"/>
    <w:rsid w:val="009F25C6"/>
    <w:rsid w:val="009F6C8D"/>
    <w:rsid w:val="009F7716"/>
    <w:rsid w:val="00A016B4"/>
    <w:rsid w:val="00A02913"/>
    <w:rsid w:val="00A0334C"/>
    <w:rsid w:val="00A036D3"/>
    <w:rsid w:val="00A03BC1"/>
    <w:rsid w:val="00A03E17"/>
    <w:rsid w:val="00A04537"/>
    <w:rsid w:val="00A059D2"/>
    <w:rsid w:val="00A07102"/>
    <w:rsid w:val="00A076DB"/>
    <w:rsid w:val="00A07799"/>
    <w:rsid w:val="00A125F6"/>
    <w:rsid w:val="00A139F6"/>
    <w:rsid w:val="00A167AE"/>
    <w:rsid w:val="00A16C84"/>
    <w:rsid w:val="00A17172"/>
    <w:rsid w:val="00A17D8E"/>
    <w:rsid w:val="00A22A95"/>
    <w:rsid w:val="00A23197"/>
    <w:rsid w:val="00A23DE7"/>
    <w:rsid w:val="00A23E27"/>
    <w:rsid w:val="00A2487A"/>
    <w:rsid w:val="00A262DD"/>
    <w:rsid w:val="00A27AA3"/>
    <w:rsid w:val="00A30907"/>
    <w:rsid w:val="00A33D22"/>
    <w:rsid w:val="00A35457"/>
    <w:rsid w:val="00A36216"/>
    <w:rsid w:val="00A3701C"/>
    <w:rsid w:val="00A37DC7"/>
    <w:rsid w:val="00A37F8E"/>
    <w:rsid w:val="00A412D8"/>
    <w:rsid w:val="00A42D93"/>
    <w:rsid w:val="00A4550E"/>
    <w:rsid w:val="00A45799"/>
    <w:rsid w:val="00A45A71"/>
    <w:rsid w:val="00A46CC1"/>
    <w:rsid w:val="00A47894"/>
    <w:rsid w:val="00A50A56"/>
    <w:rsid w:val="00A5160F"/>
    <w:rsid w:val="00A54598"/>
    <w:rsid w:val="00A5478D"/>
    <w:rsid w:val="00A55524"/>
    <w:rsid w:val="00A56934"/>
    <w:rsid w:val="00A569DA"/>
    <w:rsid w:val="00A56D6A"/>
    <w:rsid w:val="00A57F5D"/>
    <w:rsid w:val="00A61189"/>
    <w:rsid w:val="00A61347"/>
    <w:rsid w:val="00A62087"/>
    <w:rsid w:val="00A638BA"/>
    <w:rsid w:val="00A64F07"/>
    <w:rsid w:val="00A66589"/>
    <w:rsid w:val="00A6689D"/>
    <w:rsid w:val="00A700F1"/>
    <w:rsid w:val="00A7172D"/>
    <w:rsid w:val="00A74627"/>
    <w:rsid w:val="00A76F6C"/>
    <w:rsid w:val="00A778FD"/>
    <w:rsid w:val="00A80C69"/>
    <w:rsid w:val="00A82CA4"/>
    <w:rsid w:val="00A84443"/>
    <w:rsid w:val="00A84A78"/>
    <w:rsid w:val="00A84F5C"/>
    <w:rsid w:val="00A850FB"/>
    <w:rsid w:val="00A85AA7"/>
    <w:rsid w:val="00A87A5B"/>
    <w:rsid w:val="00A90998"/>
    <w:rsid w:val="00A92024"/>
    <w:rsid w:val="00A936DA"/>
    <w:rsid w:val="00A93DE6"/>
    <w:rsid w:val="00A94320"/>
    <w:rsid w:val="00A9671C"/>
    <w:rsid w:val="00AA0475"/>
    <w:rsid w:val="00AA05A6"/>
    <w:rsid w:val="00AA19B0"/>
    <w:rsid w:val="00AA1EAF"/>
    <w:rsid w:val="00AA24A3"/>
    <w:rsid w:val="00AA3095"/>
    <w:rsid w:val="00AA3C55"/>
    <w:rsid w:val="00AA603E"/>
    <w:rsid w:val="00AA64B2"/>
    <w:rsid w:val="00AB126D"/>
    <w:rsid w:val="00AB382F"/>
    <w:rsid w:val="00AB3F7A"/>
    <w:rsid w:val="00AB40AA"/>
    <w:rsid w:val="00AB433F"/>
    <w:rsid w:val="00AB5901"/>
    <w:rsid w:val="00AB5E05"/>
    <w:rsid w:val="00AB7EBF"/>
    <w:rsid w:val="00AC020B"/>
    <w:rsid w:val="00AC2EBD"/>
    <w:rsid w:val="00AC2F01"/>
    <w:rsid w:val="00AC32D4"/>
    <w:rsid w:val="00AC4D93"/>
    <w:rsid w:val="00AC7120"/>
    <w:rsid w:val="00AC7EA7"/>
    <w:rsid w:val="00AD0077"/>
    <w:rsid w:val="00AD0582"/>
    <w:rsid w:val="00AD09DD"/>
    <w:rsid w:val="00AD1993"/>
    <w:rsid w:val="00AD2DD0"/>
    <w:rsid w:val="00AD57CE"/>
    <w:rsid w:val="00AD676B"/>
    <w:rsid w:val="00AD7520"/>
    <w:rsid w:val="00AE228A"/>
    <w:rsid w:val="00AE42EF"/>
    <w:rsid w:val="00AE4475"/>
    <w:rsid w:val="00AE4DAD"/>
    <w:rsid w:val="00AE52F2"/>
    <w:rsid w:val="00AE5687"/>
    <w:rsid w:val="00AF040C"/>
    <w:rsid w:val="00AF16BB"/>
    <w:rsid w:val="00AF442A"/>
    <w:rsid w:val="00AF580D"/>
    <w:rsid w:val="00AF668F"/>
    <w:rsid w:val="00B002EF"/>
    <w:rsid w:val="00B003F4"/>
    <w:rsid w:val="00B00D9A"/>
    <w:rsid w:val="00B00EC8"/>
    <w:rsid w:val="00B03E6B"/>
    <w:rsid w:val="00B062CE"/>
    <w:rsid w:val="00B07E28"/>
    <w:rsid w:val="00B104A1"/>
    <w:rsid w:val="00B1199E"/>
    <w:rsid w:val="00B13852"/>
    <w:rsid w:val="00B144ED"/>
    <w:rsid w:val="00B14595"/>
    <w:rsid w:val="00B14B3D"/>
    <w:rsid w:val="00B21875"/>
    <w:rsid w:val="00B218A7"/>
    <w:rsid w:val="00B24CD3"/>
    <w:rsid w:val="00B24E0A"/>
    <w:rsid w:val="00B254A3"/>
    <w:rsid w:val="00B256E4"/>
    <w:rsid w:val="00B26BAF"/>
    <w:rsid w:val="00B2713F"/>
    <w:rsid w:val="00B300B3"/>
    <w:rsid w:val="00B31BB4"/>
    <w:rsid w:val="00B3348B"/>
    <w:rsid w:val="00B33816"/>
    <w:rsid w:val="00B33E1F"/>
    <w:rsid w:val="00B34552"/>
    <w:rsid w:val="00B3734D"/>
    <w:rsid w:val="00B375B3"/>
    <w:rsid w:val="00B37F7D"/>
    <w:rsid w:val="00B37FCF"/>
    <w:rsid w:val="00B40237"/>
    <w:rsid w:val="00B4105C"/>
    <w:rsid w:val="00B41243"/>
    <w:rsid w:val="00B422B1"/>
    <w:rsid w:val="00B42F40"/>
    <w:rsid w:val="00B43DBD"/>
    <w:rsid w:val="00B46CF8"/>
    <w:rsid w:val="00B51008"/>
    <w:rsid w:val="00B51567"/>
    <w:rsid w:val="00B515C5"/>
    <w:rsid w:val="00B52185"/>
    <w:rsid w:val="00B53116"/>
    <w:rsid w:val="00B5358A"/>
    <w:rsid w:val="00B53D3A"/>
    <w:rsid w:val="00B5523A"/>
    <w:rsid w:val="00B55BA4"/>
    <w:rsid w:val="00B606F3"/>
    <w:rsid w:val="00B61AF0"/>
    <w:rsid w:val="00B6254D"/>
    <w:rsid w:val="00B639CE"/>
    <w:rsid w:val="00B647BB"/>
    <w:rsid w:val="00B67738"/>
    <w:rsid w:val="00B67CF6"/>
    <w:rsid w:val="00B67D61"/>
    <w:rsid w:val="00B704CE"/>
    <w:rsid w:val="00B7106B"/>
    <w:rsid w:val="00B716B4"/>
    <w:rsid w:val="00B71979"/>
    <w:rsid w:val="00B71F3C"/>
    <w:rsid w:val="00B71FDD"/>
    <w:rsid w:val="00B7239E"/>
    <w:rsid w:val="00B7329A"/>
    <w:rsid w:val="00B73BE3"/>
    <w:rsid w:val="00B73FFA"/>
    <w:rsid w:val="00B74D77"/>
    <w:rsid w:val="00B760A9"/>
    <w:rsid w:val="00B77332"/>
    <w:rsid w:val="00B8027F"/>
    <w:rsid w:val="00B82B6F"/>
    <w:rsid w:val="00B85A9B"/>
    <w:rsid w:val="00B85FC9"/>
    <w:rsid w:val="00B873B9"/>
    <w:rsid w:val="00B877A0"/>
    <w:rsid w:val="00B9057A"/>
    <w:rsid w:val="00B91024"/>
    <w:rsid w:val="00B92E12"/>
    <w:rsid w:val="00B92ED5"/>
    <w:rsid w:val="00B9314F"/>
    <w:rsid w:val="00B93B48"/>
    <w:rsid w:val="00B94739"/>
    <w:rsid w:val="00B95850"/>
    <w:rsid w:val="00B9673F"/>
    <w:rsid w:val="00BA1953"/>
    <w:rsid w:val="00BA19C7"/>
    <w:rsid w:val="00BA1AEE"/>
    <w:rsid w:val="00BA1FC4"/>
    <w:rsid w:val="00BA2250"/>
    <w:rsid w:val="00BA3324"/>
    <w:rsid w:val="00BA43A8"/>
    <w:rsid w:val="00BA4AFA"/>
    <w:rsid w:val="00BB38E8"/>
    <w:rsid w:val="00BB684F"/>
    <w:rsid w:val="00BC0792"/>
    <w:rsid w:val="00BC40A7"/>
    <w:rsid w:val="00BC41F8"/>
    <w:rsid w:val="00BC43B2"/>
    <w:rsid w:val="00BC563A"/>
    <w:rsid w:val="00BC6AB8"/>
    <w:rsid w:val="00BC6FD0"/>
    <w:rsid w:val="00BC7954"/>
    <w:rsid w:val="00BD0E09"/>
    <w:rsid w:val="00BD176C"/>
    <w:rsid w:val="00BD1A82"/>
    <w:rsid w:val="00BD42D7"/>
    <w:rsid w:val="00BD4ACC"/>
    <w:rsid w:val="00BD6E85"/>
    <w:rsid w:val="00BE0F8B"/>
    <w:rsid w:val="00BE1204"/>
    <w:rsid w:val="00BE1344"/>
    <w:rsid w:val="00BE39EE"/>
    <w:rsid w:val="00BE3DAD"/>
    <w:rsid w:val="00BE64F6"/>
    <w:rsid w:val="00BF02CF"/>
    <w:rsid w:val="00BF2788"/>
    <w:rsid w:val="00BF2814"/>
    <w:rsid w:val="00BF2EEF"/>
    <w:rsid w:val="00BF475A"/>
    <w:rsid w:val="00BF4F84"/>
    <w:rsid w:val="00BF4FFF"/>
    <w:rsid w:val="00BF6ED8"/>
    <w:rsid w:val="00BF7349"/>
    <w:rsid w:val="00C02C3A"/>
    <w:rsid w:val="00C1174F"/>
    <w:rsid w:val="00C126D0"/>
    <w:rsid w:val="00C12E62"/>
    <w:rsid w:val="00C12FE4"/>
    <w:rsid w:val="00C137F7"/>
    <w:rsid w:val="00C209A9"/>
    <w:rsid w:val="00C21166"/>
    <w:rsid w:val="00C22012"/>
    <w:rsid w:val="00C22454"/>
    <w:rsid w:val="00C2355B"/>
    <w:rsid w:val="00C2564D"/>
    <w:rsid w:val="00C26F17"/>
    <w:rsid w:val="00C3152F"/>
    <w:rsid w:val="00C3177C"/>
    <w:rsid w:val="00C31E42"/>
    <w:rsid w:val="00C33CE3"/>
    <w:rsid w:val="00C35D74"/>
    <w:rsid w:val="00C36843"/>
    <w:rsid w:val="00C36B82"/>
    <w:rsid w:val="00C36C11"/>
    <w:rsid w:val="00C373AD"/>
    <w:rsid w:val="00C40D32"/>
    <w:rsid w:val="00C41402"/>
    <w:rsid w:val="00C42F03"/>
    <w:rsid w:val="00C512C6"/>
    <w:rsid w:val="00C51A53"/>
    <w:rsid w:val="00C51FF5"/>
    <w:rsid w:val="00C538F7"/>
    <w:rsid w:val="00C542D8"/>
    <w:rsid w:val="00C54FE3"/>
    <w:rsid w:val="00C5554A"/>
    <w:rsid w:val="00C555EE"/>
    <w:rsid w:val="00C55CB6"/>
    <w:rsid w:val="00C55D9F"/>
    <w:rsid w:val="00C603CF"/>
    <w:rsid w:val="00C60E97"/>
    <w:rsid w:val="00C62B31"/>
    <w:rsid w:val="00C63D37"/>
    <w:rsid w:val="00C649B0"/>
    <w:rsid w:val="00C65E95"/>
    <w:rsid w:val="00C6665C"/>
    <w:rsid w:val="00C66D08"/>
    <w:rsid w:val="00C674B1"/>
    <w:rsid w:val="00C72ED5"/>
    <w:rsid w:val="00C7697B"/>
    <w:rsid w:val="00C76AB7"/>
    <w:rsid w:val="00C773FD"/>
    <w:rsid w:val="00C77CBE"/>
    <w:rsid w:val="00C80093"/>
    <w:rsid w:val="00C80B87"/>
    <w:rsid w:val="00C8361E"/>
    <w:rsid w:val="00C83B14"/>
    <w:rsid w:val="00C849F9"/>
    <w:rsid w:val="00C852BF"/>
    <w:rsid w:val="00C85879"/>
    <w:rsid w:val="00C85E92"/>
    <w:rsid w:val="00C864C6"/>
    <w:rsid w:val="00C86610"/>
    <w:rsid w:val="00C86772"/>
    <w:rsid w:val="00C87B84"/>
    <w:rsid w:val="00C9469B"/>
    <w:rsid w:val="00C95ABE"/>
    <w:rsid w:val="00C96C0B"/>
    <w:rsid w:val="00CA0869"/>
    <w:rsid w:val="00CA0E4A"/>
    <w:rsid w:val="00CA0FF9"/>
    <w:rsid w:val="00CA1840"/>
    <w:rsid w:val="00CA1DFA"/>
    <w:rsid w:val="00CA5B54"/>
    <w:rsid w:val="00CA5FC5"/>
    <w:rsid w:val="00CA65E4"/>
    <w:rsid w:val="00CA7DF2"/>
    <w:rsid w:val="00CB0CC8"/>
    <w:rsid w:val="00CB0F40"/>
    <w:rsid w:val="00CB1AC6"/>
    <w:rsid w:val="00CB1FCD"/>
    <w:rsid w:val="00CB4C47"/>
    <w:rsid w:val="00CB6BB2"/>
    <w:rsid w:val="00CB7B86"/>
    <w:rsid w:val="00CB7FC4"/>
    <w:rsid w:val="00CC1807"/>
    <w:rsid w:val="00CC187C"/>
    <w:rsid w:val="00CC292C"/>
    <w:rsid w:val="00CC3738"/>
    <w:rsid w:val="00CC4901"/>
    <w:rsid w:val="00CC7213"/>
    <w:rsid w:val="00CC7319"/>
    <w:rsid w:val="00CD0911"/>
    <w:rsid w:val="00CD13C0"/>
    <w:rsid w:val="00CD2AE3"/>
    <w:rsid w:val="00CD2E56"/>
    <w:rsid w:val="00CD44F3"/>
    <w:rsid w:val="00CD4DFD"/>
    <w:rsid w:val="00CD51A5"/>
    <w:rsid w:val="00CD68C2"/>
    <w:rsid w:val="00CD7A9F"/>
    <w:rsid w:val="00CE3E13"/>
    <w:rsid w:val="00CE487F"/>
    <w:rsid w:val="00CE4B6F"/>
    <w:rsid w:val="00CE4BCD"/>
    <w:rsid w:val="00CF19DD"/>
    <w:rsid w:val="00CF23E7"/>
    <w:rsid w:val="00CF2F99"/>
    <w:rsid w:val="00CF3C55"/>
    <w:rsid w:val="00CF3D0C"/>
    <w:rsid w:val="00CF63DB"/>
    <w:rsid w:val="00CF6889"/>
    <w:rsid w:val="00CF6CA4"/>
    <w:rsid w:val="00D003AA"/>
    <w:rsid w:val="00D00609"/>
    <w:rsid w:val="00D02924"/>
    <w:rsid w:val="00D0456F"/>
    <w:rsid w:val="00D100B2"/>
    <w:rsid w:val="00D10BF2"/>
    <w:rsid w:val="00D10C49"/>
    <w:rsid w:val="00D111C6"/>
    <w:rsid w:val="00D1122A"/>
    <w:rsid w:val="00D1193E"/>
    <w:rsid w:val="00D134E2"/>
    <w:rsid w:val="00D13804"/>
    <w:rsid w:val="00D13AAD"/>
    <w:rsid w:val="00D1546A"/>
    <w:rsid w:val="00D16128"/>
    <w:rsid w:val="00D16978"/>
    <w:rsid w:val="00D207B3"/>
    <w:rsid w:val="00D21536"/>
    <w:rsid w:val="00D2182E"/>
    <w:rsid w:val="00D22889"/>
    <w:rsid w:val="00D236DB"/>
    <w:rsid w:val="00D2400C"/>
    <w:rsid w:val="00D25B0F"/>
    <w:rsid w:val="00D25EE8"/>
    <w:rsid w:val="00D2695E"/>
    <w:rsid w:val="00D26F09"/>
    <w:rsid w:val="00D26F6D"/>
    <w:rsid w:val="00D27489"/>
    <w:rsid w:val="00D329B5"/>
    <w:rsid w:val="00D34078"/>
    <w:rsid w:val="00D34771"/>
    <w:rsid w:val="00D34D5C"/>
    <w:rsid w:val="00D35714"/>
    <w:rsid w:val="00D369C9"/>
    <w:rsid w:val="00D424DA"/>
    <w:rsid w:val="00D42558"/>
    <w:rsid w:val="00D431F9"/>
    <w:rsid w:val="00D444B4"/>
    <w:rsid w:val="00D4543F"/>
    <w:rsid w:val="00D467DC"/>
    <w:rsid w:val="00D47C6E"/>
    <w:rsid w:val="00D507AC"/>
    <w:rsid w:val="00D51D92"/>
    <w:rsid w:val="00D53B80"/>
    <w:rsid w:val="00D56B2A"/>
    <w:rsid w:val="00D56C69"/>
    <w:rsid w:val="00D56F6B"/>
    <w:rsid w:val="00D57BFC"/>
    <w:rsid w:val="00D57E84"/>
    <w:rsid w:val="00D60990"/>
    <w:rsid w:val="00D61C4D"/>
    <w:rsid w:val="00D62119"/>
    <w:rsid w:val="00D63C16"/>
    <w:rsid w:val="00D6531A"/>
    <w:rsid w:val="00D6553E"/>
    <w:rsid w:val="00D65DE1"/>
    <w:rsid w:val="00D715C9"/>
    <w:rsid w:val="00D75281"/>
    <w:rsid w:val="00D80978"/>
    <w:rsid w:val="00D811FD"/>
    <w:rsid w:val="00D82112"/>
    <w:rsid w:val="00D82B17"/>
    <w:rsid w:val="00D82D14"/>
    <w:rsid w:val="00D83005"/>
    <w:rsid w:val="00D84D97"/>
    <w:rsid w:val="00D8578C"/>
    <w:rsid w:val="00D86310"/>
    <w:rsid w:val="00D87754"/>
    <w:rsid w:val="00D9024A"/>
    <w:rsid w:val="00D90B45"/>
    <w:rsid w:val="00D9171B"/>
    <w:rsid w:val="00D93385"/>
    <w:rsid w:val="00D93E16"/>
    <w:rsid w:val="00D94747"/>
    <w:rsid w:val="00D95438"/>
    <w:rsid w:val="00D967DF"/>
    <w:rsid w:val="00D97A85"/>
    <w:rsid w:val="00DA32A8"/>
    <w:rsid w:val="00DA42FA"/>
    <w:rsid w:val="00DA4495"/>
    <w:rsid w:val="00DA47A2"/>
    <w:rsid w:val="00DA5431"/>
    <w:rsid w:val="00DA602E"/>
    <w:rsid w:val="00DA625B"/>
    <w:rsid w:val="00DA7565"/>
    <w:rsid w:val="00DB0394"/>
    <w:rsid w:val="00DB0AE6"/>
    <w:rsid w:val="00DB169D"/>
    <w:rsid w:val="00DB36C1"/>
    <w:rsid w:val="00DB5927"/>
    <w:rsid w:val="00DB5B7E"/>
    <w:rsid w:val="00DB5F3E"/>
    <w:rsid w:val="00DB61C4"/>
    <w:rsid w:val="00DB6309"/>
    <w:rsid w:val="00DB6917"/>
    <w:rsid w:val="00DB73EE"/>
    <w:rsid w:val="00DB75AC"/>
    <w:rsid w:val="00DB7A9B"/>
    <w:rsid w:val="00DC0250"/>
    <w:rsid w:val="00DC0FE4"/>
    <w:rsid w:val="00DC1308"/>
    <w:rsid w:val="00DC1461"/>
    <w:rsid w:val="00DC184A"/>
    <w:rsid w:val="00DC188A"/>
    <w:rsid w:val="00DC1C7E"/>
    <w:rsid w:val="00DC1FB8"/>
    <w:rsid w:val="00DC3988"/>
    <w:rsid w:val="00DC3B58"/>
    <w:rsid w:val="00DC44FA"/>
    <w:rsid w:val="00DC5098"/>
    <w:rsid w:val="00DC5503"/>
    <w:rsid w:val="00DC7AE4"/>
    <w:rsid w:val="00DD099F"/>
    <w:rsid w:val="00DD16D4"/>
    <w:rsid w:val="00DD2143"/>
    <w:rsid w:val="00DD4443"/>
    <w:rsid w:val="00DD4F0E"/>
    <w:rsid w:val="00DD5271"/>
    <w:rsid w:val="00DD5A79"/>
    <w:rsid w:val="00DD607B"/>
    <w:rsid w:val="00DE1F6B"/>
    <w:rsid w:val="00DE322D"/>
    <w:rsid w:val="00DE3DA9"/>
    <w:rsid w:val="00DE3EE0"/>
    <w:rsid w:val="00DE530C"/>
    <w:rsid w:val="00DE63CE"/>
    <w:rsid w:val="00DE7ACA"/>
    <w:rsid w:val="00DF149B"/>
    <w:rsid w:val="00DF16DC"/>
    <w:rsid w:val="00DF5F3F"/>
    <w:rsid w:val="00DF6493"/>
    <w:rsid w:val="00DF6566"/>
    <w:rsid w:val="00DF6C48"/>
    <w:rsid w:val="00DF7DF7"/>
    <w:rsid w:val="00E02933"/>
    <w:rsid w:val="00E0318B"/>
    <w:rsid w:val="00E03748"/>
    <w:rsid w:val="00E03C6A"/>
    <w:rsid w:val="00E05B91"/>
    <w:rsid w:val="00E07801"/>
    <w:rsid w:val="00E07BC6"/>
    <w:rsid w:val="00E13448"/>
    <w:rsid w:val="00E13660"/>
    <w:rsid w:val="00E14647"/>
    <w:rsid w:val="00E16D49"/>
    <w:rsid w:val="00E17133"/>
    <w:rsid w:val="00E17A6A"/>
    <w:rsid w:val="00E20466"/>
    <w:rsid w:val="00E20694"/>
    <w:rsid w:val="00E2116F"/>
    <w:rsid w:val="00E21528"/>
    <w:rsid w:val="00E21C8A"/>
    <w:rsid w:val="00E221C6"/>
    <w:rsid w:val="00E23931"/>
    <w:rsid w:val="00E244A0"/>
    <w:rsid w:val="00E248D7"/>
    <w:rsid w:val="00E24A96"/>
    <w:rsid w:val="00E25636"/>
    <w:rsid w:val="00E25871"/>
    <w:rsid w:val="00E258A6"/>
    <w:rsid w:val="00E27225"/>
    <w:rsid w:val="00E304DE"/>
    <w:rsid w:val="00E30F5C"/>
    <w:rsid w:val="00E31D2D"/>
    <w:rsid w:val="00E33E52"/>
    <w:rsid w:val="00E366BF"/>
    <w:rsid w:val="00E36A7E"/>
    <w:rsid w:val="00E37EDA"/>
    <w:rsid w:val="00E40BFE"/>
    <w:rsid w:val="00E41868"/>
    <w:rsid w:val="00E4273C"/>
    <w:rsid w:val="00E45697"/>
    <w:rsid w:val="00E46146"/>
    <w:rsid w:val="00E46488"/>
    <w:rsid w:val="00E47907"/>
    <w:rsid w:val="00E47DA3"/>
    <w:rsid w:val="00E50555"/>
    <w:rsid w:val="00E536C6"/>
    <w:rsid w:val="00E54928"/>
    <w:rsid w:val="00E54E8D"/>
    <w:rsid w:val="00E5511F"/>
    <w:rsid w:val="00E55346"/>
    <w:rsid w:val="00E570FE"/>
    <w:rsid w:val="00E6041F"/>
    <w:rsid w:val="00E66902"/>
    <w:rsid w:val="00E7092B"/>
    <w:rsid w:val="00E737EA"/>
    <w:rsid w:val="00E73F80"/>
    <w:rsid w:val="00E75185"/>
    <w:rsid w:val="00E763A2"/>
    <w:rsid w:val="00E77441"/>
    <w:rsid w:val="00E8426F"/>
    <w:rsid w:val="00E849B4"/>
    <w:rsid w:val="00E853F8"/>
    <w:rsid w:val="00E85857"/>
    <w:rsid w:val="00E86D4A"/>
    <w:rsid w:val="00E87238"/>
    <w:rsid w:val="00E87730"/>
    <w:rsid w:val="00E90315"/>
    <w:rsid w:val="00E905B4"/>
    <w:rsid w:val="00E9133E"/>
    <w:rsid w:val="00E93569"/>
    <w:rsid w:val="00E962F0"/>
    <w:rsid w:val="00E97111"/>
    <w:rsid w:val="00E978BA"/>
    <w:rsid w:val="00EA10A6"/>
    <w:rsid w:val="00EA2070"/>
    <w:rsid w:val="00EA2945"/>
    <w:rsid w:val="00EA2AED"/>
    <w:rsid w:val="00EA44D2"/>
    <w:rsid w:val="00EA44F9"/>
    <w:rsid w:val="00EA4D01"/>
    <w:rsid w:val="00EA7205"/>
    <w:rsid w:val="00EB0451"/>
    <w:rsid w:val="00EB0FCD"/>
    <w:rsid w:val="00EB224F"/>
    <w:rsid w:val="00EB271D"/>
    <w:rsid w:val="00EB389C"/>
    <w:rsid w:val="00EB4555"/>
    <w:rsid w:val="00EB6D31"/>
    <w:rsid w:val="00EB7BF4"/>
    <w:rsid w:val="00EC108C"/>
    <w:rsid w:val="00EC1868"/>
    <w:rsid w:val="00EC1FC3"/>
    <w:rsid w:val="00EC3E27"/>
    <w:rsid w:val="00EC51A4"/>
    <w:rsid w:val="00EC7656"/>
    <w:rsid w:val="00EC7A74"/>
    <w:rsid w:val="00ED0126"/>
    <w:rsid w:val="00ED07F1"/>
    <w:rsid w:val="00ED39B8"/>
    <w:rsid w:val="00ED3C54"/>
    <w:rsid w:val="00ED5BD0"/>
    <w:rsid w:val="00ED6602"/>
    <w:rsid w:val="00ED7BF6"/>
    <w:rsid w:val="00EE0CDE"/>
    <w:rsid w:val="00EE1211"/>
    <w:rsid w:val="00EE1C42"/>
    <w:rsid w:val="00EE2782"/>
    <w:rsid w:val="00EE31B6"/>
    <w:rsid w:val="00EE3472"/>
    <w:rsid w:val="00EE36C7"/>
    <w:rsid w:val="00EE3F7E"/>
    <w:rsid w:val="00EE45A6"/>
    <w:rsid w:val="00EE5214"/>
    <w:rsid w:val="00EE52CF"/>
    <w:rsid w:val="00EE601E"/>
    <w:rsid w:val="00EF27C7"/>
    <w:rsid w:val="00EF4166"/>
    <w:rsid w:val="00EF418F"/>
    <w:rsid w:val="00EF47E7"/>
    <w:rsid w:val="00EF5386"/>
    <w:rsid w:val="00EF56BF"/>
    <w:rsid w:val="00EF60AE"/>
    <w:rsid w:val="00EF6DB2"/>
    <w:rsid w:val="00F0005F"/>
    <w:rsid w:val="00F005A0"/>
    <w:rsid w:val="00F006F7"/>
    <w:rsid w:val="00F00933"/>
    <w:rsid w:val="00F03204"/>
    <w:rsid w:val="00F039BF"/>
    <w:rsid w:val="00F03C1D"/>
    <w:rsid w:val="00F040A8"/>
    <w:rsid w:val="00F040DB"/>
    <w:rsid w:val="00F06CD6"/>
    <w:rsid w:val="00F07D90"/>
    <w:rsid w:val="00F10715"/>
    <w:rsid w:val="00F10CCA"/>
    <w:rsid w:val="00F14030"/>
    <w:rsid w:val="00F14893"/>
    <w:rsid w:val="00F159E8"/>
    <w:rsid w:val="00F16C7B"/>
    <w:rsid w:val="00F23ECE"/>
    <w:rsid w:val="00F25984"/>
    <w:rsid w:val="00F26636"/>
    <w:rsid w:val="00F26720"/>
    <w:rsid w:val="00F26EDB"/>
    <w:rsid w:val="00F30C04"/>
    <w:rsid w:val="00F30F22"/>
    <w:rsid w:val="00F31150"/>
    <w:rsid w:val="00F32EEC"/>
    <w:rsid w:val="00F3366B"/>
    <w:rsid w:val="00F36BF5"/>
    <w:rsid w:val="00F36CB8"/>
    <w:rsid w:val="00F36EA8"/>
    <w:rsid w:val="00F403DA"/>
    <w:rsid w:val="00F40E4F"/>
    <w:rsid w:val="00F40FFE"/>
    <w:rsid w:val="00F411CE"/>
    <w:rsid w:val="00F4227E"/>
    <w:rsid w:val="00F43D2C"/>
    <w:rsid w:val="00F47A6B"/>
    <w:rsid w:val="00F51BE0"/>
    <w:rsid w:val="00F52023"/>
    <w:rsid w:val="00F53502"/>
    <w:rsid w:val="00F53684"/>
    <w:rsid w:val="00F53AC8"/>
    <w:rsid w:val="00F54420"/>
    <w:rsid w:val="00F5495B"/>
    <w:rsid w:val="00F57418"/>
    <w:rsid w:val="00F6191D"/>
    <w:rsid w:val="00F6328C"/>
    <w:rsid w:val="00F651BF"/>
    <w:rsid w:val="00F66536"/>
    <w:rsid w:val="00F67916"/>
    <w:rsid w:val="00F71044"/>
    <w:rsid w:val="00F73E00"/>
    <w:rsid w:val="00F74282"/>
    <w:rsid w:val="00F7570C"/>
    <w:rsid w:val="00F77E22"/>
    <w:rsid w:val="00F816F4"/>
    <w:rsid w:val="00F841FF"/>
    <w:rsid w:val="00F851A7"/>
    <w:rsid w:val="00F868A1"/>
    <w:rsid w:val="00F86DD9"/>
    <w:rsid w:val="00F86F8B"/>
    <w:rsid w:val="00F87275"/>
    <w:rsid w:val="00F93225"/>
    <w:rsid w:val="00F9385A"/>
    <w:rsid w:val="00F93883"/>
    <w:rsid w:val="00F9664F"/>
    <w:rsid w:val="00F976AC"/>
    <w:rsid w:val="00F97D5C"/>
    <w:rsid w:val="00F97D8C"/>
    <w:rsid w:val="00FA1ACA"/>
    <w:rsid w:val="00FA4688"/>
    <w:rsid w:val="00FA4B9F"/>
    <w:rsid w:val="00FA58CD"/>
    <w:rsid w:val="00FA6364"/>
    <w:rsid w:val="00FA65AC"/>
    <w:rsid w:val="00FA798E"/>
    <w:rsid w:val="00FB28F8"/>
    <w:rsid w:val="00FB5A58"/>
    <w:rsid w:val="00FB6DC4"/>
    <w:rsid w:val="00FB7396"/>
    <w:rsid w:val="00FB79A4"/>
    <w:rsid w:val="00FC0C72"/>
    <w:rsid w:val="00FC1451"/>
    <w:rsid w:val="00FC2618"/>
    <w:rsid w:val="00FC410E"/>
    <w:rsid w:val="00FC43DA"/>
    <w:rsid w:val="00FC517B"/>
    <w:rsid w:val="00FC61F7"/>
    <w:rsid w:val="00FC7699"/>
    <w:rsid w:val="00FC7D99"/>
    <w:rsid w:val="00FD167F"/>
    <w:rsid w:val="00FD6E15"/>
    <w:rsid w:val="00FD71C9"/>
    <w:rsid w:val="00FD7327"/>
    <w:rsid w:val="00FE0D92"/>
    <w:rsid w:val="00FE2BE5"/>
    <w:rsid w:val="00FE3D3C"/>
    <w:rsid w:val="00FE3E0C"/>
    <w:rsid w:val="00FE45AD"/>
    <w:rsid w:val="00FE4F80"/>
    <w:rsid w:val="00FE613B"/>
    <w:rsid w:val="00FE75D3"/>
    <w:rsid w:val="00FF1C7D"/>
    <w:rsid w:val="00FF1F72"/>
    <w:rsid w:val="00FF246D"/>
    <w:rsid w:val="00FF27E8"/>
    <w:rsid w:val="00FF33FE"/>
    <w:rsid w:val="00FF3B9D"/>
    <w:rsid w:val="00FF5408"/>
    <w:rsid w:val="00FF57A6"/>
    <w:rsid w:val="00FF6C99"/>
    <w:rsid w:val="00FF6DFE"/>
    <w:rsid w:val="00FF77A1"/>
    <w:rsid w:val="00FF79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2701EC"/>
  <w15:chartTrackingRefBased/>
  <w15:docId w15:val="{C98A05BF-8A66-4DC3-B62E-3D939E5FF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50DF"/>
    <w:rPr>
      <w:lang w:eastAsia="ru-RU"/>
    </w:rPr>
  </w:style>
  <w:style w:type="paragraph" w:styleId="2">
    <w:name w:val="heading 2"/>
    <w:basedOn w:val="a"/>
    <w:next w:val="a"/>
    <w:qFormat/>
    <w:rsid w:val="00792BD9"/>
    <w:pPr>
      <w:keepNext/>
      <w:spacing w:before="240" w:after="60"/>
      <w:outlineLvl w:val="1"/>
    </w:pPr>
    <w:rPr>
      <w:rFonts w:ascii="Arial" w:hAnsi="Arial" w:cs="Arial"/>
      <w:b/>
      <w:bCs/>
      <w:i/>
      <w:iCs/>
      <w:sz w:val="28"/>
      <w:szCs w:val="28"/>
      <w:lang w:val="ru-RU"/>
    </w:rPr>
  </w:style>
  <w:style w:type="paragraph" w:styleId="3">
    <w:name w:val="heading 3"/>
    <w:basedOn w:val="a"/>
    <w:next w:val="a"/>
    <w:link w:val="30"/>
    <w:semiHidden/>
    <w:unhideWhenUsed/>
    <w:qFormat/>
    <w:rsid w:val="004873CB"/>
    <w:pPr>
      <w:keepNext/>
      <w:spacing w:before="240" w:after="60"/>
      <w:outlineLvl w:val="2"/>
    </w:pPr>
    <w:rPr>
      <w:rFonts w:ascii="Calibri Light" w:hAnsi="Calibri Light"/>
      <w:b/>
      <w:bCs/>
      <w:sz w:val="26"/>
      <w:szCs w:val="26"/>
    </w:rPr>
  </w:style>
  <w:style w:type="paragraph" w:styleId="4">
    <w:name w:val="heading 4"/>
    <w:basedOn w:val="a"/>
    <w:next w:val="a"/>
    <w:qFormat/>
    <w:rsid w:val="009150DF"/>
    <w:pPr>
      <w:keepNext/>
      <w:spacing w:before="240" w:after="60"/>
      <w:outlineLvl w:val="3"/>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styleId="a4">
    <w:name w:val="footer"/>
    <w:basedOn w:val="a"/>
    <w:pPr>
      <w:tabs>
        <w:tab w:val="center" w:pos="4536"/>
        <w:tab w:val="right" w:pos="9072"/>
      </w:tabs>
    </w:pPr>
  </w:style>
  <w:style w:type="table" w:styleId="a5">
    <w:name w:val="Table Grid"/>
    <w:basedOn w:val="a1"/>
    <w:rsid w:val="000F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AC2EBD"/>
  </w:style>
  <w:style w:type="paragraph" w:styleId="a7">
    <w:name w:val="Balloon Text"/>
    <w:basedOn w:val="a"/>
    <w:semiHidden/>
    <w:rsid w:val="00D369C9"/>
    <w:rPr>
      <w:rFonts w:ascii="Tahoma" w:hAnsi="Tahoma" w:cs="Tahoma"/>
      <w:sz w:val="16"/>
      <w:szCs w:val="16"/>
    </w:rPr>
  </w:style>
  <w:style w:type="paragraph" w:styleId="20">
    <w:name w:val="Body Text 2"/>
    <w:basedOn w:val="a"/>
    <w:rsid w:val="008A13C4"/>
    <w:pPr>
      <w:jc w:val="both"/>
    </w:pPr>
    <w:rPr>
      <w:sz w:val="28"/>
    </w:rPr>
  </w:style>
  <w:style w:type="paragraph" w:customStyle="1" w:styleId="a8">
    <w:name w:val="Знак Знак Знак Знак"/>
    <w:basedOn w:val="a"/>
    <w:rsid w:val="00735DCE"/>
    <w:rPr>
      <w:rFonts w:ascii="Verdana" w:hAnsi="Verdana" w:cs="Verdana"/>
      <w:lang w:val="en-US" w:eastAsia="en-US"/>
    </w:rPr>
  </w:style>
  <w:style w:type="character" w:styleId="a9">
    <w:name w:val="Hyperlink"/>
    <w:rsid w:val="008C4BDD"/>
    <w:rPr>
      <w:color w:val="0000FF"/>
      <w:u w:val="single"/>
    </w:rPr>
  </w:style>
  <w:style w:type="paragraph" w:styleId="aa">
    <w:name w:val="Normal (Web)"/>
    <w:basedOn w:val="a"/>
    <w:rsid w:val="007D6613"/>
    <w:pPr>
      <w:spacing w:before="100" w:beforeAutospacing="1" w:after="100" w:afterAutospacing="1"/>
    </w:pPr>
    <w:rPr>
      <w:sz w:val="24"/>
      <w:szCs w:val="24"/>
      <w:lang w:eastAsia="uk-UA"/>
    </w:rPr>
  </w:style>
  <w:style w:type="character" w:customStyle="1" w:styleId="rvts0">
    <w:name w:val="rvts0"/>
    <w:basedOn w:val="a0"/>
    <w:rsid w:val="007D6613"/>
  </w:style>
  <w:style w:type="character" w:customStyle="1" w:styleId="30">
    <w:name w:val="Заголовок 3 Знак"/>
    <w:link w:val="3"/>
    <w:semiHidden/>
    <w:rsid w:val="004873CB"/>
    <w:rPr>
      <w:rFonts w:ascii="Calibri Light" w:eastAsia="Times New Roman" w:hAnsi="Calibri Light" w:cs="Times New Roman"/>
      <w:b/>
      <w:bCs/>
      <w:sz w:val="26"/>
      <w:szCs w:val="26"/>
      <w:lang w:val="uk-UA" w:eastAsia="ru-RU"/>
    </w:rPr>
  </w:style>
  <w:style w:type="paragraph" w:styleId="ab">
    <w:name w:val="List Paragraph"/>
    <w:basedOn w:val="a"/>
    <w:uiPriority w:val="34"/>
    <w:qFormat/>
    <w:rsid w:val="001F2FD6"/>
    <w:pPr>
      <w:spacing w:after="160" w:line="256" w:lineRule="auto"/>
      <w:ind w:left="720"/>
      <w:contextualSpacing/>
    </w:pPr>
    <w:rPr>
      <w:rFonts w:ascii="Calibri" w:eastAsia="Calibri" w:hAnsi="Calibri"/>
      <w:sz w:val="22"/>
      <w:szCs w:val="22"/>
      <w:lang w:eastAsia="en-US"/>
    </w:rPr>
  </w:style>
  <w:style w:type="paragraph" w:customStyle="1" w:styleId="rvps12">
    <w:name w:val="rvps12"/>
    <w:basedOn w:val="a"/>
    <w:rsid w:val="0044167C"/>
    <w:pPr>
      <w:spacing w:before="100" w:beforeAutospacing="1" w:after="100" w:afterAutospacing="1"/>
    </w:pPr>
    <w:rPr>
      <w:sz w:val="24"/>
      <w:szCs w:val="24"/>
      <w:lang w:eastAsia="uk-UA"/>
    </w:rPr>
  </w:style>
  <w:style w:type="paragraph" w:customStyle="1" w:styleId="rvps14">
    <w:name w:val="rvps14"/>
    <w:basedOn w:val="a"/>
    <w:rsid w:val="0044167C"/>
    <w:pPr>
      <w:spacing w:before="100" w:beforeAutospacing="1" w:after="100" w:afterAutospacing="1"/>
    </w:pPr>
    <w:rPr>
      <w:sz w:val="24"/>
      <w:szCs w:val="24"/>
      <w:lang w:eastAsia="uk-UA"/>
    </w:rPr>
  </w:style>
  <w:style w:type="paragraph" w:customStyle="1" w:styleId="rvps2">
    <w:name w:val="rvps2"/>
    <w:basedOn w:val="a"/>
    <w:rsid w:val="0037541C"/>
    <w:pPr>
      <w:spacing w:before="100" w:beforeAutospacing="1" w:after="100" w:afterAutospacing="1"/>
    </w:pPr>
    <w:rPr>
      <w:sz w:val="24"/>
      <w:szCs w:val="24"/>
      <w:lang w:val="ru-RU"/>
    </w:rPr>
  </w:style>
  <w:style w:type="character" w:styleId="ac">
    <w:name w:val="Unresolved Mention"/>
    <w:basedOn w:val="a0"/>
    <w:uiPriority w:val="99"/>
    <w:semiHidden/>
    <w:unhideWhenUsed/>
    <w:rsid w:val="00410E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783420">
      <w:bodyDiv w:val="1"/>
      <w:marLeft w:val="0"/>
      <w:marRight w:val="0"/>
      <w:marTop w:val="0"/>
      <w:marBottom w:val="0"/>
      <w:divBdr>
        <w:top w:val="none" w:sz="0" w:space="0" w:color="auto"/>
        <w:left w:val="none" w:sz="0" w:space="0" w:color="auto"/>
        <w:bottom w:val="none" w:sz="0" w:space="0" w:color="auto"/>
        <w:right w:val="none" w:sz="0" w:space="0" w:color="auto"/>
      </w:divBdr>
    </w:div>
    <w:div w:id="208340211">
      <w:bodyDiv w:val="1"/>
      <w:marLeft w:val="0"/>
      <w:marRight w:val="0"/>
      <w:marTop w:val="0"/>
      <w:marBottom w:val="0"/>
      <w:divBdr>
        <w:top w:val="none" w:sz="0" w:space="0" w:color="auto"/>
        <w:left w:val="none" w:sz="0" w:space="0" w:color="auto"/>
        <w:bottom w:val="none" w:sz="0" w:space="0" w:color="auto"/>
        <w:right w:val="none" w:sz="0" w:space="0" w:color="auto"/>
      </w:divBdr>
      <w:divsChild>
        <w:div w:id="299531438">
          <w:marLeft w:val="0"/>
          <w:marRight w:val="0"/>
          <w:marTop w:val="0"/>
          <w:marBottom w:val="150"/>
          <w:divBdr>
            <w:top w:val="none" w:sz="0" w:space="0" w:color="auto"/>
            <w:left w:val="none" w:sz="0" w:space="0" w:color="auto"/>
            <w:bottom w:val="none" w:sz="0" w:space="0" w:color="auto"/>
            <w:right w:val="none" w:sz="0" w:space="0" w:color="auto"/>
          </w:divBdr>
        </w:div>
        <w:div w:id="450319822">
          <w:marLeft w:val="0"/>
          <w:marRight w:val="0"/>
          <w:marTop w:val="0"/>
          <w:marBottom w:val="150"/>
          <w:divBdr>
            <w:top w:val="none" w:sz="0" w:space="0" w:color="auto"/>
            <w:left w:val="none" w:sz="0" w:space="0" w:color="auto"/>
            <w:bottom w:val="none" w:sz="0" w:space="0" w:color="auto"/>
            <w:right w:val="none" w:sz="0" w:space="0" w:color="auto"/>
          </w:divBdr>
        </w:div>
        <w:div w:id="541988035">
          <w:marLeft w:val="0"/>
          <w:marRight w:val="0"/>
          <w:marTop w:val="0"/>
          <w:marBottom w:val="150"/>
          <w:divBdr>
            <w:top w:val="none" w:sz="0" w:space="0" w:color="auto"/>
            <w:left w:val="none" w:sz="0" w:space="0" w:color="auto"/>
            <w:bottom w:val="none" w:sz="0" w:space="0" w:color="auto"/>
            <w:right w:val="none" w:sz="0" w:space="0" w:color="auto"/>
          </w:divBdr>
        </w:div>
        <w:div w:id="572083494">
          <w:marLeft w:val="0"/>
          <w:marRight w:val="0"/>
          <w:marTop w:val="0"/>
          <w:marBottom w:val="150"/>
          <w:divBdr>
            <w:top w:val="none" w:sz="0" w:space="0" w:color="auto"/>
            <w:left w:val="none" w:sz="0" w:space="0" w:color="auto"/>
            <w:bottom w:val="none" w:sz="0" w:space="0" w:color="auto"/>
            <w:right w:val="none" w:sz="0" w:space="0" w:color="auto"/>
          </w:divBdr>
        </w:div>
        <w:div w:id="744498287">
          <w:marLeft w:val="0"/>
          <w:marRight w:val="0"/>
          <w:marTop w:val="0"/>
          <w:marBottom w:val="150"/>
          <w:divBdr>
            <w:top w:val="none" w:sz="0" w:space="0" w:color="auto"/>
            <w:left w:val="none" w:sz="0" w:space="0" w:color="auto"/>
            <w:bottom w:val="none" w:sz="0" w:space="0" w:color="auto"/>
            <w:right w:val="none" w:sz="0" w:space="0" w:color="auto"/>
          </w:divBdr>
        </w:div>
        <w:div w:id="948587463">
          <w:marLeft w:val="0"/>
          <w:marRight w:val="0"/>
          <w:marTop w:val="0"/>
          <w:marBottom w:val="150"/>
          <w:divBdr>
            <w:top w:val="none" w:sz="0" w:space="0" w:color="auto"/>
            <w:left w:val="none" w:sz="0" w:space="0" w:color="auto"/>
            <w:bottom w:val="none" w:sz="0" w:space="0" w:color="auto"/>
            <w:right w:val="none" w:sz="0" w:space="0" w:color="auto"/>
          </w:divBdr>
        </w:div>
        <w:div w:id="1186094037">
          <w:marLeft w:val="0"/>
          <w:marRight w:val="0"/>
          <w:marTop w:val="150"/>
          <w:marBottom w:val="150"/>
          <w:divBdr>
            <w:top w:val="none" w:sz="0" w:space="0" w:color="auto"/>
            <w:left w:val="none" w:sz="0" w:space="0" w:color="auto"/>
            <w:bottom w:val="none" w:sz="0" w:space="0" w:color="auto"/>
            <w:right w:val="none" w:sz="0" w:space="0" w:color="auto"/>
          </w:divBdr>
        </w:div>
        <w:div w:id="1249651629">
          <w:marLeft w:val="0"/>
          <w:marRight w:val="0"/>
          <w:marTop w:val="0"/>
          <w:marBottom w:val="150"/>
          <w:divBdr>
            <w:top w:val="none" w:sz="0" w:space="0" w:color="auto"/>
            <w:left w:val="none" w:sz="0" w:space="0" w:color="auto"/>
            <w:bottom w:val="none" w:sz="0" w:space="0" w:color="auto"/>
            <w:right w:val="none" w:sz="0" w:space="0" w:color="auto"/>
          </w:divBdr>
        </w:div>
        <w:div w:id="1283726730">
          <w:marLeft w:val="0"/>
          <w:marRight w:val="0"/>
          <w:marTop w:val="0"/>
          <w:marBottom w:val="150"/>
          <w:divBdr>
            <w:top w:val="none" w:sz="0" w:space="0" w:color="auto"/>
            <w:left w:val="none" w:sz="0" w:space="0" w:color="auto"/>
            <w:bottom w:val="none" w:sz="0" w:space="0" w:color="auto"/>
            <w:right w:val="none" w:sz="0" w:space="0" w:color="auto"/>
          </w:divBdr>
        </w:div>
        <w:div w:id="1342702176">
          <w:marLeft w:val="0"/>
          <w:marRight w:val="0"/>
          <w:marTop w:val="0"/>
          <w:marBottom w:val="150"/>
          <w:divBdr>
            <w:top w:val="none" w:sz="0" w:space="0" w:color="auto"/>
            <w:left w:val="none" w:sz="0" w:space="0" w:color="auto"/>
            <w:bottom w:val="none" w:sz="0" w:space="0" w:color="auto"/>
            <w:right w:val="none" w:sz="0" w:space="0" w:color="auto"/>
          </w:divBdr>
        </w:div>
        <w:div w:id="1375151503">
          <w:marLeft w:val="0"/>
          <w:marRight w:val="0"/>
          <w:marTop w:val="0"/>
          <w:marBottom w:val="150"/>
          <w:divBdr>
            <w:top w:val="none" w:sz="0" w:space="0" w:color="auto"/>
            <w:left w:val="none" w:sz="0" w:space="0" w:color="auto"/>
            <w:bottom w:val="none" w:sz="0" w:space="0" w:color="auto"/>
            <w:right w:val="none" w:sz="0" w:space="0" w:color="auto"/>
          </w:divBdr>
        </w:div>
        <w:div w:id="1376465609">
          <w:marLeft w:val="0"/>
          <w:marRight w:val="0"/>
          <w:marTop w:val="150"/>
          <w:marBottom w:val="150"/>
          <w:divBdr>
            <w:top w:val="none" w:sz="0" w:space="0" w:color="auto"/>
            <w:left w:val="none" w:sz="0" w:space="0" w:color="auto"/>
            <w:bottom w:val="none" w:sz="0" w:space="0" w:color="auto"/>
            <w:right w:val="none" w:sz="0" w:space="0" w:color="auto"/>
          </w:divBdr>
        </w:div>
        <w:div w:id="1716198305">
          <w:marLeft w:val="0"/>
          <w:marRight w:val="0"/>
          <w:marTop w:val="0"/>
          <w:marBottom w:val="150"/>
          <w:divBdr>
            <w:top w:val="none" w:sz="0" w:space="0" w:color="auto"/>
            <w:left w:val="none" w:sz="0" w:space="0" w:color="auto"/>
            <w:bottom w:val="none" w:sz="0" w:space="0" w:color="auto"/>
            <w:right w:val="none" w:sz="0" w:space="0" w:color="auto"/>
          </w:divBdr>
        </w:div>
        <w:div w:id="1779446000">
          <w:marLeft w:val="0"/>
          <w:marRight w:val="0"/>
          <w:marTop w:val="0"/>
          <w:marBottom w:val="150"/>
          <w:divBdr>
            <w:top w:val="none" w:sz="0" w:space="0" w:color="auto"/>
            <w:left w:val="none" w:sz="0" w:space="0" w:color="auto"/>
            <w:bottom w:val="none" w:sz="0" w:space="0" w:color="auto"/>
            <w:right w:val="none" w:sz="0" w:space="0" w:color="auto"/>
          </w:divBdr>
        </w:div>
        <w:div w:id="1879320312">
          <w:marLeft w:val="0"/>
          <w:marRight w:val="0"/>
          <w:marTop w:val="0"/>
          <w:marBottom w:val="150"/>
          <w:divBdr>
            <w:top w:val="none" w:sz="0" w:space="0" w:color="auto"/>
            <w:left w:val="none" w:sz="0" w:space="0" w:color="auto"/>
            <w:bottom w:val="none" w:sz="0" w:space="0" w:color="auto"/>
            <w:right w:val="none" w:sz="0" w:space="0" w:color="auto"/>
          </w:divBdr>
        </w:div>
      </w:divsChild>
    </w:div>
    <w:div w:id="297733539">
      <w:bodyDiv w:val="1"/>
      <w:marLeft w:val="0"/>
      <w:marRight w:val="0"/>
      <w:marTop w:val="0"/>
      <w:marBottom w:val="0"/>
      <w:divBdr>
        <w:top w:val="none" w:sz="0" w:space="0" w:color="auto"/>
        <w:left w:val="none" w:sz="0" w:space="0" w:color="auto"/>
        <w:bottom w:val="none" w:sz="0" w:space="0" w:color="auto"/>
        <w:right w:val="none" w:sz="0" w:space="0" w:color="auto"/>
      </w:divBdr>
    </w:div>
    <w:div w:id="321203174">
      <w:bodyDiv w:val="1"/>
      <w:marLeft w:val="0"/>
      <w:marRight w:val="0"/>
      <w:marTop w:val="0"/>
      <w:marBottom w:val="0"/>
      <w:divBdr>
        <w:top w:val="none" w:sz="0" w:space="0" w:color="auto"/>
        <w:left w:val="none" w:sz="0" w:space="0" w:color="auto"/>
        <w:bottom w:val="none" w:sz="0" w:space="0" w:color="auto"/>
        <w:right w:val="none" w:sz="0" w:space="0" w:color="auto"/>
      </w:divBdr>
    </w:div>
    <w:div w:id="465587840">
      <w:bodyDiv w:val="1"/>
      <w:marLeft w:val="0"/>
      <w:marRight w:val="0"/>
      <w:marTop w:val="0"/>
      <w:marBottom w:val="0"/>
      <w:divBdr>
        <w:top w:val="none" w:sz="0" w:space="0" w:color="auto"/>
        <w:left w:val="none" w:sz="0" w:space="0" w:color="auto"/>
        <w:bottom w:val="none" w:sz="0" w:space="0" w:color="auto"/>
        <w:right w:val="none" w:sz="0" w:space="0" w:color="auto"/>
      </w:divBdr>
    </w:div>
    <w:div w:id="765199923">
      <w:bodyDiv w:val="1"/>
      <w:marLeft w:val="0"/>
      <w:marRight w:val="0"/>
      <w:marTop w:val="0"/>
      <w:marBottom w:val="0"/>
      <w:divBdr>
        <w:top w:val="none" w:sz="0" w:space="0" w:color="auto"/>
        <w:left w:val="none" w:sz="0" w:space="0" w:color="auto"/>
        <w:bottom w:val="none" w:sz="0" w:space="0" w:color="auto"/>
        <w:right w:val="none" w:sz="0" w:space="0" w:color="auto"/>
      </w:divBdr>
    </w:div>
    <w:div w:id="767504733">
      <w:bodyDiv w:val="1"/>
      <w:marLeft w:val="0"/>
      <w:marRight w:val="0"/>
      <w:marTop w:val="0"/>
      <w:marBottom w:val="0"/>
      <w:divBdr>
        <w:top w:val="none" w:sz="0" w:space="0" w:color="auto"/>
        <w:left w:val="none" w:sz="0" w:space="0" w:color="auto"/>
        <w:bottom w:val="none" w:sz="0" w:space="0" w:color="auto"/>
        <w:right w:val="none" w:sz="0" w:space="0" w:color="auto"/>
      </w:divBdr>
    </w:div>
    <w:div w:id="860583438">
      <w:bodyDiv w:val="1"/>
      <w:marLeft w:val="0"/>
      <w:marRight w:val="0"/>
      <w:marTop w:val="0"/>
      <w:marBottom w:val="0"/>
      <w:divBdr>
        <w:top w:val="none" w:sz="0" w:space="0" w:color="auto"/>
        <w:left w:val="none" w:sz="0" w:space="0" w:color="auto"/>
        <w:bottom w:val="none" w:sz="0" w:space="0" w:color="auto"/>
        <w:right w:val="none" w:sz="0" w:space="0" w:color="auto"/>
      </w:divBdr>
    </w:div>
    <w:div w:id="877089681">
      <w:bodyDiv w:val="1"/>
      <w:marLeft w:val="0"/>
      <w:marRight w:val="0"/>
      <w:marTop w:val="0"/>
      <w:marBottom w:val="0"/>
      <w:divBdr>
        <w:top w:val="none" w:sz="0" w:space="0" w:color="auto"/>
        <w:left w:val="none" w:sz="0" w:space="0" w:color="auto"/>
        <w:bottom w:val="none" w:sz="0" w:space="0" w:color="auto"/>
        <w:right w:val="none" w:sz="0" w:space="0" w:color="auto"/>
      </w:divBdr>
    </w:div>
    <w:div w:id="890535793">
      <w:bodyDiv w:val="1"/>
      <w:marLeft w:val="0"/>
      <w:marRight w:val="0"/>
      <w:marTop w:val="0"/>
      <w:marBottom w:val="0"/>
      <w:divBdr>
        <w:top w:val="none" w:sz="0" w:space="0" w:color="auto"/>
        <w:left w:val="none" w:sz="0" w:space="0" w:color="auto"/>
        <w:bottom w:val="none" w:sz="0" w:space="0" w:color="auto"/>
        <w:right w:val="none" w:sz="0" w:space="0" w:color="auto"/>
      </w:divBdr>
    </w:div>
    <w:div w:id="1012609065">
      <w:bodyDiv w:val="1"/>
      <w:marLeft w:val="0"/>
      <w:marRight w:val="0"/>
      <w:marTop w:val="0"/>
      <w:marBottom w:val="0"/>
      <w:divBdr>
        <w:top w:val="none" w:sz="0" w:space="0" w:color="auto"/>
        <w:left w:val="none" w:sz="0" w:space="0" w:color="auto"/>
        <w:bottom w:val="none" w:sz="0" w:space="0" w:color="auto"/>
        <w:right w:val="none" w:sz="0" w:space="0" w:color="auto"/>
      </w:divBdr>
    </w:div>
    <w:div w:id="1165972657">
      <w:bodyDiv w:val="1"/>
      <w:marLeft w:val="0"/>
      <w:marRight w:val="0"/>
      <w:marTop w:val="0"/>
      <w:marBottom w:val="0"/>
      <w:divBdr>
        <w:top w:val="none" w:sz="0" w:space="0" w:color="auto"/>
        <w:left w:val="none" w:sz="0" w:space="0" w:color="auto"/>
        <w:bottom w:val="none" w:sz="0" w:space="0" w:color="auto"/>
        <w:right w:val="none" w:sz="0" w:space="0" w:color="auto"/>
      </w:divBdr>
    </w:div>
    <w:div w:id="1465001836">
      <w:bodyDiv w:val="1"/>
      <w:marLeft w:val="0"/>
      <w:marRight w:val="0"/>
      <w:marTop w:val="0"/>
      <w:marBottom w:val="0"/>
      <w:divBdr>
        <w:top w:val="none" w:sz="0" w:space="0" w:color="auto"/>
        <w:left w:val="none" w:sz="0" w:space="0" w:color="auto"/>
        <w:bottom w:val="none" w:sz="0" w:space="0" w:color="auto"/>
        <w:right w:val="none" w:sz="0" w:space="0" w:color="auto"/>
      </w:divBdr>
    </w:div>
    <w:div w:id="1484664638">
      <w:bodyDiv w:val="1"/>
      <w:marLeft w:val="0"/>
      <w:marRight w:val="0"/>
      <w:marTop w:val="0"/>
      <w:marBottom w:val="0"/>
      <w:divBdr>
        <w:top w:val="none" w:sz="0" w:space="0" w:color="auto"/>
        <w:left w:val="none" w:sz="0" w:space="0" w:color="auto"/>
        <w:bottom w:val="none" w:sz="0" w:space="0" w:color="auto"/>
        <w:right w:val="none" w:sz="0" w:space="0" w:color="auto"/>
      </w:divBdr>
    </w:div>
    <w:div w:id="1515998799">
      <w:bodyDiv w:val="1"/>
      <w:marLeft w:val="0"/>
      <w:marRight w:val="0"/>
      <w:marTop w:val="0"/>
      <w:marBottom w:val="0"/>
      <w:divBdr>
        <w:top w:val="none" w:sz="0" w:space="0" w:color="auto"/>
        <w:left w:val="none" w:sz="0" w:space="0" w:color="auto"/>
        <w:bottom w:val="none" w:sz="0" w:space="0" w:color="auto"/>
        <w:right w:val="none" w:sz="0" w:space="0" w:color="auto"/>
      </w:divBdr>
    </w:div>
    <w:div w:id="1609964208">
      <w:bodyDiv w:val="1"/>
      <w:marLeft w:val="0"/>
      <w:marRight w:val="0"/>
      <w:marTop w:val="0"/>
      <w:marBottom w:val="0"/>
      <w:divBdr>
        <w:top w:val="none" w:sz="0" w:space="0" w:color="auto"/>
        <w:left w:val="none" w:sz="0" w:space="0" w:color="auto"/>
        <w:bottom w:val="none" w:sz="0" w:space="0" w:color="auto"/>
        <w:right w:val="none" w:sz="0" w:space="0" w:color="auto"/>
      </w:divBdr>
    </w:div>
    <w:div w:id="1701471167">
      <w:bodyDiv w:val="1"/>
      <w:marLeft w:val="0"/>
      <w:marRight w:val="0"/>
      <w:marTop w:val="0"/>
      <w:marBottom w:val="0"/>
      <w:divBdr>
        <w:top w:val="none" w:sz="0" w:space="0" w:color="auto"/>
        <w:left w:val="none" w:sz="0" w:space="0" w:color="auto"/>
        <w:bottom w:val="none" w:sz="0" w:space="0" w:color="auto"/>
        <w:right w:val="none" w:sz="0" w:space="0" w:color="auto"/>
      </w:divBdr>
    </w:div>
    <w:div w:id="1761364514">
      <w:bodyDiv w:val="1"/>
      <w:marLeft w:val="0"/>
      <w:marRight w:val="0"/>
      <w:marTop w:val="0"/>
      <w:marBottom w:val="0"/>
      <w:divBdr>
        <w:top w:val="none" w:sz="0" w:space="0" w:color="auto"/>
        <w:left w:val="none" w:sz="0" w:space="0" w:color="auto"/>
        <w:bottom w:val="none" w:sz="0" w:space="0" w:color="auto"/>
        <w:right w:val="none" w:sz="0" w:space="0" w:color="auto"/>
      </w:divBdr>
      <w:divsChild>
        <w:div w:id="1078283173">
          <w:marLeft w:val="0"/>
          <w:marRight w:val="0"/>
          <w:marTop w:val="0"/>
          <w:marBottom w:val="150"/>
          <w:divBdr>
            <w:top w:val="none" w:sz="0" w:space="0" w:color="auto"/>
            <w:left w:val="none" w:sz="0" w:space="0" w:color="auto"/>
            <w:bottom w:val="none" w:sz="0" w:space="0" w:color="auto"/>
            <w:right w:val="none" w:sz="0" w:space="0" w:color="auto"/>
          </w:divBdr>
        </w:div>
      </w:divsChild>
    </w:div>
    <w:div w:id="1809588230">
      <w:bodyDiv w:val="1"/>
      <w:marLeft w:val="0"/>
      <w:marRight w:val="0"/>
      <w:marTop w:val="0"/>
      <w:marBottom w:val="0"/>
      <w:divBdr>
        <w:top w:val="none" w:sz="0" w:space="0" w:color="auto"/>
        <w:left w:val="none" w:sz="0" w:space="0" w:color="auto"/>
        <w:bottom w:val="none" w:sz="0" w:space="0" w:color="auto"/>
        <w:right w:val="none" w:sz="0" w:space="0" w:color="auto"/>
      </w:divBdr>
    </w:div>
    <w:div w:id="1832988337">
      <w:bodyDiv w:val="1"/>
      <w:marLeft w:val="0"/>
      <w:marRight w:val="0"/>
      <w:marTop w:val="0"/>
      <w:marBottom w:val="0"/>
      <w:divBdr>
        <w:top w:val="none" w:sz="0" w:space="0" w:color="auto"/>
        <w:left w:val="none" w:sz="0" w:space="0" w:color="auto"/>
        <w:bottom w:val="none" w:sz="0" w:space="0" w:color="auto"/>
        <w:right w:val="none" w:sz="0" w:space="0" w:color="auto"/>
      </w:divBdr>
      <w:divsChild>
        <w:div w:id="1520507424">
          <w:marLeft w:val="0"/>
          <w:marRight w:val="0"/>
          <w:marTop w:val="0"/>
          <w:marBottom w:val="150"/>
          <w:divBdr>
            <w:top w:val="none" w:sz="0" w:space="0" w:color="auto"/>
            <w:left w:val="none" w:sz="0" w:space="0" w:color="auto"/>
            <w:bottom w:val="none" w:sz="0" w:space="0" w:color="auto"/>
            <w:right w:val="none" w:sz="0" w:space="0" w:color="auto"/>
          </w:divBdr>
        </w:div>
      </w:divsChild>
    </w:div>
    <w:div w:id="1867983822">
      <w:bodyDiv w:val="1"/>
      <w:marLeft w:val="0"/>
      <w:marRight w:val="0"/>
      <w:marTop w:val="0"/>
      <w:marBottom w:val="0"/>
      <w:divBdr>
        <w:top w:val="none" w:sz="0" w:space="0" w:color="auto"/>
        <w:left w:val="none" w:sz="0" w:space="0" w:color="auto"/>
        <w:bottom w:val="none" w:sz="0" w:space="0" w:color="auto"/>
        <w:right w:val="none" w:sz="0" w:space="0" w:color="auto"/>
      </w:divBdr>
    </w:div>
    <w:div w:id="212102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39C1A-184D-43FA-BA03-12764BB1B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495</Words>
  <Characters>3338</Characters>
  <Application>Microsoft Office Word</Application>
  <DocSecurity>0</DocSecurity>
  <Lines>27</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Rusnak</dc:creator>
  <cp:keywords/>
  <dc:description/>
  <cp:lastModifiedBy>Надія Пєфтієва</cp:lastModifiedBy>
  <cp:revision>4</cp:revision>
  <cp:lastPrinted>2020-11-19T14:52:00Z</cp:lastPrinted>
  <dcterms:created xsi:type="dcterms:W3CDTF">2026-01-28T12:33:00Z</dcterms:created>
  <dcterms:modified xsi:type="dcterms:W3CDTF">2026-01-28T12:40:00Z</dcterms:modified>
</cp:coreProperties>
</file>