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52248" w14:textId="73F4DCF5" w:rsidR="00D2796E" w:rsidRPr="006C5046" w:rsidRDefault="00D2796E" w:rsidP="00D2796E">
      <w:pPr>
        <w:shd w:val="clear" w:color="auto" w:fill="FFFFFF"/>
        <w:spacing w:before="150" w:after="150" w:line="240" w:lineRule="auto"/>
        <w:ind w:left="5245" w:right="450"/>
        <w:rPr>
          <w:rFonts w:ascii="Times New Roman" w:eastAsia="Times New Roman" w:hAnsi="Times New Roman" w:cs="Times New Roman"/>
          <w:b/>
          <w:bCs/>
          <w:sz w:val="28"/>
          <w:szCs w:val="28"/>
          <w:lang w:eastAsia="uk-UA"/>
        </w:rPr>
      </w:pPr>
      <w:r w:rsidRPr="006C5046">
        <w:rPr>
          <w:rFonts w:ascii="Times New Roman" w:hAnsi="Times New Roman" w:cs="Times New Roman"/>
          <w:shd w:val="clear" w:color="auto" w:fill="FFFFFF"/>
        </w:rPr>
        <w:t>Додаток 4</w:t>
      </w:r>
      <w:r w:rsidRPr="006C5046">
        <w:rPr>
          <w:rFonts w:ascii="Times New Roman" w:hAnsi="Times New Roman" w:cs="Times New Roman"/>
        </w:rPr>
        <w:br/>
      </w:r>
      <w:r w:rsidRPr="006C5046">
        <w:rPr>
          <w:rFonts w:ascii="Times New Roman" w:hAnsi="Times New Roman" w:cs="Times New Roman"/>
          <w:shd w:val="clear" w:color="auto" w:fill="FFFFFF"/>
        </w:rPr>
        <w:t>до Методики формування, розрахунку</w:t>
      </w:r>
      <w:r w:rsidRPr="006C5046">
        <w:rPr>
          <w:rFonts w:ascii="Times New Roman" w:hAnsi="Times New Roman" w:cs="Times New Roman"/>
        </w:rPr>
        <w:br/>
      </w:r>
      <w:r w:rsidRPr="006C5046">
        <w:rPr>
          <w:rFonts w:ascii="Times New Roman" w:hAnsi="Times New Roman" w:cs="Times New Roman"/>
          <w:shd w:val="clear" w:color="auto" w:fill="FFFFFF"/>
        </w:rPr>
        <w:t>та встановлення тарифів на теплову</w:t>
      </w:r>
      <w:r w:rsidRPr="006C5046">
        <w:rPr>
          <w:rFonts w:ascii="Times New Roman" w:hAnsi="Times New Roman" w:cs="Times New Roman"/>
        </w:rPr>
        <w:br/>
      </w:r>
      <w:r w:rsidRPr="006C5046">
        <w:rPr>
          <w:rFonts w:ascii="Times New Roman" w:hAnsi="Times New Roman" w:cs="Times New Roman"/>
          <w:shd w:val="clear" w:color="auto" w:fill="FFFFFF"/>
        </w:rPr>
        <w:t>енергію, що виробляється</w:t>
      </w:r>
      <w:r w:rsidRPr="006C5046">
        <w:rPr>
          <w:rFonts w:ascii="Times New Roman" w:hAnsi="Times New Roman" w:cs="Times New Roman"/>
        </w:rPr>
        <w:br/>
      </w:r>
      <w:r w:rsidRPr="006C5046">
        <w:rPr>
          <w:rFonts w:ascii="Times New Roman" w:hAnsi="Times New Roman" w:cs="Times New Roman"/>
          <w:shd w:val="clear" w:color="auto" w:fill="FFFFFF"/>
        </w:rPr>
        <w:t>на теплоелектроцентралях, теплових</w:t>
      </w:r>
      <w:r w:rsidRPr="006C5046">
        <w:rPr>
          <w:rFonts w:ascii="Times New Roman" w:hAnsi="Times New Roman" w:cs="Times New Roman"/>
        </w:rPr>
        <w:br/>
      </w:r>
      <w:r w:rsidRPr="006C5046">
        <w:rPr>
          <w:rFonts w:ascii="Times New Roman" w:hAnsi="Times New Roman" w:cs="Times New Roman"/>
          <w:shd w:val="clear" w:color="auto" w:fill="FFFFFF"/>
        </w:rPr>
        <w:t>електростанціях та когенераційних</w:t>
      </w:r>
      <w:r w:rsidRPr="006C5046">
        <w:rPr>
          <w:rFonts w:ascii="Times New Roman" w:hAnsi="Times New Roman" w:cs="Times New Roman"/>
        </w:rPr>
        <w:br/>
      </w:r>
      <w:r w:rsidRPr="006C5046">
        <w:rPr>
          <w:rFonts w:ascii="Times New Roman" w:hAnsi="Times New Roman" w:cs="Times New Roman"/>
          <w:shd w:val="clear" w:color="auto" w:fill="FFFFFF"/>
        </w:rPr>
        <w:t>установках</w:t>
      </w:r>
    </w:p>
    <w:p w14:paraId="2FF2806B" w14:textId="09288F01" w:rsidR="00D2796E" w:rsidRPr="006C72F3" w:rsidRDefault="00D2796E" w:rsidP="00D2796E">
      <w:pPr>
        <w:shd w:val="clear" w:color="auto" w:fill="FFFFFF"/>
        <w:spacing w:before="150" w:after="150" w:line="240" w:lineRule="auto"/>
        <w:ind w:left="450" w:right="450"/>
        <w:jc w:val="center"/>
        <w:rPr>
          <w:rFonts w:ascii="Times New Roman" w:eastAsia="Times New Roman" w:hAnsi="Times New Roman" w:cs="Times New Roman"/>
          <w:sz w:val="24"/>
          <w:szCs w:val="24"/>
          <w:lang w:eastAsia="uk-UA"/>
        </w:rPr>
      </w:pPr>
      <w:r w:rsidRPr="006C72F3">
        <w:rPr>
          <w:rFonts w:ascii="Times New Roman" w:eastAsia="Times New Roman" w:hAnsi="Times New Roman" w:cs="Times New Roman"/>
          <w:b/>
          <w:bCs/>
          <w:sz w:val="28"/>
          <w:szCs w:val="28"/>
          <w:lang w:eastAsia="uk-UA"/>
        </w:rPr>
        <w:t>РОЗШИФРОВКИ</w:t>
      </w:r>
      <w:r w:rsidRPr="006C72F3">
        <w:rPr>
          <w:rFonts w:ascii="Times New Roman" w:eastAsia="Times New Roman" w:hAnsi="Times New Roman" w:cs="Times New Roman"/>
          <w:sz w:val="24"/>
          <w:szCs w:val="24"/>
          <w:lang w:eastAsia="uk-UA"/>
        </w:rPr>
        <w:br/>
      </w:r>
      <w:r w:rsidRPr="006C72F3">
        <w:rPr>
          <w:rFonts w:ascii="Times New Roman" w:eastAsia="Times New Roman" w:hAnsi="Times New Roman" w:cs="Times New Roman"/>
          <w:b/>
          <w:bCs/>
          <w:sz w:val="28"/>
          <w:szCs w:val="28"/>
          <w:lang w:eastAsia="uk-UA"/>
        </w:rPr>
        <w:t>статей витрат виробничої собівартості, адміністративних витрат та інших операційних витрат</w:t>
      </w:r>
      <w:r w:rsidR="00C50F54" w:rsidRPr="006C72F3">
        <w:rPr>
          <w:rFonts w:ascii="Times New Roman" w:eastAsia="Times New Roman" w:hAnsi="Times New Roman" w:cs="Times New Roman"/>
          <w:b/>
          <w:bCs/>
          <w:sz w:val="28"/>
          <w:szCs w:val="28"/>
          <w:lang w:eastAsia="uk-UA"/>
        </w:rPr>
        <w:t>, що відносять до виробництва електричної та теплової енергії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04"/>
        <w:gridCol w:w="1514"/>
        <w:gridCol w:w="1323"/>
        <w:gridCol w:w="1306"/>
        <w:gridCol w:w="1381"/>
      </w:tblGrid>
      <w:tr w:rsidR="00D2796E" w:rsidRPr="00D2796E" w14:paraId="34FA8365" w14:textId="77777777" w:rsidTr="0023757D">
        <w:trPr>
          <w:trHeight w:val="855"/>
        </w:trPr>
        <w:tc>
          <w:tcPr>
            <w:tcW w:w="2132" w:type="pct"/>
            <w:hideMark/>
          </w:tcPr>
          <w:p w14:paraId="053546C4" w14:textId="7777777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bookmarkStart w:id="0" w:name="n270"/>
            <w:bookmarkEnd w:id="0"/>
            <w:r w:rsidRPr="00D2796E">
              <w:rPr>
                <w:rFonts w:ascii="Times New Roman" w:eastAsia="Times New Roman" w:hAnsi="Times New Roman" w:cs="Times New Roman"/>
                <w:sz w:val="20"/>
                <w:szCs w:val="20"/>
                <w:lang w:eastAsia="uk-UA"/>
              </w:rPr>
              <w:t>Найменування показників</w:t>
            </w:r>
          </w:p>
        </w:tc>
        <w:tc>
          <w:tcPr>
            <w:tcW w:w="786" w:type="pct"/>
            <w:hideMark/>
          </w:tcPr>
          <w:p w14:paraId="778B476F" w14:textId="77777777" w:rsidR="00E4692C" w:rsidRDefault="006B22CD" w:rsidP="00F750B2">
            <w:pPr>
              <w:spacing w:before="150" w:after="150" w:line="240" w:lineRule="auto"/>
              <w:jc w:val="center"/>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Базовий період</w:t>
            </w:r>
            <w:r w:rsidR="00D2796E" w:rsidRPr="00F750B2">
              <w:rPr>
                <w:rFonts w:ascii="Times New Roman" w:eastAsia="Times New Roman" w:hAnsi="Times New Roman" w:cs="Times New Roman"/>
                <w:sz w:val="20"/>
                <w:szCs w:val="20"/>
                <w:lang w:eastAsia="uk-UA"/>
              </w:rPr>
              <w:t xml:space="preserve">, </w:t>
            </w:r>
          </w:p>
          <w:p w14:paraId="00B44874" w14:textId="77777777" w:rsidR="00E4692C" w:rsidRPr="00E4692C" w:rsidRDefault="00E4692C" w:rsidP="00F750B2">
            <w:pPr>
              <w:spacing w:before="150" w:after="150" w:line="240" w:lineRule="auto"/>
              <w:jc w:val="center"/>
              <w:rPr>
                <w:rFonts w:ascii="Times New Roman" w:eastAsia="Times New Roman" w:hAnsi="Times New Roman" w:cs="Times New Roman"/>
                <w:sz w:val="6"/>
                <w:szCs w:val="20"/>
                <w:lang w:eastAsia="uk-UA"/>
              </w:rPr>
            </w:pPr>
          </w:p>
          <w:p w14:paraId="67E88207" w14:textId="35405972" w:rsidR="00D2796E" w:rsidRPr="00F750B2" w:rsidRDefault="00D2796E" w:rsidP="00F750B2">
            <w:pPr>
              <w:spacing w:before="150" w:after="150" w:line="240" w:lineRule="auto"/>
              <w:jc w:val="center"/>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тис. грн</w:t>
            </w:r>
          </w:p>
        </w:tc>
        <w:tc>
          <w:tcPr>
            <w:tcW w:w="687" w:type="pct"/>
            <w:hideMark/>
          </w:tcPr>
          <w:p w14:paraId="36C55C32" w14:textId="77777777" w:rsidR="00E4692C" w:rsidRDefault="006B22CD" w:rsidP="00F750B2">
            <w:pPr>
              <w:spacing w:before="150" w:after="150" w:line="240" w:lineRule="auto"/>
              <w:jc w:val="center"/>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Діючий тариф</w:t>
            </w:r>
            <w:r w:rsidR="00F750B2" w:rsidRPr="00F750B2">
              <w:rPr>
                <w:rFonts w:ascii="Times New Roman" w:eastAsia="Times New Roman" w:hAnsi="Times New Roman" w:cs="Times New Roman"/>
                <w:sz w:val="20"/>
                <w:szCs w:val="20"/>
                <w:lang w:eastAsia="uk-UA"/>
              </w:rPr>
              <w:t xml:space="preserve">, </w:t>
            </w:r>
          </w:p>
          <w:p w14:paraId="514261F2" w14:textId="77777777" w:rsidR="00E4692C" w:rsidRPr="00E4692C" w:rsidRDefault="00E4692C" w:rsidP="00F750B2">
            <w:pPr>
              <w:spacing w:before="150" w:after="150" w:line="240" w:lineRule="auto"/>
              <w:jc w:val="center"/>
              <w:rPr>
                <w:rFonts w:ascii="Times New Roman" w:eastAsia="Times New Roman" w:hAnsi="Times New Roman" w:cs="Times New Roman"/>
                <w:sz w:val="6"/>
                <w:szCs w:val="20"/>
                <w:lang w:eastAsia="uk-UA"/>
              </w:rPr>
            </w:pPr>
          </w:p>
          <w:p w14:paraId="5DD1228E" w14:textId="4C6EC9D9" w:rsidR="00D2796E" w:rsidRPr="00F750B2" w:rsidRDefault="00D2796E" w:rsidP="00F750B2">
            <w:pPr>
              <w:spacing w:before="150" w:after="150" w:line="240" w:lineRule="auto"/>
              <w:jc w:val="center"/>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тис. грн</w:t>
            </w:r>
          </w:p>
        </w:tc>
        <w:tc>
          <w:tcPr>
            <w:tcW w:w="678" w:type="pct"/>
            <w:hideMark/>
          </w:tcPr>
          <w:p w14:paraId="7D9694FC" w14:textId="77777777" w:rsidR="00E4692C" w:rsidRDefault="00D2796E" w:rsidP="00D2796E">
            <w:pPr>
              <w:spacing w:before="150" w:after="150" w:line="240" w:lineRule="auto"/>
              <w:jc w:val="center"/>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Очікуван</w:t>
            </w:r>
            <w:r w:rsidR="006B22CD" w:rsidRPr="00F750B2">
              <w:rPr>
                <w:rFonts w:ascii="Times New Roman" w:eastAsia="Times New Roman" w:hAnsi="Times New Roman" w:cs="Times New Roman"/>
                <w:sz w:val="20"/>
                <w:szCs w:val="20"/>
                <w:lang w:eastAsia="uk-UA"/>
              </w:rPr>
              <w:t>ий</w:t>
            </w:r>
            <w:r w:rsidR="00F750B2" w:rsidRPr="00F750B2">
              <w:rPr>
                <w:rFonts w:ascii="Times New Roman" w:eastAsia="Times New Roman" w:hAnsi="Times New Roman" w:cs="Times New Roman"/>
                <w:sz w:val="20"/>
                <w:szCs w:val="20"/>
                <w:lang w:eastAsia="uk-UA"/>
              </w:rPr>
              <w:t xml:space="preserve"> </w:t>
            </w:r>
            <w:r w:rsidRPr="00F750B2">
              <w:rPr>
                <w:rFonts w:ascii="Times New Roman" w:eastAsia="Times New Roman" w:hAnsi="Times New Roman" w:cs="Times New Roman"/>
                <w:sz w:val="20"/>
                <w:szCs w:val="20"/>
                <w:lang w:eastAsia="uk-UA"/>
              </w:rPr>
              <w:t xml:space="preserve">період, </w:t>
            </w:r>
          </w:p>
          <w:p w14:paraId="3B277D86" w14:textId="409A6161" w:rsidR="00D2796E" w:rsidRPr="00F750B2" w:rsidRDefault="00D2796E" w:rsidP="00D2796E">
            <w:pPr>
              <w:spacing w:before="150" w:after="150" w:line="240" w:lineRule="auto"/>
              <w:jc w:val="center"/>
              <w:rPr>
                <w:rFonts w:ascii="Times New Roman" w:eastAsia="Times New Roman" w:hAnsi="Times New Roman" w:cs="Times New Roman"/>
                <w:sz w:val="24"/>
                <w:szCs w:val="24"/>
                <w:lang w:eastAsia="uk-UA"/>
              </w:rPr>
            </w:pPr>
            <w:r w:rsidRPr="00F750B2">
              <w:rPr>
                <w:rFonts w:ascii="Times New Roman" w:eastAsia="Times New Roman" w:hAnsi="Times New Roman" w:cs="Times New Roman"/>
                <w:sz w:val="20"/>
                <w:szCs w:val="20"/>
                <w:lang w:eastAsia="uk-UA"/>
              </w:rPr>
              <w:t>тис. грн</w:t>
            </w:r>
          </w:p>
        </w:tc>
        <w:tc>
          <w:tcPr>
            <w:tcW w:w="717" w:type="pct"/>
            <w:hideMark/>
          </w:tcPr>
          <w:p w14:paraId="377DC8E9" w14:textId="77777777" w:rsidR="00E4692C" w:rsidRDefault="00D2796E" w:rsidP="00D2796E">
            <w:pPr>
              <w:spacing w:before="150" w:after="150" w:line="240" w:lineRule="auto"/>
              <w:jc w:val="center"/>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 xml:space="preserve">Планований період, </w:t>
            </w:r>
          </w:p>
          <w:p w14:paraId="750752A5" w14:textId="14DE8415" w:rsidR="00D2796E" w:rsidRPr="00F750B2" w:rsidRDefault="00D2796E" w:rsidP="00D2796E">
            <w:pPr>
              <w:spacing w:before="150" w:after="150" w:line="240" w:lineRule="auto"/>
              <w:jc w:val="center"/>
              <w:rPr>
                <w:rFonts w:ascii="Times New Roman" w:eastAsia="Times New Roman" w:hAnsi="Times New Roman" w:cs="Times New Roman"/>
                <w:sz w:val="24"/>
                <w:szCs w:val="24"/>
                <w:lang w:eastAsia="uk-UA"/>
              </w:rPr>
            </w:pPr>
            <w:r w:rsidRPr="00F750B2">
              <w:rPr>
                <w:rFonts w:ascii="Times New Roman" w:eastAsia="Times New Roman" w:hAnsi="Times New Roman" w:cs="Times New Roman"/>
                <w:sz w:val="20"/>
                <w:szCs w:val="20"/>
                <w:lang w:eastAsia="uk-UA"/>
              </w:rPr>
              <w:t>тис. грн</w:t>
            </w:r>
          </w:p>
        </w:tc>
      </w:tr>
      <w:tr w:rsidR="00D2796E" w:rsidRPr="00D2796E" w14:paraId="0077C14D" w14:textId="77777777" w:rsidTr="0023757D">
        <w:trPr>
          <w:trHeight w:val="279"/>
        </w:trPr>
        <w:tc>
          <w:tcPr>
            <w:tcW w:w="2132" w:type="pct"/>
            <w:hideMark/>
          </w:tcPr>
          <w:p w14:paraId="098F927C"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 xml:space="preserve">Виробнича </w:t>
            </w:r>
            <w:proofErr w:type="spellStart"/>
            <w:r w:rsidRPr="00D2796E">
              <w:rPr>
                <w:rFonts w:ascii="Times New Roman" w:eastAsia="Times New Roman" w:hAnsi="Times New Roman" w:cs="Times New Roman"/>
                <w:b/>
                <w:bCs/>
                <w:sz w:val="20"/>
                <w:szCs w:val="20"/>
                <w:lang w:eastAsia="uk-UA"/>
              </w:rPr>
              <w:t>собiвартiсть</w:t>
            </w:r>
            <w:proofErr w:type="spellEnd"/>
            <w:r w:rsidRPr="00D2796E">
              <w:rPr>
                <w:rFonts w:ascii="Times New Roman" w:eastAsia="Times New Roman" w:hAnsi="Times New Roman" w:cs="Times New Roman"/>
                <w:b/>
                <w:bCs/>
                <w:sz w:val="20"/>
                <w:szCs w:val="20"/>
                <w:lang w:eastAsia="uk-UA"/>
              </w:rPr>
              <w:t>, у т. ч.:</w:t>
            </w:r>
          </w:p>
        </w:tc>
        <w:tc>
          <w:tcPr>
            <w:tcW w:w="786" w:type="pct"/>
            <w:hideMark/>
          </w:tcPr>
          <w:p w14:paraId="63F35BE3"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A19003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C28FA6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4B1BB19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3E9B6DF9" w14:textId="77777777" w:rsidTr="0023757D">
        <w:trPr>
          <w:trHeight w:val="255"/>
        </w:trPr>
        <w:tc>
          <w:tcPr>
            <w:tcW w:w="2132" w:type="pct"/>
            <w:hideMark/>
          </w:tcPr>
          <w:p w14:paraId="0D3F4E3D"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виробничі послуги</w:t>
            </w:r>
          </w:p>
        </w:tc>
        <w:tc>
          <w:tcPr>
            <w:tcW w:w="786" w:type="pct"/>
            <w:hideMark/>
          </w:tcPr>
          <w:p w14:paraId="50A93488"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651177E"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6FFF02E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51F58B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F1270B0" w14:textId="77777777" w:rsidTr="0023757D">
        <w:trPr>
          <w:trHeight w:val="360"/>
        </w:trPr>
        <w:tc>
          <w:tcPr>
            <w:tcW w:w="2132" w:type="pct"/>
            <w:hideMark/>
          </w:tcPr>
          <w:p w14:paraId="6BD6CF3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w:t>
            </w:r>
          </w:p>
        </w:tc>
        <w:tc>
          <w:tcPr>
            <w:tcW w:w="786" w:type="pct"/>
            <w:hideMark/>
          </w:tcPr>
          <w:p w14:paraId="2AD817B8"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F12C43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DFF1C3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4EE9814E"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04C0D6A1" w14:textId="77777777" w:rsidTr="0023757D">
        <w:trPr>
          <w:trHeight w:val="255"/>
        </w:trPr>
        <w:tc>
          <w:tcPr>
            <w:tcW w:w="2132" w:type="pct"/>
            <w:hideMark/>
          </w:tcPr>
          <w:p w14:paraId="317A0A99"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транспортних послуг</w:t>
            </w:r>
          </w:p>
        </w:tc>
        <w:tc>
          <w:tcPr>
            <w:tcW w:w="786" w:type="pct"/>
            <w:hideMark/>
          </w:tcPr>
          <w:p w14:paraId="31F55065"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B1A111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20EE73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0C806F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77CB3C48" w14:textId="77777777" w:rsidTr="0023757D">
        <w:trPr>
          <w:trHeight w:val="255"/>
        </w:trPr>
        <w:tc>
          <w:tcPr>
            <w:tcW w:w="2132" w:type="pct"/>
            <w:hideMark/>
          </w:tcPr>
          <w:p w14:paraId="74F6933C"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оплата послуг централізованого водопостачання та водовідведення</w:t>
            </w:r>
          </w:p>
        </w:tc>
        <w:tc>
          <w:tcPr>
            <w:tcW w:w="786" w:type="pct"/>
            <w:hideMark/>
          </w:tcPr>
          <w:p w14:paraId="327B603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2268B06"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BB040BE"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3B0918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07C51B4B" w14:textId="77777777" w:rsidTr="0023757D">
        <w:trPr>
          <w:trHeight w:val="1260"/>
        </w:trPr>
        <w:tc>
          <w:tcPr>
            <w:tcW w:w="2132" w:type="pct"/>
            <w:hideMark/>
          </w:tcPr>
          <w:p w14:paraId="4AD4935C"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оплата робіт спеціалізованих пусконалагоджувальних організацій та інших організацій, які виконують роботи з удосконалення технології та організації виробництва, а також роботи, пов’язані з перевіркою готовності до введення в дію (пуску) шляхом комплексних випробувань (під навантаженням) устаткування, блоків, окремих агрегатів, підстанцій, ліній електропередачі, теплопередачі, а також тих об’єктів, що вводяться в дію після розширення та реконструкції</w:t>
            </w:r>
          </w:p>
        </w:tc>
        <w:tc>
          <w:tcPr>
            <w:tcW w:w="786" w:type="pct"/>
            <w:hideMark/>
          </w:tcPr>
          <w:p w14:paraId="58261E57"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966DB5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09F9ED2E"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40CBD4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68446F7" w14:textId="77777777" w:rsidTr="0023757D">
        <w:trPr>
          <w:trHeight w:val="675"/>
        </w:trPr>
        <w:tc>
          <w:tcPr>
            <w:tcW w:w="2132" w:type="pct"/>
            <w:hideMark/>
          </w:tcPr>
          <w:p w14:paraId="2FB4B3F6"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робіт з вивчення можливостей подальшої експлуатації металоконструкцій, кранів, іншого устаткування та споруд, обстеження стану фундаментів будівель, споруд, обладнання і видачі рекомендацій щодо їх подальшого використання</w:t>
            </w:r>
          </w:p>
        </w:tc>
        <w:tc>
          <w:tcPr>
            <w:tcW w:w="786" w:type="pct"/>
            <w:hideMark/>
          </w:tcPr>
          <w:p w14:paraId="4268A22F"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322B94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62B526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7042EC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7026690E" w14:textId="77777777" w:rsidTr="0023757D">
        <w:trPr>
          <w:trHeight w:val="390"/>
        </w:trPr>
        <w:tc>
          <w:tcPr>
            <w:tcW w:w="2132" w:type="pct"/>
            <w:hideMark/>
          </w:tcPr>
          <w:p w14:paraId="3BA33910"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проведення аналізів і досліджень з метою визначення якості використовуваного палива, матеріалів, води, конденсату, кабелів та іншого устаткування</w:t>
            </w:r>
          </w:p>
        </w:tc>
        <w:tc>
          <w:tcPr>
            <w:tcW w:w="786" w:type="pct"/>
            <w:hideMark/>
          </w:tcPr>
          <w:p w14:paraId="7FD0F1A7" w14:textId="382E77DA"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0DD38184" w14:textId="69B8BF35"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61C6386" w14:textId="6F8C4C5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0A22B27F" w14:textId="745A6C2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32FADF77" w14:textId="77777777" w:rsidTr="0023757D">
        <w:trPr>
          <w:trHeight w:val="195"/>
        </w:trPr>
        <w:tc>
          <w:tcPr>
            <w:tcW w:w="2132" w:type="pct"/>
            <w:hideMark/>
          </w:tcPr>
          <w:p w14:paraId="0C9943C3"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lastRenderedPageBreak/>
              <w:t>оплата послуг з очищення стічних вод</w:t>
            </w:r>
          </w:p>
        </w:tc>
        <w:tc>
          <w:tcPr>
            <w:tcW w:w="786" w:type="pct"/>
            <w:hideMark/>
          </w:tcPr>
          <w:p w14:paraId="6EC9451D" w14:textId="4BF391B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3A6D48FF" w14:textId="5A2933C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D962200" w14:textId="79B52D0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53A318CA" w14:textId="368CE1B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4B7EDCE" w14:textId="77777777" w:rsidTr="0023757D">
        <w:trPr>
          <w:trHeight w:val="255"/>
        </w:trPr>
        <w:tc>
          <w:tcPr>
            <w:tcW w:w="2132" w:type="pct"/>
            <w:hideMark/>
          </w:tcPr>
          <w:p w14:paraId="5D5BA927"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оплата послуг з утилізації екологічно небезпечних відходів</w:t>
            </w:r>
          </w:p>
        </w:tc>
        <w:tc>
          <w:tcPr>
            <w:tcW w:w="786" w:type="pct"/>
            <w:hideMark/>
          </w:tcPr>
          <w:p w14:paraId="20751D9A" w14:textId="55BC4601"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7FD6E04" w14:textId="32D67F5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60727DD2" w14:textId="69E0D4F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2351D07C" w14:textId="715630A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65A38966" w14:textId="77777777" w:rsidTr="0023757D">
        <w:trPr>
          <w:trHeight w:val="285"/>
        </w:trPr>
        <w:tc>
          <w:tcPr>
            <w:tcW w:w="2132" w:type="pct"/>
            <w:hideMark/>
          </w:tcPr>
          <w:p w14:paraId="6F2AB99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послуг з метрологічної атестації та повірки приладів</w:t>
            </w:r>
          </w:p>
        </w:tc>
        <w:tc>
          <w:tcPr>
            <w:tcW w:w="786" w:type="pct"/>
            <w:hideMark/>
          </w:tcPr>
          <w:p w14:paraId="551FF508" w14:textId="1295C10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6081FE1" w14:textId="161BDAB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40BBCAC3" w14:textId="45A2E49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7F5E7460" w14:textId="1528589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C3F43CE" w14:textId="77777777" w:rsidTr="0023757D">
        <w:trPr>
          <w:trHeight w:val="75"/>
        </w:trPr>
        <w:tc>
          <w:tcPr>
            <w:tcW w:w="2132" w:type="pct"/>
            <w:hideMark/>
          </w:tcPr>
          <w:p w14:paraId="4DDAF814"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інших послуг виробничого характеру</w:t>
            </w:r>
          </w:p>
        </w:tc>
        <w:tc>
          <w:tcPr>
            <w:tcW w:w="786" w:type="pct"/>
            <w:hideMark/>
          </w:tcPr>
          <w:p w14:paraId="646BF1ED" w14:textId="47DB434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1C2D090F" w14:textId="41B05A3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6C156E0" w14:textId="25812FD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422E7B5C" w14:textId="681538B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702B15E" w14:textId="77777777" w:rsidTr="0023757D">
        <w:trPr>
          <w:trHeight w:val="75"/>
        </w:trPr>
        <w:tc>
          <w:tcPr>
            <w:tcW w:w="2132" w:type="pct"/>
            <w:hideMark/>
          </w:tcPr>
          <w:p w14:paraId="7218DEF8"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оплата послуг розподілу природного газу</w:t>
            </w:r>
          </w:p>
        </w:tc>
        <w:tc>
          <w:tcPr>
            <w:tcW w:w="786" w:type="pct"/>
            <w:hideMark/>
          </w:tcPr>
          <w:p w14:paraId="3F2EC595"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05EB7C7"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78" w:type="pct"/>
            <w:hideMark/>
          </w:tcPr>
          <w:p w14:paraId="4CBD0E2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717" w:type="pct"/>
            <w:hideMark/>
          </w:tcPr>
          <w:p w14:paraId="0BD5E018"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r>
      <w:tr w:rsidR="00D2796E" w:rsidRPr="00D2796E" w14:paraId="219043CA" w14:textId="77777777" w:rsidTr="0023757D">
        <w:trPr>
          <w:trHeight w:val="75"/>
        </w:trPr>
        <w:tc>
          <w:tcPr>
            <w:tcW w:w="2132" w:type="pct"/>
            <w:hideMark/>
          </w:tcPr>
          <w:p w14:paraId="2D5B22EA"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сировина і допоміжні матеріали</w:t>
            </w:r>
          </w:p>
        </w:tc>
        <w:tc>
          <w:tcPr>
            <w:tcW w:w="786" w:type="pct"/>
            <w:hideMark/>
          </w:tcPr>
          <w:p w14:paraId="1C573497" w14:textId="112E077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58894691" w14:textId="2DE06C05"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25650DFB" w14:textId="159CB9DC"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30D61FD7" w14:textId="3892EFA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81A1096" w14:textId="77777777" w:rsidTr="0023757D">
        <w:trPr>
          <w:trHeight w:val="75"/>
        </w:trPr>
        <w:tc>
          <w:tcPr>
            <w:tcW w:w="2132" w:type="pct"/>
            <w:hideMark/>
          </w:tcPr>
          <w:p w14:paraId="66A24CB0" w14:textId="41229239"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вартість матеріалів і комплектуючих виробів та запасних частин, які використовуються у процесі виробництва для забезпечення нормального технологічного процесу або які витрачаються на випробування устаткування та споруд, поточні перевірки машин і механізмів, технічний огляд, утримання та експлуатацію устаткування, будівель і споруд, транспортних засобів тощо</w:t>
            </w:r>
          </w:p>
          <w:p w14:paraId="36855734" w14:textId="56FA97E7" w:rsidR="006C5046" w:rsidRPr="006C5046" w:rsidRDefault="006C5046" w:rsidP="00D2796E">
            <w:pPr>
              <w:spacing w:before="150" w:after="150" w:line="240" w:lineRule="auto"/>
              <w:rPr>
                <w:rFonts w:ascii="Times New Roman" w:eastAsia="Times New Roman" w:hAnsi="Times New Roman" w:cs="Times New Roman"/>
                <w:sz w:val="8"/>
                <w:szCs w:val="24"/>
                <w:lang w:eastAsia="uk-UA"/>
              </w:rPr>
            </w:pPr>
          </w:p>
        </w:tc>
        <w:tc>
          <w:tcPr>
            <w:tcW w:w="786" w:type="pct"/>
            <w:hideMark/>
          </w:tcPr>
          <w:p w14:paraId="346F2FEC" w14:textId="7801E05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288E35E5" w14:textId="7B086CA7" w:rsidR="00D2796E" w:rsidRPr="00D2796E" w:rsidRDefault="00D2796E" w:rsidP="006C72F3">
            <w:pPr>
              <w:spacing w:before="150" w:after="150" w:line="240" w:lineRule="auto"/>
              <w:rPr>
                <w:rFonts w:ascii="Times New Roman" w:eastAsia="Times New Roman" w:hAnsi="Times New Roman" w:cs="Times New Roman"/>
                <w:sz w:val="24"/>
                <w:szCs w:val="24"/>
                <w:lang w:eastAsia="uk-UA"/>
              </w:rPr>
            </w:pPr>
          </w:p>
        </w:tc>
        <w:tc>
          <w:tcPr>
            <w:tcW w:w="678" w:type="pct"/>
            <w:hideMark/>
          </w:tcPr>
          <w:p w14:paraId="72B65EC4" w14:textId="0D3D370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595E7778" w14:textId="00750B3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7903344" w14:textId="77777777" w:rsidTr="0023757D">
        <w:trPr>
          <w:trHeight w:val="75"/>
        </w:trPr>
        <w:tc>
          <w:tcPr>
            <w:tcW w:w="2132" w:type="pct"/>
            <w:hideMark/>
          </w:tcPr>
          <w:p w14:paraId="66D7400C"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вартість матеріалів, які використовуються для ремонту основних засобів, інших необоротних матеріальних активів</w:t>
            </w:r>
          </w:p>
          <w:p w14:paraId="3AFB03BD" w14:textId="7B64D89F" w:rsidR="006C5046" w:rsidRPr="006C5046" w:rsidRDefault="006C5046" w:rsidP="00D2796E">
            <w:pPr>
              <w:spacing w:before="150" w:after="150" w:line="240" w:lineRule="auto"/>
              <w:rPr>
                <w:rFonts w:ascii="Times New Roman" w:eastAsia="Times New Roman" w:hAnsi="Times New Roman" w:cs="Times New Roman"/>
                <w:sz w:val="10"/>
                <w:szCs w:val="24"/>
                <w:lang w:eastAsia="uk-UA"/>
              </w:rPr>
            </w:pPr>
          </w:p>
        </w:tc>
        <w:tc>
          <w:tcPr>
            <w:tcW w:w="786" w:type="pct"/>
            <w:hideMark/>
          </w:tcPr>
          <w:p w14:paraId="4ACB3ACF" w14:textId="253B361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19BE62C" w14:textId="6B97ABC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4DA1110" w14:textId="34A70F2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3CCD35A8" w14:textId="07FD69C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5291C50" w14:textId="77777777" w:rsidTr="0023757D">
        <w:trPr>
          <w:trHeight w:val="75"/>
        </w:trPr>
        <w:tc>
          <w:tcPr>
            <w:tcW w:w="2132" w:type="pct"/>
            <w:hideMark/>
          </w:tcPr>
          <w:p w14:paraId="620B8B3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 xml:space="preserve">вартість покупної води, що використовується на технологічні цілі (для живлення котлів, </w:t>
            </w:r>
            <w:proofErr w:type="spellStart"/>
            <w:r w:rsidRPr="00D2796E">
              <w:rPr>
                <w:rFonts w:ascii="Times New Roman" w:eastAsia="Times New Roman" w:hAnsi="Times New Roman" w:cs="Times New Roman"/>
                <w:sz w:val="20"/>
                <w:szCs w:val="20"/>
                <w:lang w:eastAsia="uk-UA"/>
              </w:rPr>
              <w:t>гідрозоловидалення</w:t>
            </w:r>
            <w:proofErr w:type="spellEnd"/>
            <w:r w:rsidRPr="00D2796E">
              <w:rPr>
                <w:rFonts w:ascii="Times New Roman" w:eastAsia="Times New Roman" w:hAnsi="Times New Roman" w:cs="Times New Roman"/>
                <w:sz w:val="20"/>
                <w:szCs w:val="20"/>
                <w:lang w:eastAsia="uk-UA"/>
              </w:rPr>
              <w:t xml:space="preserve">, </w:t>
            </w:r>
            <w:proofErr w:type="spellStart"/>
            <w:r w:rsidRPr="00D2796E">
              <w:rPr>
                <w:rFonts w:ascii="Times New Roman" w:eastAsia="Times New Roman" w:hAnsi="Times New Roman" w:cs="Times New Roman"/>
                <w:sz w:val="20"/>
                <w:szCs w:val="20"/>
                <w:lang w:eastAsia="uk-UA"/>
              </w:rPr>
              <w:t>гідрозоловловлювання</w:t>
            </w:r>
            <w:proofErr w:type="spellEnd"/>
            <w:r w:rsidRPr="00D2796E">
              <w:rPr>
                <w:rFonts w:ascii="Times New Roman" w:eastAsia="Times New Roman" w:hAnsi="Times New Roman" w:cs="Times New Roman"/>
                <w:sz w:val="20"/>
                <w:szCs w:val="20"/>
                <w:lang w:eastAsia="uk-UA"/>
              </w:rPr>
              <w:t xml:space="preserve">, живлення </w:t>
            </w:r>
            <w:proofErr w:type="spellStart"/>
            <w:r w:rsidRPr="00D2796E">
              <w:rPr>
                <w:rFonts w:ascii="Times New Roman" w:eastAsia="Times New Roman" w:hAnsi="Times New Roman" w:cs="Times New Roman"/>
                <w:sz w:val="20"/>
                <w:szCs w:val="20"/>
                <w:lang w:eastAsia="uk-UA"/>
              </w:rPr>
              <w:t>водопідігрівних</w:t>
            </w:r>
            <w:proofErr w:type="spellEnd"/>
            <w:r w:rsidRPr="00D2796E">
              <w:rPr>
                <w:rFonts w:ascii="Times New Roman" w:eastAsia="Times New Roman" w:hAnsi="Times New Roman" w:cs="Times New Roman"/>
                <w:sz w:val="20"/>
                <w:szCs w:val="20"/>
                <w:lang w:eastAsia="uk-UA"/>
              </w:rPr>
              <w:t xml:space="preserve"> установок, для циркуляційного водопостачання, охолодження, іншого устаткування), та витрати на комплексне </w:t>
            </w:r>
            <w:proofErr w:type="spellStart"/>
            <w:r w:rsidRPr="00D2796E">
              <w:rPr>
                <w:rFonts w:ascii="Times New Roman" w:eastAsia="Times New Roman" w:hAnsi="Times New Roman" w:cs="Times New Roman"/>
                <w:sz w:val="20"/>
                <w:szCs w:val="20"/>
                <w:lang w:eastAsia="uk-UA"/>
              </w:rPr>
              <w:t>хімводоочищення</w:t>
            </w:r>
            <w:proofErr w:type="spellEnd"/>
          </w:p>
        </w:tc>
        <w:tc>
          <w:tcPr>
            <w:tcW w:w="786" w:type="pct"/>
            <w:hideMark/>
          </w:tcPr>
          <w:p w14:paraId="6FE9DE07" w14:textId="1FD058A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9F7B331" w14:textId="16E6CD1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2EA25A5C" w14:textId="2F561EC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25714321" w14:textId="15E7A01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4D3A6183" w14:textId="77777777" w:rsidTr="0023757D">
        <w:trPr>
          <w:trHeight w:val="75"/>
        </w:trPr>
        <w:tc>
          <w:tcPr>
            <w:tcW w:w="2132" w:type="pct"/>
            <w:hideMark/>
          </w:tcPr>
          <w:p w14:paraId="152FDBF1"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малоцінних та швидкозношуваних предметів (МШП), що використовуються протягом не більше одного року або нормального операційного циклу, якщо він становить більше одного року в операційній діяльності підприємства, зокрема, вартість інструменту, господарського інвентаря, спеціального оснащення, спеціального одягу, спеціального взуття та інших засобів індивідуального захисту</w:t>
            </w:r>
          </w:p>
        </w:tc>
        <w:tc>
          <w:tcPr>
            <w:tcW w:w="786" w:type="pct"/>
            <w:hideMark/>
          </w:tcPr>
          <w:p w14:paraId="68156CD6" w14:textId="71F49BF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18FD481A" w14:textId="5010533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47C3D8AC" w14:textId="1D55EC0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3F5C2669" w14:textId="044DA4F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C02C6D6" w14:textId="77777777" w:rsidTr="0023757D">
        <w:trPr>
          <w:trHeight w:val="75"/>
        </w:trPr>
        <w:tc>
          <w:tcPr>
            <w:tcW w:w="2132" w:type="pct"/>
            <w:hideMark/>
          </w:tcPr>
          <w:p w14:paraId="53BBB07C"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 xml:space="preserve">вартість допоміжних матеріалів, які витрачаються на утримання та експлуатацію фондів природоохоронного призначення (очисних споруд, уловлювачів, фільтрів, </w:t>
            </w:r>
            <w:proofErr w:type="spellStart"/>
            <w:r w:rsidRPr="00D2796E">
              <w:rPr>
                <w:rFonts w:ascii="Times New Roman" w:eastAsia="Times New Roman" w:hAnsi="Times New Roman" w:cs="Times New Roman"/>
                <w:sz w:val="20"/>
                <w:szCs w:val="20"/>
                <w:lang w:eastAsia="uk-UA"/>
              </w:rPr>
              <w:t>золошлаковідвалів</w:t>
            </w:r>
            <w:proofErr w:type="spellEnd"/>
            <w:r w:rsidRPr="00D2796E">
              <w:rPr>
                <w:rFonts w:ascii="Times New Roman" w:eastAsia="Times New Roman" w:hAnsi="Times New Roman" w:cs="Times New Roman"/>
                <w:sz w:val="20"/>
                <w:szCs w:val="20"/>
                <w:lang w:eastAsia="uk-UA"/>
              </w:rPr>
              <w:t xml:space="preserve"> тощо), очищення стічних вод тощо</w:t>
            </w:r>
          </w:p>
        </w:tc>
        <w:tc>
          <w:tcPr>
            <w:tcW w:w="786" w:type="pct"/>
            <w:hideMark/>
          </w:tcPr>
          <w:p w14:paraId="626E7357" w14:textId="31BE3CF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24BB8D5" w14:textId="6A35DA7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6DFE9041" w14:textId="2F0C234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59F0F563" w14:textId="7FB1951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649859C5" w14:textId="77777777" w:rsidTr="0023757D">
        <w:trPr>
          <w:trHeight w:val="75"/>
        </w:trPr>
        <w:tc>
          <w:tcPr>
            <w:tcW w:w="2132" w:type="pct"/>
            <w:hideMark/>
          </w:tcPr>
          <w:p w14:paraId="3A23F0AE"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 xml:space="preserve">вартість мастил та </w:t>
            </w:r>
            <w:proofErr w:type="spellStart"/>
            <w:r w:rsidRPr="00D2796E">
              <w:rPr>
                <w:rFonts w:ascii="Times New Roman" w:eastAsia="Times New Roman" w:hAnsi="Times New Roman" w:cs="Times New Roman"/>
                <w:sz w:val="20"/>
                <w:szCs w:val="20"/>
                <w:lang w:eastAsia="uk-UA"/>
              </w:rPr>
              <w:t>масел</w:t>
            </w:r>
            <w:proofErr w:type="spellEnd"/>
            <w:r w:rsidRPr="00D2796E">
              <w:rPr>
                <w:rFonts w:ascii="Times New Roman" w:eastAsia="Times New Roman" w:hAnsi="Times New Roman" w:cs="Times New Roman"/>
                <w:sz w:val="20"/>
                <w:szCs w:val="20"/>
                <w:lang w:eastAsia="uk-UA"/>
              </w:rPr>
              <w:t xml:space="preserve"> (мастил для механізмів з обертовими частинами, вартість </w:t>
            </w:r>
            <w:r w:rsidRPr="00D2796E">
              <w:rPr>
                <w:rFonts w:ascii="Times New Roman" w:eastAsia="Times New Roman" w:hAnsi="Times New Roman" w:cs="Times New Roman"/>
                <w:sz w:val="20"/>
                <w:szCs w:val="20"/>
                <w:lang w:eastAsia="uk-UA"/>
              </w:rPr>
              <w:lastRenderedPageBreak/>
              <w:t>турбінного масла для доливання в міжремонтний період до регуляторів турбін і котлів, трансформаторного масла для силових трансформаторів) та вартість паливно-мастильних матеріалів для транспортних засобів</w:t>
            </w:r>
          </w:p>
          <w:p w14:paraId="6192BA7C" w14:textId="2FE9DF30" w:rsidR="006C5046" w:rsidRPr="006C5046" w:rsidRDefault="006C5046" w:rsidP="00D2796E">
            <w:pPr>
              <w:spacing w:before="150" w:after="150" w:line="240" w:lineRule="auto"/>
              <w:rPr>
                <w:rFonts w:ascii="Times New Roman" w:eastAsia="Times New Roman" w:hAnsi="Times New Roman" w:cs="Times New Roman"/>
                <w:sz w:val="4"/>
                <w:szCs w:val="24"/>
                <w:lang w:eastAsia="uk-UA"/>
              </w:rPr>
            </w:pPr>
          </w:p>
        </w:tc>
        <w:tc>
          <w:tcPr>
            <w:tcW w:w="786" w:type="pct"/>
            <w:hideMark/>
          </w:tcPr>
          <w:p w14:paraId="55091078" w14:textId="5AB22FD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57C9BB3C" w14:textId="00E2D8E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7120DF5C" w14:textId="19A8B2F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1525C236" w14:textId="77E5C641"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6EAC7238" w14:textId="77777777" w:rsidTr="0023757D">
        <w:trPr>
          <w:trHeight w:val="75"/>
        </w:trPr>
        <w:tc>
          <w:tcPr>
            <w:tcW w:w="2132" w:type="pct"/>
            <w:hideMark/>
          </w:tcPr>
          <w:p w14:paraId="7E01CACE" w14:textId="27CAFDF8"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 xml:space="preserve">вартість інших витрат, які безпосередньо пов’язані з придбанням запасів і доведенням їх до стану, </w:t>
            </w:r>
            <w:r w:rsidR="00322B54">
              <w:rPr>
                <w:rFonts w:ascii="Times New Roman" w:eastAsia="Times New Roman" w:hAnsi="Times New Roman" w:cs="Times New Roman"/>
                <w:sz w:val="20"/>
                <w:szCs w:val="20"/>
                <w:lang w:eastAsia="uk-UA"/>
              </w:rPr>
              <w:t>у</w:t>
            </w:r>
            <w:r w:rsidRPr="00D2796E">
              <w:rPr>
                <w:rFonts w:ascii="Times New Roman" w:eastAsia="Times New Roman" w:hAnsi="Times New Roman" w:cs="Times New Roman"/>
                <w:sz w:val="20"/>
                <w:szCs w:val="20"/>
                <w:lang w:eastAsia="uk-UA"/>
              </w:rPr>
              <w:t xml:space="preserve"> якому вони придатні для використання </w:t>
            </w:r>
            <w:r w:rsidR="00322B54">
              <w:rPr>
                <w:rFonts w:ascii="Times New Roman" w:eastAsia="Times New Roman" w:hAnsi="Times New Roman" w:cs="Times New Roman"/>
                <w:sz w:val="20"/>
                <w:szCs w:val="20"/>
                <w:lang w:eastAsia="uk-UA"/>
              </w:rPr>
              <w:t>в</w:t>
            </w:r>
            <w:r w:rsidRPr="00D2796E">
              <w:rPr>
                <w:rFonts w:ascii="Times New Roman" w:eastAsia="Times New Roman" w:hAnsi="Times New Roman" w:cs="Times New Roman"/>
                <w:sz w:val="20"/>
                <w:szCs w:val="20"/>
                <w:lang w:eastAsia="uk-UA"/>
              </w:rPr>
              <w:t xml:space="preserve"> запланованих цілях</w:t>
            </w:r>
          </w:p>
          <w:p w14:paraId="43B8D7B2" w14:textId="0FD51E8D" w:rsidR="006C5046" w:rsidRPr="006C5046" w:rsidRDefault="006C5046" w:rsidP="00D2796E">
            <w:pPr>
              <w:spacing w:before="150" w:after="150" w:line="240" w:lineRule="auto"/>
              <w:rPr>
                <w:rFonts w:ascii="Times New Roman" w:eastAsia="Times New Roman" w:hAnsi="Times New Roman" w:cs="Times New Roman"/>
                <w:sz w:val="4"/>
                <w:szCs w:val="24"/>
                <w:lang w:eastAsia="uk-UA"/>
              </w:rPr>
            </w:pPr>
          </w:p>
        </w:tc>
        <w:tc>
          <w:tcPr>
            <w:tcW w:w="786" w:type="pct"/>
            <w:hideMark/>
          </w:tcPr>
          <w:p w14:paraId="2537AE8B" w14:textId="44F396E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642FCD08" w14:textId="4FEFD6C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18D99123" w14:textId="3F0F947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6DA1AE66" w14:textId="53BF82F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7E4A74F5" w14:textId="77777777" w:rsidTr="0023757D">
        <w:trPr>
          <w:trHeight w:val="195"/>
        </w:trPr>
        <w:tc>
          <w:tcPr>
            <w:tcW w:w="2132" w:type="pct"/>
            <w:hideMark/>
          </w:tcPr>
          <w:p w14:paraId="68A6AF39"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паливо</w:t>
            </w:r>
          </w:p>
        </w:tc>
        <w:tc>
          <w:tcPr>
            <w:tcW w:w="786" w:type="pct"/>
            <w:hideMark/>
          </w:tcPr>
          <w:p w14:paraId="5D9D18AA" w14:textId="750FAFCA"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6EC80E5E" w14:textId="75D7E0D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BDC1979" w14:textId="75D8F60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15C9EB09" w14:textId="1F62B891"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076E844" w14:textId="77777777" w:rsidTr="0023757D">
        <w:trPr>
          <w:trHeight w:val="75"/>
        </w:trPr>
        <w:tc>
          <w:tcPr>
            <w:tcW w:w="2132" w:type="pct"/>
            <w:hideMark/>
          </w:tcPr>
          <w:p w14:paraId="0A81C832"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p>
          <w:p w14:paraId="0975E028" w14:textId="6AC108F6" w:rsidR="006C5046" w:rsidRPr="006C5046" w:rsidRDefault="006C5046" w:rsidP="00D2796E">
            <w:pPr>
              <w:spacing w:before="150" w:after="150" w:line="240" w:lineRule="auto"/>
              <w:rPr>
                <w:rFonts w:ascii="Times New Roman" w:eastAsia="Times New Roman" w:hAnsi="Times New Roman" w:cs="Times New Roman"/>
                <w:sz w:val="8"/>
                <w:szCs w:val="24"/>
                <w:lang w:eastAsia="uk-UA"/>
              </w:rPr>
            </w:pPr>
          </w:p>
        </w:tc>
        <w:tc>
          <w:tcPr>
            <w:tcW w:w="786" w:type="pct"/>
            <w:hideMark/>
          </w:tcPr>
          <w:p w14:paraId="0A250978" w14:textId="7777777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br/>
            </w:r>
          </w:p>
        </w:tc>
        <w:tc>
          <w:tcPr>
            <w:tcW w:w="687" w:type="pct"/>
            <w:hideMark/>
          </w:tcPr>
          <w:p w14:paraId="49E8F724" w14:textId="7777777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br/>
            </w:r>
          </w:p>
        </w:tc>
        <w:tc>
          <w:tcPr>
            <w:tcW w:w="678" w:type="pct"/>
            <w:hideMark/>
          </w:tcPr>
          <w:p w14:paraId="095E02EA" w14:textId="7777777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br/>
            </w:r>
          </w:p>
        </w:tc>
        <w:tc>
          <w:tcPr>
            <w:tcW w:w="717" w:type="pct"/>
            <w:hideMark/>
          </w:tcPr>
          <w:p w14:paraId="76A26E85" w14:textId="7777777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br/>
            </w:r>
          </w:p>
        </w:tc>
      </w:tr>
      <w:tr w:rsidR="00D2796E" w:rsidRPr="00D2796E" w14:paraId="16F17DA1" w14:textId="77777777" w:rsidTr="0023757D">
        <w:trPr>
          <w:trHeight w:val="210"/>
        </w:trPr>
        <w:tc>
          <w:tcPr>
            <w:tcW w:w="2132" w:type="pct"/>
            <w:hideMark/>
          </w:tcPr>
          <w:p w14:paraId="7CB94D98"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енергія зі сторони</w:t>
            </w:r>
          </w:p>
        </w:tc>
        <w:tc>
          <w:tcPr>
            <w:tcW w:w="786" w:type="pct"/>
            <w:hideMark/>
          </w:tcPr>
          <w:p w14:paraId="6BE2B8B3"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73D4AE3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12CC30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D41F8C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A416DEC" w14:textId="77777777" w:rsidTr="0023757D">
        <w:trPr>
          <w:trHeight w:val="525"/>
        </w:trPr>
        <w:tc>
          <w:tcPr>
            <w:tcW w:w="2132" w:type="pct"/>
            <w:hideMark/>
          </w:tcPr>
          <w:p w14:paraId="73B638FB"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496D37DE" w14:textId="25CE3AE5" w:rsidR="006C5046" w:rsidRPr="006C5046" w:rsidRDefault="006C5046" w:rsidP="00D2796E">
            <w:pPr>
              <w:spacing w:before="150" w:after="150" w:line="240" w:lineRule="auto"/>
              <w:rPr>
                <w:rFonts w:ascii="Times New Roman" w:eastAsia="Times New Roman" w:hAnsi="Times New Roman" w:cs="Times New Roman"/>
                <w:sz w:val="4"/>
                <w:szCs w:val="24"/>
                <w:lang w:eastAsia="uk-UA"/>
              </w:rPr>
            </w:pPr>
          </w:p>
        </w:tc>
        <w:tc>
          <w:tcPr>
            <w:tcW w:w="786" w:type="pct"/>
            <w:hideMark/>
          </w:tcPr>
          <w:p w14:paraId="7E052A31"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730A53F"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104016B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05B4202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288247A" w14:textId="77777777" w:rsidTr="0023757D">
        <w:trPr>
          <w:trHeight w:val="255"/>
        </w:trPr>
        <w:tc>
          <w:tcPr>
            <w:tcW w:w="2132" w:type="pct"/>
            <w:hideMark/>
          </w:tcPr>
          <w:p w14:paraId="6B22F210"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витрати на оплату праці</w:t>
            </w:r>
          </w:p>
        </w:tc>
        <w:tc>
          <w:tcPr>
            <w:tcW w:w="786" w:type="pct"/>
            <w:hideMark/>
          </w:tcPr>
          <w:p w14:paraId="36AD4F4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1C6BC7F"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03A10F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EAA338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46E73AE4" w14:textId="77777777" w:rsidTr="0023757D">
        <w:trPr>
          <w:trHeight w:val="480"/>
        </w:trPr>
        <w:tc>
          <w:tcPr>
            <w:tcW w:w="2132" w:type="pct"/>
            <w:hideMark/>
          </w:tcPr>
          <w:p w14:paraId="5BEC3303"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оплату праці (заробітна плата та інші виплати працівникам підприємства, залученим до процесу виробництва електричної та (або) теплової енергії)</w:t>
            </w:r>
          </w:p>
        </w:tc>
        <w:tc>
          <w:tcPr>
            <w:tcW w:w="786" w:type="pct"/>
            <w:hideMark/>
          </w:tcPr>
          <w:p w14:paraId="0F6DDA00"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450F8A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16029E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133AFA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4F694AF4" w14:textId="77777777" w:rsidTr="0023757D">
        <w:trPr>
          <w:trHeight w:val="255"/>
        </w:trPr>
        <w:tc>
          <w:tcPr>
            <w:tcW w:w="2132" w:type="pct"/>
            <w:hideMark/>
          </w:tcPr>
          <w:p w14:paraId="2FCB1BC3"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єдиний внесок на загальнообов’язкове державне соціальне страхування</w:t>
            </w:r>
          </w:p>
        </w:tc>
        <w:tc>
          <w:tcPr>
            <w:tcW w:w="786" w:type="pct"/>
            <w:hideMark/>
          </w:tcPr>
          <w:p w14:paraId="1DF4E700"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74EB8B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021092B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0D9D26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B7BF0EB" w14:textId="77777777" w:rsidTr="0023757D">
        <w:trPr>
          <w:trHeight w:val="525"/>
        </w:trPr>
        <w:tc>
          <w:tcPr>
            <w:tcW w:w="2132" w:type="pct"/>
            <w:hideMark/>
          </w:tcPr>
          <w:p w14:paraId="156D5074" w14:textId="677E0128" w:rsidR="00D2796E" w:rsidRPr="00D2796E" w:rsidRDefault="00085C68" w:rsidP="00D2796E">
            <w:pPr>
              <w:spacing w:before="150" w:after="150" w:line="240" w:lineRule="auto"/>
              <w:rPr>
                <w:rFonts w:ascii="Times New Roman" w:eastAsia="Times New Roman" w:hAnsi="Times New Roman" w:cs="Times New Roman"/>
                <w:sz w:val="24"/>
                <w:szCs w:val="24"/>
                <w:lang w:eastAsia="uk-UA"/>
              </w:rPr>
            </w:pPr>
            <w:r w:rsidRPr="00F750B2">
              <w:rPr>
                <w:rFonts w:ascii="Times New Roman" w:eastAsia="Times New Roman" w:hAnsi="Times New Roman" w:cs="Times New Roman"/>
                <w:sz w:val="20"/>
                <w:szCs w:val="20"/>
                <w:lang w:eastAsia="uk-UA"/>
              </w:rPr>
              <w:t>єдиний внесок на</w:t>
            </w:r>
            <w:r>
              <w:rPr>
                <w:rFonts w:ascii="Times New Roman" w:eastAsia="Times New Roman" w:hAnsi="Times New Roman" w:cs="Times New Roman"/>
                <w:sz w:val="20"/>
                <w:szCs w:val="20"/>
                <w:lang w:eastAsia="uk-UA"/>
              </w:rPr>
              <w:t xml:space="preserve"> </w:t>
            </w:r>
            <w:r w:rsidR="00D2796E" w:rsidRPr="00D2796E">
              <w:rPr>
                <w:rFonts w:ascii="Times New Roman" w:eastAsia="Times New Roman" w:hAnsi="Times New Roman" w:cs="Times New Roman"/>
                <w:sz w:val="20"/>
                <w:szCs w:val="20"/>
                <w:lang w:eastAsia="uk-UA"/>
              </w:rPr>
              <w:t>загальнообов’язкове державне соціальне страхування працівників підприємства, залучених до процесу виробництва електричної та (або) теплової енергії</w:t>
            </w:r>
          </w:p>
        </w:tc>
        <w:tc>
          <w:tcPr>
            <w:tcW w:w="786" w:type="pct"/>
            <w:hideMark/>
          </w:tcPr>
          <w:p w14:paraId="1DB43581"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57554A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13D6CC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4C81D2A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49916818" w14:textId="77777777" w:rsidTr="0023757D">
        <w:trPr>
          <w:trHeight w:val="255"/>
        </w:trPr>
        <w:tc>
          <w:tcPr>
            <w:tcW w:w="2132" w:type="pct"/>
            <w:hideMark/>
          </w:tcPr>
          <w:p w14:paraId="4CD63871" w14:textId="67FF529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lastRenderedPageBreak/>
              <w:t>амортизац</w:t>
            </w:r>
            <w:r w:rsidRPr="00F750B2">
              <w:rPr>
                <w:rFonts w:ascii="Times New Roman" w:eastAsia="Times New Roman" w:hAnsi="Times New Roman" w:cs="Times New Roman"/>
                <w:b/>
                <w:bCs/>
                <w:sz w:val="20"/>
                <w:szCs w:val="20"/>
                <w:lang w:eastAsia="uk-UA"/>
              </w:rPr>
              <w:t>і</w:t>
            </w:r>
            <w:r w:rsidR="006B22CD" w:rsidRPr="00F750B2">
              <w:rPr>
                <w:rFonts w:ascii="Times New Roman" w:eastAsia="Times New Roman" w:hAnsi="Times New Roman" w:cs="Times New Roman"/>
                <w:b/>
                <w:bCs/>
                <w:sz w:val="20"/>
                <w:szCs w:val="20"/>
                <w:lang w:eastAsia="uk-UA"/>
              </w:rPr>
              <w:t>я</w:t>
            </w:r>
          </w:p>
        </w:tc>
        <w:tc>
          <w:tcPr>
            <w:tcW w:w="786" w:type="pct"/>
            <w:hideMark/>
          </w:tcPr>
          <w:p w14:paraId="5140356B"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74E391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EF009E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9B9D79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7DA7F857" w14:textId="77777777" w:rsidTr="0023757D">
        <w:trPr>
          <w:trHeight w:val="525"/>
        </w:trPr>
        <w:tc>
          <w:tcPr>
            <w:tcW w:w="2132" w:type="pct"/>
            <w:hideMark/>
          </w:tcPr>
          <w:p w14:paraId="6A533430" w14:textId="49105CBF"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амортизаці</w:t>
            </w:r>
            <w:r w:rsidR="006B22CD" w:rsidRPr="00F750B2">
              <w:rPr>
                <w:rFonts w:ascii="Times New Roman" w:eastAsia="Times New Roman" w:hAnsi="Times New Roman" w:cs="Times New Roman"/>
                <w:sz w:val="20"/>
                <w:szCs w:val="20"/>
                <w:lang w:eastAsia="uk-UA"/>
              </w:rPr>
              <w:t>я</w:t>
            </w:r>
            <w:r w:rsidRPr="00D2796E">
              <w:rPr>
                <w:rFonts w:ascii="Times New Roman" w:eastAsia="Times New Roman" w:hAnsi="Times New Roman" w:cs="Times New Roman"/>
                <w:sz w:val="20"/>
                <w:szCs w:val="20"/>
                <w:lang w:eastAsia="uk-UA"/>
              </w:rPr>
              <w:t xml:space="preserve"> основних засобів, інших необоротних матеріальних і нематеріальних активів виробничого призначення</w:t>
            </w:r>
          </w:p>
        </w:tc>
        <w:tc>
          <w:tcPr>
            <w:tcW w:w="786" w:type="pct"/>
            <w:hideMark/>
          </w:tcPr>
          <w:p w14:paraId="1505FC9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1B8F17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F13772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8CF241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330EB70D" w14:textId="77777777" w:rsidTr="0023757D">
        <w:trPr>
          <w:trHeight w:val="255"/>
        </w:trPr>
        <w:tc>
          <w:tcPr>
            <w:tcW w:w="2132" w:type="pct"/>
            <w:hideMark/>
          </w:tcPr>
          <w:p w14:paraId="2FEF231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інші витрати</w:t>
            </w:r>
          </w:p>
        </w:tc>
        <w:tc>
          <w:tcPr>
            <w:tcW w:w="786" w:type="pct"/>
            <w:hideMark/>
          </w:tcPr>
          <w:p w14:paraId="0421B1AD"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1BA9F38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61F0F01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73377EF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97B0C92" w14:textId="77777777" w:rsidTr="0023757D">
        <w:trPr>
          <w:trHeight w:val="585"/>
        </w:trPr>
        <w:tc>
          <w:tcPr>
            <w:tcW w:w="2132" w:type="pct"/>
            <w:hideMark/>
          </w:tcPr>
          <w:p w14:paraId="56914829"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суми податків, зборів та інших, передбачених законодавством України, платежів, які відносяться до собівартості продукції і сплачуються незалежно від результатів фінансово-господарської діяльності підприємства. Загальнодержавні та місцеві податки, збори та інші обов’язкові платежі, у т. ч.:</w:t>
            </w:r>
          </w:p>
        </w:tc>
        <w:tc>
          <w:tcPr>
            <w:tcW w:w="786" w:type="pct"/>
            <w:hideMark/>
          </w:tcPr>
          <w:p w14:paraId="1E8A2FF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65E5C1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CFEA30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FC1663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DA3CF98" w14:textId="77777777" w:rsidTr="0023757D">
        <w:trPr>
          <w:trHeight w:val="255"/>
        </w:trPr>
        <w:tc>
          <w:tcPr>
            <w:tcW w:w="2132" w:type="pct"/>
            <w:hideMark/>
          </w:tcPr>
          <w:p w14:paraId="709E068B"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плата за землю</w:t>
            </w:r>
          </w:p>
        </w:tc>
        <w:tc>
          <w:tcPr>
            <w:tcW w:w="786" w:type="pct"/>
            <w:hideMark/>
          </w:tcPr>
          <w:p w14:paraId="796DE39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7C1746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39A29DE"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C44FCD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1E36034F" w14:textId="77777777" w:rsidTr="0023757D">
        <w:trPr>
          <w:trHeight w:val="300"/>
        </w:trPr>
        <w:tc>
          <w:tcPr>
            <w:tcW w:w="2132" w:type="pct"/>
            <w:hideMark/>
          </w:tcPr>
          <w:p w14:paraId="005FC2D4"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податок з власників транспортних засобів та інших самохідних машин і механізмів</w:t>
            </w:r>
          </w:p>
        </w:tc>
        <w:tc>
          <w:tcPr>
            <w:tcW w:w="786" w:type="pct"/>
            <w:hideMark/>
          </w:tcPr>
          <w:p w14:paraId="74C1F2DD"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F8EFCC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B8517B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7BEBC01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3EE40353" w14:textId="77777777" w:rsidTr="0023757D">
        <w:trPr>
          <w:trHeight w:val="345"/>
        </w:trPr>
        <w:tc>
          <w:tcPr>
            <w:tcW w:w="2132" w:type="pct"/>
            <w:hideMark/>
          </w:tcPr>
          <w:p w14:paraId="1929C166"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збір за забруднення навколишнього природного середовища</w:t>
            </w:r>
          </w:p>
        </w:tc>
        <w:tc>
          <w:tcPr>
            <w:tcW w:w="786" w:type="pct"/>
            <w:hideMark/>
          </w:tcPr>
          <w:p w14:paraId="71ED1568"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F5B2F3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82E40BE"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01769FF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9545989" w14:textId="77777777" w:rsidTr="0023757D">
        <w:trPr>
          <w:trHeight w:val="255"/>
        </w:trPr>
        <w:tc>
          <w:tcPr>
            <w:tcW w:w="2132" w:type="pct"/>
            <w:hideMark/>
          </w:tcPr>
          <w:p w14:paraId="4C606843"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збір за використання природних ресурсів</w:t>
            </w:r>
          </w:p>
        </w:tc>
        <w:tc>
          <w:tcPr>
            <w:tcW w:w="786" w:type="pct"/>
            <w:hideMark/>
          </w:tcPr>
          <w:p w14:paraId="298CA0D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130425E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12F3D8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C5739E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CCC13C6" w14:textId="77777777" w:rsidTr="0023757D">
        <w:trPr>
          <w:trHeight w:val="345"/>
        </w:trPr>
        <w:tc>
          <w:tcPr>
            <w:tcW w:w="2132" w:type="pct"/>
            <w:hideMark/>
          </w:tcPr>
          <w:p w14:paraId="23FBACB8"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рентна плата за спеціальне використання води</w:t>
            </w:r>
          </w:p>
        </w:tc>
        <w:tc>
          <w:tcPr>
            <w:tcW w:w="786" w:type="pct"/>
            <w:hideMark/>
          </w:tcPr>
          <w:p w14:paraId="091DE16B"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A5D7FC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FFC51E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DDE1B5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E264596" w14:textId="77777777" w:rsidTr="0023757D">
        <w:trPr>
          <w:trHeight w:val="300"/>
        </w:trPr>
        <w:tc>
          <w:tcPr>
            <w:tcW w:w="2132" w:type="pct"/>
            <w:hideMark/>
          </w:tcPr>
          <w:p w14:paraId="6C1F8917"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єдиний збір, що справляється у пунктах пропуску через Державний кордон України</w:t>
            </w:r>
          </w:p>
        </w:tc>
        <w:tc>
          <w:tcPr>
            <w:tcW w:w="786" w:type="pct"/>
            <w:hideMark/>
          </w:tcPr>
          <w:p w14:paraId="10DB226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1C49F2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F1AF9D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8F01A1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0E1E699B" w14:textId="77777777" w:rsidTr="0023757D">
        <w:trPr>
          <w:trHeight w:val="315"/>
        </w:trPr>
        <w:tc>
          <w:tcPr>
            <w:tcW w:w="2132" w:type="pct"/>
            <w:hideMark/>
          </w:tcPr>
          <w:p w14:paraId="4D488C2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портові збори</w:t>
            </w:r>
          </w:p>
        </w:tc>
        <w:tc>
          <w:tcPr>
            <w:tcW w:w="786" w:type="pct"/>
            <w:hideMark/>
          </w:tcPr>
          <w:p w14:paraId="73353CA2"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C6400D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0381513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314557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6C2DAFC" w14:textId="77777777" w:rsidTr="0023757D">
        <w:trPr>
          <w:trHeight w:val="300"/>
        </w:trPr>
        <w:tc>
          <w:tcPr>
            <w:tcW w:w="2132" w:type="pct"/>
            <w:hideMark/>
          </w:tcPr>
          <w:p w14:paraId="3FC61076" w14:textId="2C6F9A05" w:rsidR="006C5046" w:rsidRPr="006C5046" w:rsidRDefault="001C2E1B" w:rsidP="00D2796E">
            <w:pPr>
              <w:spacing w:before="150" w:after="150" w:line="240" w:lineRule="auto"/>
              <w:rPr>
                <w:rFonts w:ascii="Times New Roman" w:eastAsia="Times New Roman" w:hAnsi="Times New Roman" w:cs="Times New Roman"/>
                <w:sz w:val="4"/>
                <w:szCs w:val="24"/>
                <w:lang w:eastAsia="uk-UA"/>
              </w:rPr>
            </w:pPr>
            <w:r w:rsidRPr="001C2E1B">
              <w:rPr>
                <w:rFonts w:ascii="Times New Roman" w:hAnsi="Times New Roman" w:cs="Times New Roman"/>
                <w:b/>
                <w:bCs/>
              </w:rPr>
              <w:t>витрати на пожежну, сторожову і воєнізовану охорону, послуги Державної служби України з надзвичайних ситуацій, у тому числі оплата послуг сторонніх організацій</w:t>
            </w:r>
            <w:r w:rsidRPr="006C5046">
              <w:rPr>
                <w:rFonts w:ascii="Times New Roman" w:eastAsia="Times New Roman" w:hAnsi="Times New Roman" w:cs="Times New Roman"/>
                <w:sz w:val="4"/>
                <w:szCs w:val="24"/>
                <w:lang w:eastAsia="uk-UA"/>
              </w:rPr>
              <w:t xml:space="preserve"> </w:t>
            </w:r>
          </w:p>
        </w:tc>
        <w:tc>
          <w:tcPr>
            <w:tcW w:w="786" w:type="pct"/>
            <w:hideMark/>
          </w:tcPr>
          <w:p w14:paraId="2C725EB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AA7DF1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525EB3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ABE6F5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70414C90" w14:textId="77777777" w:rsidTr="0023757D">
        <w:trPr>
          <w:trHeight w:val="690"/>
        </w:trPr>
        <w:tc>
          <w:tcPr>
            <w:tcW w:w="2132" w:type="pct"/>
            <w:hideMark/>
          </w:tcPr>
          <w:p w14:paraId="29170A10"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порядку України, утримання санітарних зон</w:t>
            </w:r>
          </w:p>
          <w:p w14:paraId="5C57E916" w14:textId="30B4F490" w:rsidR="006C5046" w:rsidRPr="006C5046" w:rsidRDefault="006C5046" w:rsidP="00D2796E">
            <w:pPr>
              <w:spacing w:before="150" w:after="150" w:line="240" w:lineRule="auto"/>
              <w:rPr>
                <w:rFonts w:ascii="Times New Roman" w:eastAsia="Times New Roman" w:hAnsi="Times New Roman" w:cs="Times New Roman"/>
                <w:sz w:val="10"/>
                <w:szCs w:val="24"/>
                <w:lang w:eastAsia="uk-UA"/>
              </w:rPr>
            </w:pPr>
          </w:p>
        </w:tc>
        <w:tc>
          <w:tcPr>
            <w:tcW w:w="786" w:type="pct"/>
            <w:hideMark/>
          </w:tcPr>
          <w:p w14:paraId="3395CE47"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1517591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BC2161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FD6031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714DA97B" w14:textId="77777777" w:rsidTr="0023757D">
        <w:trPr>
          <w:trHeight w:val="795"/>
        </w:trPr>
        <w:tc>
          <w:tcPr>
            <w:tcW w:w="2132" w:type="pct"/>
            <w:hideMark/>
          </w:tcPr>
          <w:p w14:paraId="14232DE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tc>
        <w:tc>
          <w:tcPr>
            <w:tcW w:w="786" w:type="pct"/>
            <w:hideMark/>
          </w:tcPr>
          <w:p w14:paraId="24A46E27"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3229E5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221571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0416948D" w14:textId="294F66AC"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D6E06D8" w14:textId="77777777" w:rsidTr="0023757D">
        <w:trPr>
          <w:trHeight w:val="255"/>
        </w:trPr>
        <w:tc>
          <w:tcPr>
            <w:tcW w:w="2132" w:type="pct"/>
            <w:hideMark/>
          </w:tcPr>
          <w:p w14:paraId="4B6BBFBB"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lastRenderedPageBreak/>
              <w:t>витрати на охорону праці</w:t>
            </w:r>
          </w:p>
        </w:tc>
        <w:tc>
          <w:tcPr>
            <w:tcW w:w="786" w:type="pct"/>
            <w:hideMark/>
          </w:tcPr>
          <w:p w14:paraId="7FA74012"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E51FC4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A47446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B18B1E8" w14:textId="66229FB6"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9B0E76C" w14:textId="77777777" w:rsidTr="0023757D">
        <w:trPr>
          <w:trHeight w:val="315"/>
        </w:trPr>
        <w:tc>
          <w:tcPr>
            <w:tcW w:w="2132" w:type="pct"/>
            <w:hideMark/>
          </w:tcPr>
          <w:p w14:paraId="6109661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самостійне зберігання, переробку та захоронення екологічно небезпечних відходів</w:t>
            </w:r>
          </w:p>
        </w:tc>
        <w:tc>
          <w:tcPr>
            <w:tcW w:w="786" w:type="pct"/>
            <w:hideMark/>
          </w:tcPr>
          <w:p w14:paraId="409E16C2"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BDBF63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1082028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6A81816"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BAB2619" w14:textId="77777777" w:rsidTr="0023757D">
        <w:trPr>
          <w:trHeight w:val="300"/>
        </w:trPr>
        <w:tc>
          <w:tcPr>
            <w:tcW w:w="2132" w:type="pct"/>
            <w:hideMark/>
          </w:tcPr>
          <w:p w14:paraId="72AAF57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транспортні витрати на перевезення працівників від місця знаходження підприємства або пункту збору до місця роботи і назад (при виконанні робіт вахтовим методом)</w:t>
            </w:r>
          </w:p>
        </w:tc>
        <w:tc>
          <w:tcPr>
            <w:tcW w:w="786" w:type="pct"/>
            <w:hideMark/>
          </w:tcPr>
          <w:p w14:paraId="2398EC1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CA712C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088ABB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462F9D1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5DA4A8E7" w14:textId="77777777" w:rsidTr="0023757D">
        <w:trPr>
          <w:trHeight w:val="570"/>
        </w:trPr>
        <w:tc>
          <w:tcPr>
            <w:tcW w:w="2132" w:type="pct"/>
            <w:hideMark/>
          </w:tcPr>
          <w:p w14:paraId="5FE14846"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пов’язані з професійною підготовкою, перепідготовкою та підтриманням професійної майстерності працівників ліцензіата за профілем його діяльності безпосередньо в ліцензіата (утримання навчальних класів, тренажерних центрів тощо)</w:t>
            </w:r>
          </w:p>
        </w:tc>
        <w:tc>
          <w:tcPr>
            <w:tcW w:w="786" w:type="pct"/>
            <w:hideMark/>
          </w:tcPr>
          <w:p w14:paraId="609E924D"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E5F6AE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6D947B4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744A337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63479CD" w14:textId="77777777" w:rsidTr="0023757D">
        <w:trPr>
          <w:trHeight w:val="585"/>
        </w:trPr>
        <w:tc>
          <w:tcPr>
            <w:tcW w:w="2132" w:type="pct"/>
            <w:hideMark/>
          </w:tcPr>
          <w:p w14:paraId="10F095F0"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пов’язані з професійною підготовкою або перепідготовкою працівників ліцензіата в українських закладах освіти, що мають ліцензію, та у разі закінчення навчання видають спеціальний документ державного зразка</w:t>
            </w:r>
          </w:p>
        </w:tc>
        <w:tc>
          <w:tcPr>
            <w:tcW w:w="786" w:type="pct"/>
            <w:hideMark/>
          </w:tcPr>
          <w:p w14:paraId="78B4E0DD"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E2385D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3D2067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B4F8F2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593BF02" w14:textId="77777777" w:rsidTr="0023757D">
        <w:trPr>
          <w:trHeight w:val="330"/>
        </w:trPr>
        <w:tc>
          <w:tcPr>
            <w:tcW w:w="2132" w:type="pct"/>
            <w:hideMark/>
          </w:tcPr>
          <w:p w14:paraId="0631A031"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придбання типографських бланків, канцелярського приладдя, паперу тощо</w:t>
            </w:r>
          </w:p>
        </w:tc>
        <w:tc>
          <w:tcPr>
            <w:tcW w:w="786" w:type="pct"/>
            <w:hideMark/>
          </w:tcPr>
          <w:p w14:paraId="38DB2ECD"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B9F2E6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4C3637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46CC458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4C7B1102" w14:textId="77777777" w:rsidTr="0023757D">
        <w:trPr>
          <w:trHeight w:val="210"/>
        </w:trPr>
        <w:tc>
          <w:tcPr>
            <w:tcW w:w="2132" w:type="pct"/>
            <w:hideMark/>
          </w:tcPr>
          <w:p w14:paraId="30137257" w14:textId="70305269"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оренду основних засобів (будівель, приміщень, обладнання тощо)</w:t>
            </w:r>
          </w:p>
        </w:tc>
        <w:tc>
          <w:tcPr>
            <w:tcW w:w="786" w:type="pct"/>
            <w:hideMark/>
          </w:tcPr>
          <w:p w14:paraId="75163970" w14:textId="5955F10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0A6629D" w14:textId="510D0A5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3A2214A6" w14:textId="7C5363A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487F08A2" w14:textId="2623F88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77216CB7" w14:textId="77777777" w:rsidTr="0023757D">
        <w:trPr>
          <w:trHeight w:val="750"/>
        </w:trPr>
        <w:tc>
          <w:tcPr>
            <w:tcW w:w="2132" w:type="pct"/>
            <w:hideMark/>
          </w:tcPr>
          <w:p w14:paraId="2848519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D2796E">
              <w:rPr>
                <w:rFonts w:ascii="Times New Roman" w:eastAsia="Times New Roman" w:hAnsi="Times New Roman" w:cs="Times New Roman"/>
                <w:sz w:val="20"/>
                <w:szCs w:val="20"/>
                <w:lang w:eastAsia="uk-UA"/>
              </w:rPr>
              <w:t>пожежовибухонебезпечні</w:t>
            </w:r>
            <w:proofErr w:type="spellEnd"/>
            <w:r w:rsidRPr="00D2796E">
              <w:rPr>
                <w:rFonts w:ascii="Times New Roman" w:eastAsia="Times New Roman" w:hAnsi="Times New Roman" w:cs="Times New Roman"/>
                <w:sz w:val="20"/>
                <w:szCs w:val="20"/>
                <w:lang w:eastAsia="uk-UA"/>
              </w:rPr>
              <w:t xml:space="preserve"> об’єкти та об’єкти, господарська діяльність на яких може призвести до аварій екологічного і санітарно-епідеміологічного характеру</w:t>
            </w:r>
          </w:p>
        </w:tc>
        <w:tc>
          <w:tcPr>
            <w:tcW w:w="786" w:type="pct"/>
            <w:hideMark/>
          </w:tcPr>
          <w:p w14:paraId="796FF6B5" w14:textId="4D01551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57587590" w14:textId="472A203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77A3003B" w14:textId="36235F36"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434CDF5B" w14:textId="0608640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3902ECE7" w14:textId="77777777" w:rsidTr="0023757D">
        <w:trPr>
          <w:trHeight w:val="825"/>
        </w:trPr>
        <w:tc>
          <w:tcPr>
            <w:tcW w:w="2132" w:type="pct"/>
            <w:hideMark/>
          </w:tcPr>
          <w:p w14:paraId="58548D5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законодавством</w:t>
            </w:r>
          </w:p>
        </w:tc>
        <w:tc>
          <w:tcPr>
            <w:tcW w:w="786" w:type="pct"/>
            <w:hideMark/>
          </w:tcPr>
          <w:p w14:paraId="3EBEE29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C07F6E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1898B8C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5F5FD4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2BDDC2DB" w14:textId="77777777" w:rsidTr="0023757D">
        <w:trPr>
          <w:trHeight w:val="255"/>
        </w:trPr>
        <w:tc>
          <w:tcPr>
            <w:tcW w:w="2132" w:type="pct"/>
            <w:hideMark/>
          </w:tcPr>
          <w:p w14:paraId="40473EC6"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 xml:space="preserve">оплата службових </w:t>
            </w:r>
            <w:proofErr w:type="spellStart"/>
            <w:r w:rsidRPr="00D2796E">
              <w:rPr>
                <w:rFonts w:ascii="Times New Roman" w:eastAsia="Times New Roman" w:hAnsi="Times New Roman" w:cs="Times New Roman"/>
                <w:sz w:val="20"/>
                <w:szCs w:val="20"/>
                <w:lang w:eastAsia="uk-UA"/>
              </w:rPr>
              <w:t>відряджень</w:t>
            </w:r>
            <w:proofErr w:type="spellEnd"/>
            <w:r w:rsidRPr="00D2796E">
              <w:rPr>
                <w:rFonts w:ascii="Times New Roman" w:eastAsia="Times New Roman" w:hAnsi="Times New Roman" w:cs="Times New Roman"/>
                <w:sz w:val="20"/>
                <w:szCs w:val="20"/>
                <w:lang w:eastAsia="uk-UA"/>
              </w:rPr>
              <w:t>, пов’язаних із виробничою діяльністю, у межах передбачених чинним законодавством України норм</w:t>
            </w:r>
          </w:p>
        </w:tc>
        <w:tc>
          <w:tcPr>
            <w:tcW w:w="786" w:type="pct"/>
            <w:hideMark/>
          </w:tcPr>
          <w:p w14:paraId="083FF82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191F382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DB8DC3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7E4495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3ECB563B" w14:textId="77777777" w:rsidTr="0023757D">
        <w:trPr>
          <w:trHeight w:val="330"/>
        </w:trPr>
        <w:tc>
          <w:tcPr>
            <w:tcW w:w="2132" w:type="pct"/>
            <w:hideMark/>
          </w:tcPr>
          <w:p w14:paraId="75890CE5"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медико-санітарне забезпечення персоналу</w:t>
            </w:r>
          </w:p>
        </w:tc>
        <w:tc>
          <w:tcPr>
            <w:tcW w:w="786" w:type="pct"/>
            <w:hideMark/>
          </w:tcPr>
          <w:p w14:paraId="25C09605"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6847F5C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BAD142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9EB313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41809AD2" w14:textId="77777777" w:rsidTr="0023757D">
        <w:trPr>
          <w:trHeight w:val="345"/>
        </w:trPr>
        <w:tc>
          <w:tcPr>
            <w:tcW w:w="2132" w:type="pct"/>
            <w:hideMark/>
          </w:tcPr>
          <w:p w14:paraId="19B7F412"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lastRenderedPageBreak/>
              <w:t>витрати на цивільний захист</w:t>
            </w:r>
          </w:p>
        </w:tc>
        <w:tc>
          <w:tcPr>
            <w:tcW w:w="786" w:type="pct"/>
            <w:hideMark/>
          </w:tcPr>
          <w:p w14:paraId="411B19D3"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7BA91D6"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B79A4F1"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4B9A876"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58EE8EC6" w14:textId="77777777" w:rsidTr="0023757D">
        <w:trPr>
          <w:trHeight w:val="240"/>
        </w:trPr>
        <w:tc>
          <w:tcPr>
            <w:tcW w:w="2132" w:type="pct"/>
            <w:hideMark/>
          </w:tcPr>
          <w:p w14:paraId="7DC04FF7"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оплата за використання та обслуговування технічних засобів управління, вузлів зв’язку, засобів охоронної сигналізації тощо</w:t>
            </w:r>
          </w:p>
        </w:tc>
        <w:tc>
          <w:tcPr>
            <w:tcW w:w="786" w:type="pct"/>
            <w:hideMark/>
          </w:tcPr>
          <w:p w14:paraId="55C8A33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D2AC28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C74D84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99A20F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42C2BF40" w14:textId="77777777" w:rsidTr="0023757D">
        <w:trPr>
          <w:trHeight w:val="210"/>
        </w:trPr>
        <w:tc>
          <w:tcPr>
            <w:tcW w:w="2132" w:type="pct"/>
            <w:hideMark/>
          </w:tcPr>
          <w:p w14:paraId="52E817D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молоко та лікувально-профілактичне харчування</w:t>
            </w:r>
          </w:p>
        </w:tc>
        <w:tc>
          <w:tcPr>
            <w:tcW w:w="786" w:type="pct"/>
            <w:hideMark/>
          </w:tcPr>
          <w:p w14:paraId="2CE8ACF7" w14:textId="0AF2FA8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540493B" w14:textId="2680C7A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3E4663E8" w14:textId="35794D7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2D737E58" w14:textId="099E376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19BEB17" w14:textId="77777777" w:rsidTr="0023757D">
        <w:trPr>
          <w:trHeight w:val="270"/>
        </w:trPr>
        <w:tc>
          <w:tcPr>
            <w:tcW w:w="2132" w:type="pct"/>
            <w:hideMark/>
          </w:tcPr>
          <w:p w14:paraId="442FC674"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оплата вартості ліцензій та інших державних дозволів для ведення господарської діяльності</w:t>
            </w:r>
          </w:p>
        </w:tc>
        <w:tc>
          <w:tcPr>
            <w:tcW w:w="786" w:type="pct"/>
            <w:hideMark/>
          </w:tcPr>
          <w:p w14:paraId="77DD1F90" w14:textId="15C074D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910C5D4" w14:textId="134E15D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13825339" w14:textId="35A8E7D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09BF7944" w14:textId="2BD3244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69C602BA" w14:textId="77777777" w:rsidTr="0023757D">
        <w:trPr>
          <w:trHeight w:val="270"/>
        </w:trPr>
        <w:tc>
          <w:tcPr>
            <w:tcW w:w="2132" w:type="pct"/>
            <w:hideMark/>
          </w:tcPr>
          <w:p w14:paraId="25968C7A"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внески на регулювання, що розраховуються та сплачуються ліцензіатом відповідно до порядку, встановленого НКРЕКП</w:t>
            </w:r>
          </w:p>
        </w:tc>
        <w:tc>
          <w:tcPr>
            <w:tcW w:w="786" w:type="pct"/>
            <w:hideMark/>
          </w:tcPr>
          <w:p w14:paraId="1B97E3DD" w14:textId="5E23BDB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2D0D49F6" w14:textId="1C30F97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71DB3071" w14:textId="1DDFB6C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00DE433C" w14:textId="2A73DAF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D61E31B" w14:textId="77777777" w:rsidTr="0023757D">
        <w:trPr>
          <w:trHeight w:val="270"/>
        </w:trPr>
        <w:tc>
          <w:tcPr>
            <w:tcW w:w="2132" w:type="pct"/>
            <w:hideMark/>
          </w:tcPr>
          <w:p w14:paraId="6C6380AC"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інші потреби, не передбачені попередніми статтями</w:t>
            </w:r>
          </w:p>
        </w:tc>
        <w:tc>
          <w:tcPr>
            <w:tcW w:w="786" w:type="pct"/>
            <w:hideMark/>
          </w:tcPr>
          <w:p w14:paraId="404C296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4DCB22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61AC41CF"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8659DC2" w14:textId="39A50EE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C1867A0" w14:textId="77777777" w:rsidTr="0023757D">
        <w:trPr>
          <w:trHeight w:val="270"/>
        </w:trPr>
        <w:tc>
          <w:tcPr>
            <w:tcW w:w="2132" w:type="pct"/>
            <w:hideMark/>
          </w:tcPr>
          <w:p w14:paraId="0F527587"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Адміністративні витрати, у т. ч.:</w:t>
            </w:r>
          </w:p>
        </w:tc>
        <w:tc>
          <w:tcPr>
            <w:tcW w:w="786" w:type="pct"/>
            <w:hideMark/>
          </w:tcPr>
          <w:p w14:paraId="6973730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0D112CE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66F4BE2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6300ABA" w14:textId="0C3A6CF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C425E7E" w14:textId="77777777" w:rsidTr="0023757D">
        <w:trPr>
          <w:trHeight w:val="90"/>
        </w:trPr>
        <w:tc>
          <w:tcPr>
            <w:tcW w:w="2132" w:type="pct"/>
            <w:hideMark/>
          </w:tcPr>
          <w:p w14:paraId="1F4C27BD"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матеріальні витрати</w:t>
            </w:r>
          </w:p>
        </w:tc>
        <w:tc>
          <w:tcPr>
            <w:tcW w:w="786" w:type="pct"/>
            <w:hideMark/>
          </w:tcPr>
          <w:p w14:paraId="479D437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77331DB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F074F9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6844B1C" w14:textId="38733BE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38E0F3B3" w14:textId="77777777" w:rsidTr="0023757D">
        <w:trPr>
          <w:trHeight w:val="255"/>
        </w:trPr>
        <w:tc>
          <w:tcPr>
            <w:tcW w:w="2132" w:type="pct"/>
            <w:hideMark/>
          </w:tcPr>
          <w:p w14:paraId="092FE224" w14:textId="1F142AC3"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утримання і експлуатацію</w:t>
            </w:r>
            <w:r w:rsidR="00F750B2">
              <w:rPr>
                <w:rFonts w:ascii="Times New Roman" w:eastAsia="Times New Roman" w:hAnsi="Times New Roman" w:cs="Times New Roman"/>
                <w:sz w:val="20"/>
                <w:szCs w:val="20"/>
                <w:lang w:eastAsia="uk-UA"/>
              </w:rPr>
              <w:t xml:space="preserve"> </w:t>
            </w:r>
            <w:r w:rsidRPr="00D2796E">
              <w:rPr>
                <w:rFonts w:ascii="Times New Roman" w:eastAsia="Times New Roman" w:hAnsi="Times New Roman" w:cs="Times New Roman"/>
                <w:sz w:val="20"/>
                <w:szCs w:val="20"/>
                <w:lang w:eastAsia="uk-UA"/>
              </w:rPr>
              <w:t>основних засобів та інших необоротних матеріальних активів (будівель, споруд, обладнання, машин та інших основних засобів)</w:t>
            </w:r>
          </w:p>
        </w:tc>
        <w:tc>
          <w:tcPr>
            <w:tcW w:w="786" w:type="pct"/>
            <w:hideMark/>
          </w:tcPr>
          <w:p w14:paraId="0D0334CE" w14:textId="37CD4C7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F0D7F61" w14:textId="59FBDC6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53DC7D16" w14:textId="2E44485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4CB78E75" w14:textId="0C973BE6"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736E32" w:rsidRPr="00D2796E" w14:paraId="64E828EE" w14:textId="77777777" w:rsidTr="0023757D">
        <w:trPr>
          <w:trHeight w:val="255"/>
        </w:trPr>
        <w:tc>
          <w:tcPr>
            <w:tcW w:w="2132" w:type="pct"/>
          </w:tcPr>
          <w:p w14:paraId="3FFD931C" w14:textId="7EF2D530" w:rsidR="00736E32" w:rsidRPr="00F750B2" w:rsidRDefault="00736E32" w:rsidP="00D2796E">
            <w:pPr>
              <w:spacing w:before="150" w:after="150" w:line="240" w:lineRule="auto"/>
              <w:rPr>
                <w:rFonts w:ascii="Times New Roman" w:eastAsia="Times New Roman" w:hAnsi="Times New Roman" w:cs="Times New Roman"/>
                <w:sz w:val="20"/>
                <w:szCs w:val="20"/>
                <w:lang w:eastAsia="uk-UA"/>
              </w:rPr>
            </w:pPr>
            <w:r w:rsidRPr="00F750B2">
              <w:rPr>
                <w:rFonts w:ascii="Times New Roman" w:eastAsia="Times New Roman" w:hAnsi="Times New Roman" w:cs="Times New Roman"/>
                <w:sz w:val="20"/>
                <w:szCs w:val="20"/>
                <w:lang w:eastAsia="uk-UA"/>
              </w:rPr>
              <w:t>витрати на ремонт основних засобів та інших необоротних матеріальних активів (будівель, споруд, обладнання, машин та інших основних засобів)</w:t>
            </w:r>
          </w:p>
        </w:tc>
        <w:tc>
          <w:tcPr>
            <w:tcW w:w="786" w:type="pct"/>
          </w:tcPr>
          <w:p w14:paraId="7E017AE0" w14:textId="77777777" w:rsidR="00736E32" w:rsidRPr="00D2796E" w:rsidRDefault="00736E32" w:rsidP="00D2796E">
            <w:pPr>
              <w:spacing w:before="150" w:after="150" w:line="240" w:lineRule="auto"/>
              <w:jc w:val="center"/>
              <w:rPr>
                <w:rFonts w:ascii="Times New Roman" w:eastAsia="Times New Roman" w:hAnsi="Times New Roman" w:cs="Times New Roman"/>
                <w:sz w:val="20"/>
                <w:szCs w:val="20"/>
                <w:lang w:eastAsia="uk-UA"/>
              </w:rPr>
            </w:pPr>
          </w:p>
        </w:tc>
        <w:tc>
          <w:tcPr>
            <w:tcW w:w="687" w:type="pct"/>
          </w:tcPr>
          <w:p w14:paraId="19D3DE2F" w14:textId="77777777" w:rsidR="00736E32" w:rsidRPr="00D2796E" w:rsidRDefault="00736E32" w:rsidP="00D2796E">
            <w:pPr>
              <w:spacing w:before="150" w:after="150" w:line="240" w:lineRule="auto"/>
              <w:jc w:val="center"/>
              <w:rPr>
                <w:rFonts w:ascii="Times New Roman" w:eastAsia="Times New Roman" w:hAnsi="Times New Roman" w:cs="Times New Roman"/>
                <w:sz w:val="20"/>
                <w:szCs w:val="20"/>
                <w:lang w:eastAsia="uk-UA"/>
              </w:rPr>
            </w:pPr>
          </w:p>
        </w:tc>
        <w:tc>
          <w:tcPr>
            <w:tcW w:w="678" w:type="pct"/>
          </w:tcPr>
          <w:p w14:paraId="6FFF7FD2" w14:textId="77777777" w:rsidR="00736E32" w:rsidRPr="00D2796E" w:rsidRDefault="00736E32" w:rsidP="00D2796E">
            <w:pPr>
              <w:spacing w:before="150" w:after="150" w:line="240" w:lineRule="auto"/>
              <w:jc w:val="center"/>
              <w:rPr>
                <w:rFonts w:ascii="Times New Roman" w:eastAsia="Times New Roman" w:hAnsi="Times New Roman" w:cs="Times New Roman"/>
                <w:sz w:val="20"/>
                <w:szCs w:val="20"/>
                <w:lang w:eastAsia="uk-UA"/>
              </w:rPr>
            </w:pPr>
          </w:p>
        </w:tc>
        <w:tc>
          <w:tcPr>
            <w:tcW w:w="717" w:type="pct"/>
          </w:tcPr>
          <w:p w14:paraId="37D797D2" w14:textId="77777777" w:rsidR="00736E32" w:rsidRPr="00D2796E" w:rsidRDefault="00736E32" w:rsidP="00D2796E">
            <w:pPr>
              <w:spacing w:before="150" w:after="150" w:line="240" w:lineRule="auto"/>
              <w:jc w:val="center"/>
              <w:rPr>
                <w:rFonts w:ascii="Times New Roman" w:eastAsia="Times New Roman" w:hAnsi="Times New Roman" w:cs="Times New Roman"/>
                <w:sz w:val="20"/>
                <w:szCs w:val="20"/>
                <w:lang w:eastAsia="uk-UA"/>
              </w:rPr>
            </w:pPr>
          </w:p>
        </w:tc>
      </w:tr>
      <w:tr w:rsidR="00D2796E" w:rsidRPr="00D2796E" w14:paraId="5A443F43" w14:textId="77777777" w:rsidTr="0023757D">
        <w:trPr>
          <w:trHeight w:val="255"/>
        </w:trPr>
        <w:tc>
          <w:tcPr>
            <w:tcW w:w="2132" w:type="pct"/>
            <w:hideMark/>
          </w:tcPr>
          <w:p w14:paraId="28F1E1A9"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вартість матеріалів та МШП</w:t>
            </w:r>
          </w:p>
        </w:tc>
        <w:tc>
          <w:tcPr>
            <w:tcW w:w="786" w:type="pct"/>
            <w:hideMark/>
          </w:tcPr>
          <w:p w14:paraId="626ADCBF" w14:textId="20E18C5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38A368C0" w14:textId="07D0EE4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6FF64DA9" w14:textId="7550B32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570E4A46" w14:textId="33F628A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E59BC58" w14:textId="77777777" w:rsidTr="0023757D">
        <w:trPr>
          <w:trHeight w:val="495"/>
        </w:trPr>
        <w:tc>
          <w:tcPr>
            <w:tcW w:w="2132" w:type="pct"/>
            <w:hideMark/>
          </w:tcPr>
          <w:p w14:paraId="28FFD58F"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витрати на утримання і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073BD365" w14:textId="0FC2388B" w:rsidR="006C5046" w:rsidRPr="006C5046" w:rsidRDefault="006C5046" w:rsidP="00D2796E">
            <w:pPr>
              <w:spacing w:before="150" w:after="150" w:line="240" w:lineRule="auto"/>
              <w:rPr>
                <w:rFonts w:ascii="Times New Roman" w:eastAsia="Times New Roman" w:hAnsi="Times New Roman" w:cs="Times New Roman"/>
                <w:sz w:val="8"/>
                <w:szCs w:val="24"/>
                <w:lang w:eastAsia="uk-UA"/>
              </w:rPr>
            </w:pPr>
          </w:p>
        </w:tc>
        <w:tc>
          <w:tcPr>
            <w:tcW w:w="786" w:type="pct"/>
            <w:hideMark/>
          </w:tcPr>
          <w:p w14:paraId="1D298C4E"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DF8522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1A75208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A6E8E67" w14:textId="058252C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34CFFDEB" w14:textId="77777777" w:rsidTr="0023757D">
        <w:trPr>
          <w:trHeight w:val="195"/>
        </w:trPr>
        <w:tc>
          <w:tcPr>
            <w:tcW w:w="2132" w:type="pct"/>
            <w:hideMark/>
          </w:tcPr>
          <w:p w14:paraId="739B34E9"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придбання канцелярського приладдя</w:t>
            </w:r>
          </w:p>
        </w:tc>
        <w:tc>
          <w:tcPr>
            <w:tcW w:w="786" w:type="pct"/>
            <w:hideMark/>
          </w:tcPr>
          <w:p w14:paraId="2449D0A6"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ED6297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901F78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B80BC99" w14:textId="73AE7A66"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EC54177" w14:textId="77777777" w:rsidTr="0023757D">
        <w:trPr>
          <w:trHeight w:val="390"/>
        </w:trPr>
        <w:tc>
          <w:tcPr>
            <w:tcW w:w="2132" w:type="pct"/>
            <w:hideMark/>
          </w:tcPr>
          <w:p w14:paraId="2A4CED06"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tc>
        <w:tc>
          <w:tcPr>
            <w:tcW w:w="786" w:type="pct"/>
            <w:hideMark/>
          </w:tcPr>
          <w:p w14:paraId="642DD20C"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CE0128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B332AF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05043DD8" w14:textId="079AA0A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8C1B751" w14:textId="77777777" w:rsidTr="0023757D">
        <w:trPr>
          <w:trHeight w:val="195"/>
        </w:trPr>
        <w:tc>
          <w:tcPr>
            <w:tcW w:w="2132" w:type="pct"/>
            <w:hideMark/>
          </w:tcPr>
          <w:p w14:paraId="406D3C56"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витрати на оплату праці</w:t>
            </w:r>
          </w:p>
        </w:tc>
        <w:tc>
          <w:tcPr>
            <w:tcW w:w="786" w:type="pct"/>
            <w:hideMark/>
          </w:tcPr>
          <w:p w14:paraId="39B07B5F"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279B3F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1F9FD5F"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7E79FBE7" w14:textId="5211FB6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79EDD366" w14:textId="77777777" w:rsidTr="0023757D">
        <w:trPr>
          <w:trHeight w:val="270"/>
        </w:trPr>
        <w:tc>
          <w:tcPr>
            <w:tcW w:w="2132" w:type="pct"/>
            <w:hideMark/>
          </w:tcPr>
          <w:p w14:paraId="2AA27592"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lastRenderedPageBreak/>
              <w:t>витрати на оплату праці апарату управління підприємством</w:t>
            </w:r>
          </w:p>
        </w:tc>
        <w:tc>
          <w:tcPr>
            <w:tcW w:w="786" w:type="pct"/>
            <w:hideMark/>
          </w:tcPr>
          <w:p w14:paraId="35851F08"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4F044A3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29F6DA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93D90ED" w14:textId="16E6D5B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40D7E085" w14:textId="77777777" w:rsidTr="0023757D">
        <w:trPr>
          <w:trHeight w:val="75"/>
        </w:trPr>
        <w:tc>
          <w:tcPr>
            <w:tcW w:w="2132" w:type="pct"/>
            <w:hideMark/>
          </w:tcPr>
          <w:p w14:paraId="33D3E133"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єдиний внесок на загальнообов’язкове державне соціальне страхування</w:t>
            </w:r>
          </w:p>
        </w:tc>
        <w:tc>
          <w:tcPr>
            <w:tcW w:w="786" w:type="pct"/>
            <w:hideMark/>
          </w:tcPr>
          <w:p w14:paraId="62731FC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7597866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10C57E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19589E4" w14:textId="30A0CC61"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250990F" w14:textId="77777777" w:rsidTr="0023757D">
        <w:trPr>
          <w:trHeight w:val="285"/>
        </w:trPr>
        <w:tc>
          <w:tcPr>
            <w:tcW w:w="2132" w:type="pct"/>
            <w:hideMark/>
          </w:tcPr>
          <w:p w14:paraId="34CD2F59" w14:textId="63B94F35" w:rsidR="00D2796E" w:rsidRPr="00D2796E" w:rsidRDefault="00C825DD" w:rsidP="00D2796E">
            <w:pPr>
              <w:spacing w:before="150" w:after="150" w:line="240" w:lineRule="auto"/>
              <w:rPr>
                <w:rFonts w:ascii="Times New Roman" w:eastAsia="Times New Roman" w:hAnsi="Times New Roman" w:cs="Times New Roman"/>
                <w:sz w:val="24"/>
                <w:szCs w:val="24"/>
                <w:lang w:eastAsia="uk-UA"/>
              </w:rPr>
            </w:pPr>
            <w:r w:rsidRPr="00F750B2">
              <w:rPr>
                <w:rFonts w:ascii="Times New Roman" w:eastAsia="Times New Roman" w:hAnsi="Times New Roman" w:cs="Times New Roman"/>
                <w:bCs/>
                <w:sz w:val="20"/>
                <w:szCs w:val="20"/>
                <w:lang w:eastAsia="uk-UA"/>
              </w:rPr>
              <w:t>єдиний внесок</w:t>
            </w:r>
            <w:r w:rsidRPr="00F750B2">
              <w:rPr>
                <w:rFonts w:ascii="Times New Roman" w:eastAsia="Times New Roman" w:hAnsi="Times New Roman" w:cs="Times New Roman"/>
                <w:b/>
                <w:bCs/>
                <w:sz w:val="20"/>
                <w:szCs w:val="20"/>
                <w:lang w:eastAsia="uk-UA"/>
              </w:rPr>
              <w:t xml:space="preserve"> </w:t>
            </w:r>
            <w:r w:rsidR="00D2796E" w:rsidRPr="00F750B2">
              <w:rPr>
                <w:rFonts w:ascii="Times New Roman" w:eastAsia="Times New Roman" w:hAnsi="Times New Roman" w:cs="Times New Roman"/>
                <w:sz w:val="20"/>
                <w:szCs w:val="20"/>
                <w:lang w:eastAsia="uk-UA"/>
              </w:rPr>
              <w:t>на</w:t>
            </w:r>
            <w:r w:rsidR="00D2796E" w:rsidRPr="00D2796E">
              <w:rPr>
                <w:rFonts w:ascii="Times New Roman" w:eastAsia="Times New Roman" w:hAnsi="Times New Roman" w:cs="Times New Roman"/>
                <w:sz w:val="20"/>
                <w:szCs w:val="20"/>
                <w:lang w:eastAsia="uk-UA"/>
              </w:rPr>
              <w:t xml:space="preserve"> загальнообов’язкове державне соціальне страхування апарату управління підприємством</w:t>
            </w:r>
          </w:p>
        </w:tc>
        <w:tc>
          <w:tcPr>
            <w:tcW w:w="786" w:type="pct"/>
            <w:hideMark/>
          </w:tcPr>
          <w:p w14:paraId="3E9E4BC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9CE51C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B2457D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C4AF2C8" w14:textId="23CD805A"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C04C5D7" w14:textId="77777777" w:rsidTr="0023757D">
        <w:trPr>
          <w:trHeight w:val="255"/>
        </w:trPr>
        <w:tc>
          <w:tcPr>
            <w:tcW w:w="2132" w:type="pct"/>
            <w:hideMark/>
          </w:tcPr>
          <w:p w14:paraId="690C82FA" w14:textId="57209253"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амортиза</w:t>
            </w:r>
            <w:r w:rsidRPr="00F750B2">
              <w:rPr>
                <w:rFonts w:ascii="Times New Roman" w:eastAsia="Times New Roman" w:hAnsi="Times New Roman" w:cs="Times New Roman"/>
                <w:b/>
                <w:bCs/>
                <w:sz w:val="20"/>
                <w:szCs w:val="20"/>
                <w:lang w:eastAsia="uk-UA"/>
              </w:rPr>
              <w:t>ці</w:t>
            </w:r>
            <w:r w:rsidR="006B22CD" w:rsidRPr="00F750B2">
              <w:rPr>
                <w:rFonts w:ascii="Times New Roman" w:eastAsia="Times New Roman" w:hAnsi="Times New Roman" w:cs="Times New Roman"/>
                <w:b/>
                <w:bCs/>
                <w:sz w:val="20"/>
                <w:szCs w:val="20"/>
                <w:lang w:eastAsia="uk-UA"/>
              </w:rPr>
              <w:t>я</w:t>
            </w:r>
          </w:p>
        </w:tc>
        <w:tc>
          <w:tcPr>
            <w:tcW w:w="786" w:type="pct"/>
            <w:hideMark/>
          </w:tcPr>
          <w:p w14:paraId="2009A94F"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DB1092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BB9D62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3591845" w14:textId="1DC1D1B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422FE9D" w14:textId="77777777" w:rsidTr="0023757D">
        <w:trPr>
          <w:trHeight w:val="390"/>
        </w:trPr>
        <w:tc>
          <w:tcPr>
            <w:tcW w:w="2132" w:type="pct"/>
            <w:hideMark/>
          </w:tcPr>
          <w:p w14:paraId="4E269A7A" w14:textId="0352B882" w:rsidR="00D2796E" w:rsidRPr="00D2796E" w:rsidRDefault="00F750B2" w:rsidP="00D2796E">
            <w:pPr>
              <w:spacing w:before="150"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0"/>
                <w:szCs w:val="20"/>
                <w:lang w:eastAsia="uk-UA"/>
              </w:rPr>
              <w:t>а</w:t>
            </w:r>
            <w:r w:rsidR="00D2796E" w:rsidRPr="00D2796E">
              <w:rPr>
                <w:rFonts w:ascii="Times New Roman" w:eastAsia="Times New Roman" w:hAnsi="Times New Roman" w:cs="Times New Roman"/>
                <w:sz w:val="20"/>
                <w:szCs w:val="20"/>
                <w:lang w:eastAsia="uk-UA"/>
              </w:rPr>
              <w:t>мортизац</w:t>
            </w:r>
            <w:r w:rsidR="00D2796E" w:rsidRPr="00F750B2">
              <w:rPr>
                <w:rFonts w:ascii="Times New Roman" w:eastAsia="Times New Roman" w:hAnsi="Times New Roman" w:cs="Times New Roman"/>
                <w:sz w:val="20"/>
                <w:szCs w:val="20"/>
                <w:lang w:eastAsia="uk-UA"/>
              </w:rPr>
              <w:t>і</w:t>
            </w:r>
            <w:r w:rsidR="006B22CD" w:rsidRPr="00F750B2">
              <w:rPr>
                <w:rFonts w:ascii="Times New Roman" w:eastAsia="Times New Roman" w:hAnsi="Times New Roman" w:cs="Times New Roman"/>
                <w:sz w:val="20"/>
                <w:szCs w:val="20"/>
                <w:lang w:eastAsia="uk-UA"/>
              </w:rPr>
              <w:t>я</w:t>
            </w:r>
            <w:r w:rsidRPr="00F750B2">
              <w:rPr>
                <w:rFonts w:ascii="Times New Roman" w:eastAsia="Times New Roman" w:hAnsi="Times New Roman" w:cs="Times New Roman"/>
                <w:sz w:val="20"/>
                <w:szCs w:val="20"/>
                <w:lang w:eastAsia="uk-UA"/>
              </w:rPr>
              <w:t xml:space="preserve"> </w:t>
            </w:r>
            <w:r w:rsidR="00D2796E" w:rsidRPr="00F750B2">
              <w:rPr>
                <w:rFonts w:ascii="Times New Roman" w:eastAsia="Times New Roman" w:hAnsi="Times New Roman" w:cs="Times New Roman"/>
                <w:sz w:val="20"/>
                <w:szCs w:val="20"/>
                <w:lang w:eastAsia="uk-UA"/>
              </w:rPr>
              <w:t>основних</w:t>
            </w:r>
            <w:r w:rsidR="00D2796E" w:rsidRPr="00D2796E">
              <w:rPr>
                <w:rFonts w:ascii="Times New Roman" w:eastAsia="Times New Roman" w:hAnsi="Times New Roman" w:cs="Times New Roman"/>
                <w:sz w:val="20"/>
                <w:szCs w:val="20"/>
                <w:lang w:eastAsia="uk-UA"/>
              </w:rPr>
              <w:t xml:space="preserve"> засобів, інших необоротних матеріальних і нематеріальних активів адміністративного призначення</w:t>
            </w:r>
          </w:p>
        </w:tc>
        <w:tc>
          <w:tcPr>
            <w:tcW w:w="786" w:type="pct"/>
            <w:hideMark/>
          </w:tcPr>
          <w:p w14:paraId="3A011E33"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7F0693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D02136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3AFA393" w14:textId="2F981FB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79701179" w14:textId="77777777" w:rsidTr="0023757D">
        <w:trPr>
          <w:trHeight w:val="255"/>
        </w:trPr>
        <w:tc>
          <w:tcPr>
            <w:tcW w:w="2132" w:type="pct"/>
            <w:hideMark/>
          </w:tcPr>
          <w:p w14:paraId="5D8EC06C"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b/>
                <w:bCs/>
                <w:sz w:val="20"/>
                <w:szCs w:val="20"/>
                <w:lang w:eastAsia="uk-UA"/>
              </w:rPr>
              <w:t>інші витрати</w:t>
            </w:r>
          </w:p>
        </w:tc>
        <w:tc>
          <w:tcPr>
            <w:tcW w:w="786" w:type="pct"/>
            <w:hideMark/>
          </w:tcPr>
          <w:p w14:paraId="4878E4F2"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60F3FF77"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0B9C531F"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072D8C67" w14:textId="7A05AA6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3931D1A7" w14:textId="77777777" w:rsidTr="0023757D">
        <w:trPr>
          <w:trHeight w:val="345"/>
        </w:trPr>
        <w:tc>
          <w:tcPr>
            <w:tcW w:w="2132" w:type="pct"/>
            <w:hideMark/>
          </w:tcPr>
          <w:p w14:paraId="5B5B48CA"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 xml:space="preserve">витрати на оплату службових </w:t>
            </w:r>
            <w:proofErr w:type="spellStart"/>
            <w:r w:rsidRPr="00D2796E">
              <w:rPr>
                <w:rFonts w:ascii="Times New Roman" w:eastAsia="Times New Roman" w:hAnsi="Times New Roman" w:cs="Times New Roman"/>
                <w:sz w:val="20"/>
                <w:szCs w:val="20"/>
                <w:lang w:eastAsia="uk-UA"/>
              </w:rPr>
              <w:t>відряджень</w:t>
            </w:r>
            <w:proofErr w:type="spellEnd"/>
            <w:r w:rsidRPr="00D2796E">
              <w:rPr>
                <w:rFonts w:ascii="Times New Roman" w:eastAsia="Times New Roman" w:hAnsi="Times New Roman" w:cs="Times New Roman"/>
                <w:sz w:val="20"/>
                <w:szCs w:val="20"/>
                <w:lang w:eastAsia="uk-UA"/>
              </w:rPr>
              <w:t xml:space="preserve"> (у тому числі апарату управління) у межах норм, передбачених чинним законодавством України</w:t>
            </w:r>
          </w:p>
        </w:tc>
        <w:tc>
          <w:tcPr>
            <w:tcW w:w="786" w:type="pct"/>
            <w:hideMark/>
          </w:tcPr>
          <w:p w14:paraId="580454B5"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3932901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63CF01F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78A8C37" w14:textId="4668674C"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EF23153" w14:textId="77777777" w:rsidTr="0023757D">
        <w:trPr>
          <w:trHeight w:val="165"/>
        </w:trPr>
        <w:tc>
          <w:tcPr>
            <w:tcW w:w="2132" w:type="pct"/>
            <w:hideMark/>
          </w:tcPr>
          <w:p w14:paraId="4744CBE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оплату послуг зв’язку (поштовий, телеграфний, телефонний, телефакс тощо)</w:t>
            </w:r>
          </w:p>
        </w:tc>
        <w:tc>
          <w:tcPr>
            <w:tcW w:w="786" w:type="pct"/>
            <w:hideMark/>
          </w:tcPr>
          <w:p w14:paraId="3550689D"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68CA323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FF63AE2"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43DB916" w14:textId="2E4FBBE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D0F0159" w14:textId="77777777" w:rsidTr="0023757D">
        <w:trPr>
          <w:trHeight w:val="345"/>
        </w:trPr>
        <w:tc>
          <w:tcPr>
            <w:tcW w:w="2132" w:type="pct"/>
            <w:hideMark/>
          </w:tcPr>
          <w:p w14:paraId="4C5AF6B2"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пов’язані з оплатою послуг комерційних банків та інших кредитно-фінансових установ, включаючи оплату за розрахункове обслуговування</w:t>
            </w:r>
          </w:p>
        </w:tc>
        <w:tc>
          <w:tcPr>
            <w:tcW w:w="786" w:type="pct"/>
            <w:hideMark/>
          </w:tcPr>
          <w:p w14:paraId="58B6F7AF"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7E48D96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BCA172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22E7AE1B" w14:textId="43E973D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3C8E253E" w14:textId="77777777" w:rsidTr="0023757D">
        <w:trPr>
          <w:trHeight w:val="390"/>
        </w:trPr>
        <w:tc>
          <w:tcPr>
            <w:tcW w:w="2132" w:type="pct"/>
            <w:hideMark/>
          </w:tcPr>
          <w:p w14:paraId="33B38E5F"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пов’язані зі сплатою податків і зборів, крім витрат, що включаються до виробничої собівартості</w:t>
            </w:r>
          </w:p>
        </w:tc>
        <w:tc>
          <w:tcPr>
            <w:tcW w:w="786" w:type="pct"/>
            <w:hideMark/>
          </w:tcPr>
          <w:p w14:paraId="0A69A097"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11427EA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3F0260B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5944B986" w14:textId="6E0D41B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186D3CA" w14:textId="77777777" w:rsidTr="0023757D">
        <w:trPr>
          <w:trHeight w:val="210"/>
        </w:trPr>
        <w:tc>
          <w:tcPr>
            <w:tcW w:w="2132" w:type="pct"/>
            <w:hideMark/>
          </w:tcPr>
          <w:p w14:paraId="34379404" w14:textId="08D67DCF"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на оренду основних засобів (будівель, приміщень, обладнання тощо)</w:t>
            </w:r>
          </w:p>
        </w:tc>
        <w:tc>
          <w:tcPr>
            <w:tcW w:w="786" w:type="pct"/>
            <w:hideMark/>
          </w:tcPr>
          <w:p w14:paraId="533624C9"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5F2E09D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043D2AC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99E85FB" w14:textId="0D9FD29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9F1E97D" w14:textId="77777777" w:rsidTr="0023757D">
        <w:trPr>
          <w:trHeight w:val="255"/>
        </w:trPr>
        <w:tc>
          <w:tcPr>
            <w:tcW w:w="2132" w:type="pct"/>
            <w:hideMark/>
          </w:tcPr>
          <w:p w14:paraId="7C77AB8B" w14:textId="06D23480"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 xml:space="preserve">витрати на </w:t>
            </w:r>
            <w:bookmarkStart w:id="1" w:name="_GoBack"/>
            <w:r w:rsidRPr="006A0ED2">
              <w:rPr>
                <w:rFonts w:ascii="Times New Roman" w:eastAsia="Times New Roman" w:hAnsi="Times New Roman" w:cs="Times New Roman"/>
                <w:sz w:val="20"/>
                <w:szCs w:val="20"/>
                <w:lang w:eastAsia="uk-UA"/>
              </w:rPr>
              <w:t>проведення</w:t>
            </w:r>
            <w:r w:rsidR="00D95784" w:rsidRPr="006A0ED2">
              <w:rPr>
                <w:rFonts w:ascii="Times New Roman" w:eastAsia="Times New Roman" w:hAnsi="Times New Roman" w:cs="Times New Roman"/>
                <w:sz w:val="20"/>
                <w:szCs w:val="20"/>
                <w:lang w:val="ru-RU" w:eastAsia="uk-UA"/>
              </w:rPr>
              <w:t xml:space="preserve"> </w:t>
            </w:r>
            <w:bookmarkStart w:id="2" w:name="_Hlk214964994"/>
            <w:r w:rsidR="001C2E1B" w:rsidRPr="006A0ED2">
              <w:rPr>
                <w:rFonts w:ascii="Times New Roman" w:hAnsi="Times New Roman" w:cs="Times New Roman"/>
                <w:bCs/>
                <w:sz w:val="20"/>
                <w:szCs w:val="20"/>
              </w:rPr>
              <w:t>обов’язкового аудиту фінансової звітності</w:t>
            </w:r>
            <w:bookmarkEnd w:id="2"/>
            <w:r w:rsidRPr="006A0ED2">
              <w:rPr>
                <w:rFonts w:ascii="Times New Roman" w:eastAsia="Times New Roman" w:hAnsi="Times New Roman" w:cs="Times New Roman"/>
                <w:sz w:val="20"/>
                <w:szCs w:val="20"/>
                <w:lang w:eastAsia="uk-UA"/>
              </w:rPr>
              <w:t xml:space="preserve"> згідно з чинним законодавством України</w:t>
            </w:r>
            <w:bookmarkEnd w:id="1"/>
          </w:p>
        </w:tc>
        <w:tc>
          <w:tcPr>
            <w:tcW w:w="786" w:type="pct"/>
            <w:hideMark/>
          </w:tcPr>
          <w:p w14:paraId="15FCF86C"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4D303B4"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4E41DA4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4F5F66A7" w14:textId="475DD586"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637B2E4" w14:textId="77777777" w:rsidTr="0023757D">
        <w:trPr>
          <w:trHeight w:val="270"/>
        </w:trPr>
        <w:tc>
          <w:tcPr>
            <w:tcW w:w="2132" w:type="pct"/>
            <w:hideMark/>
          </w:tcPr>
          <w:p w14:paraId="70972B90" w14:textId="77777777" w:rsidR="00D2796E" w:rsidRPr="00D2796E" w:rsidRDefault="00D2796E" w:rsidP="00D2796E">
            <w:pPr>
              <w:spacing w:before="150" w:after="150" w:line="240" w:lineRule="auto"/>
              <w:rPr>
                <w:rFonts w:ascii="Times New Roman" w:eastAsia="Times New Roman" w:hAnsi="Times New Roman" w:cs="Times New Roman"/>
                <w:sz w:val="24"/>
                <w:szCs w:val="24"/>
                <w:lang w:eastAsia="uk-UA"/>
              </w:rPr>
            </w:pPr>
            <w:r w:rsidRPr="00D2796E">
              <w:rPr>
                <w:rFonts w:ascii="Times New Roman" w:eastAsia="Times New Roman" w:hAnsi="Times New Roman" w:cs="Times New Roman"/>
                <w:sz w:val="20"/>
                <w:szCs w:val="20"/>
                <w:lang w:eastAsia="uk-UA"/>
              </w:rPr>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tc>
        <w:tc>
          <w:tcPr>
            <w:tcW w:w="786" w:type="pct"/>
            <w:hideMark/>
          </w:tcPr>
          <w:p w14:paraId="726F1444"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A6976B5"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2AFBB6E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15A56C48"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51F91B09" w14:textId="77777777" w:rsidTr="0023757D">
        <w:trPr>
          <w:trHeight w:val="225"/>
        </w:trPr>
        <w:tc>
          <w:tcPr>
            <w:tcW w:w="2132" w:type="pct"/>
            <w:hideMark/>
          </w:tcPr>
          <w:p w14:paraId="21D6992A" w14:textId="53B2DB4E" w:rsidR="006C5046" w:rsidRPr="001C2E1B"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 xml:space="preserve">витрати на придбання спеціальної літератури для інформаційного забезпечення, у тому числі з </w:t>
            </w:r>
            <w:r w:rsidRPr="006A0ED2">
              <w:rPr>
                <w:rFonts w:ascii="Times New Roman" w:eastAsia="Times New Roman" w:hAnsi="Times New Roman" w:cs="Times New Roman"/>
                <w:sz w:val="20"/>
                <w:szCs w:val="20"/>
                <w:lang w:eastAsia="uk-UA"/>
              </w:rPr>
              <w:t xml:space="preserve">питань чинного законодавства України, і </w:t>
            </w:r>
            <w:proofErr w:type="spellStart"/>
            <w:r w:rsidR="001C2E1B" w:rsidRPr="006A0ED2">
              <w:rPr>
                <w:rFonts w:ascii="Times New Roman" w:eastAsia="Times New Roman" w:hAnsi="Times New Roman" w:cs="Times New Roman"/>
                <w:sz w:val="20"/>
                <w:szCs w:val="20"/>
                <w:lang w:val="ru-RU" w:eastAsia="uk-UA"/>
              </w:rPr>
              <w:t>передплату</w:t>
            </w:r>
            <w:proofErr w:type="spellEnd"/>
            <w:r w:rsidRPr="006A0ED2">
              <w:rPr>
                <w:rFonts w:ascii="Times New Roman" w:eastAsia="Times New Roman" w:hAnsi="Times New Roman" w:cs="Times New Roman"/>
                <w:sz w:val="20"/>
                <w:szCs w:val="20"/>
                <w:lang w:eastAsia="uk-UA"/>
              </w:rPr>
              <w:t xml:space="preserve"> спеціалізованих</w:t>
            </w:r>
            <w:r w:rsidRPr="00D2796E">
              <w:rPr>
                <w:rFonts w:ascii="Times New Roman" w:eastAsia="Times New Roman" w:hAnsi="Times New Roman" w:cs="Times New Roman"/>
                <w:sz w:val="20"/>
                <w:szCs w:val="20"/>
                <w:lang w:eastAsia="uk-UA"/>
              </w:rPr>
              <w:t xml:space="preserve"> періодичних видань</w:t>
            </w:r>
          </w:p>
        </w:tc>
        <w:tc>
          <w:tcPr>
            <w:tcW w:w="786" w:type="pct"/>
            <w:hideMark/>
          </w:tcPr>
          <w:p w14:paraId="40BEACE9"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6DFC398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003752C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656E427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6166DDC" w14:textId="77777777" w:rsidTr="0023757D">
        <w:trPr>
          <w:trHeight w:val="525"/>
        </w:trPr>
        <w:tc>
          <w:tcPr>
            <w:tcW w:w="2132" w:type="pct"/>
            <w:hideMark/>
          </w:tcPr>
          <w:p w14:paraId="086369B9"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lastRenderedPageBreak/>
              <w:t>витрати на обслуговування процесу управління (забезпечення охорони об’єктів загальногосподарського призначення тощо)</w:t>
            </w:r>
          </w:p>
          <w:p w14:paraId="5C8F12E4" w14:textId="5DC27731"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77D4A0DF" w14:textId="75D54F2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332C885E" w14:textId="134A13A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4E7853A4" w14:textId="1BE01BEC"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792D9E14" w14:textId="7F9C000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4F46C52B" w14:textId="77777777" w:rsidTr="0023757D">
        <w:trPr>
          <w:trHeight w:val="255"/>
        </w:trPr>
        <w:tc>
          <w:tcPr>
            <w:tcW w:w="2132" w:type="pct"/>
            <w:hideMark/>
          </w:tcPr>
          <w:p w14:paraId="48BBCBE7"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витрати, пов’язані із супроводженням програмного забезпечення, користуванням інформаційними мережами, програмними продуктами, роялті</w:t>
            </w:r>
          </w:p>
          <w:p w14:paraId="05816FDC" w14:textId="68DB864B"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51AD03B7"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7574778B"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101AF733"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758A21FC"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78ACA9EB" w14:textId="77777777" w:rsidTr="0023757D">
        <w:trPr>
          <w:trHeight w:val="180"/>
        </w:trPr>
        <w:tc>
          <w:tcPr>
            <w:tcW w:w="2132" w:type="pct"/>
            <w:hideMark/>
          </w:tcPr>
          <w:p w14:paraId="3E352D33"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інші витрати, що не знайшли відображення в попередніх статтях</w:t>
            </w:r>
          </w:p>
          <w:p w14:paraId="6906EFF0" w14:textId="678A42E5"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4A2FCAE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26884F1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564F2EA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36BC80F9"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67C56035" w14:textId="77777777" w:rsidTr="0023757D">
        <w:trPr>
          <w:trHeight w:val="255"/>
        </w:trPr>
        <w:tc>
          <w:tcPr>
            <w:tcW w:w="2132" w:type="pct"/>
            <w:hideMark/>
          </w:tcPr>
          <w:p w14:paraId="26D89E3D" w14:textId="77777777" w:rsidR="00D2796E" w:rsidRDefault="00D2796E" w:rsidP="00D2796E">
            <w:pPr>
              <w:spacing w:before="150" w:after="150" w:line="240" w:lineRule="auto"/>
              <w:rPr>
                <w:rFonts w:ascii="Times New Roman" w:eastAsia="Times New Roman" w:hAnsi="Times New Roman" w:cs="Times New Roman"/>
                <w:b/>
                <w:bCs/>
                <w:sz w:val="20"/>
                <w:szCs w:val="20"/>
                <w:lang w:eastAsia="uk-UA"/>
              </w:rPr>
            </w:pPr>
            <w:r w:rsidRPr="00D2796E">
              <w:rPr>
                <w:rFonts w:ascii="Times New Roman" w:eastAsia="Times New Roman" w:hAnsi="Times New Roman" w:cs="Times New Roman"/>
                <w:b/>
                <w:bCs/>
                <w:sz w:val="20"/>
                <w:szCs w:val="20"/>
                <w:lang w:eastAsia="uk-UA"/>
              </w:rPr>
              <w:t>Інші операційні витрати, у т. ч.:</w:t>
            </w:r>
          </w:p>
          <w:p w14:paraId="12FF97EE" w14:textId="1913C77C"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72744D2A" w14:textId="77777777" w:rsidR="00D2796E" w:rsidRPr="00D2796E" w:rsidRDefault="00D2796E" w:rsidP="00D2796E">
            <w:pPr>
              <w:spacing w:after="0" w:line="240" w:lineRule="auto"/>
              <w:rPr>
                <w:rFonts w:ascii="Times New Roman" w:eastAsia="Times New Roman" w:hAnsi="Times New Roman" w:cs="Times New Roman"/>
                <w:sz w:val="24"/>
                <w:szCs w:val="24"/>
                <w:lang w:eastAsia="uk-UA"/>
              </w:rPr>
            </w:pPr>
          </w:p>
        </w:tc>
        <w:tc>
          <w:tcPr>
            <w:tcW w:w="687" w:type="pct"/>
            <w:hideMark/>
          </w:tcPr>
          <w:p w14:paraId="72C13DF0"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678" w:type="pct"/>
            <w:hideMark/>
          </w:tcPr>
          <w:p w14:paraId="7A721FCA"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c>
          <w:tcPr>
            <w:tcW w:w="717" w:type="pct"/>
            <w:hideMark/>
          </w:tcPr>
          <w:p w14:paraId="073A6F1D" w14:textId="77777777" w:rsidR="00D2796E" w:rsidRPr="00D2796E" w:rsidRDefault="00D2796E" w:rsidP="00D2796E">
            <w:pPr>
              <w:spacing w:after="0" w:line="240" w:lineRule="auto"/>
              <w:rPr>
                <w:rFonts w:ascii="Times New Roman" w:eastAsia="Times New Roman" w:hAnsi="Times New Roman" w:cs="Times New Roman"/>
                <w:sz w:val="20"/>
                <w:szCs w:val="20"/>
                <w:lang w:eastAsia="uk-UA"/>
              </w:rPr>
            </w:pPr>
          </w:p>
        </w:tc>
      </w:tr>
      <w:tr w:rsidR="00D2796E" w:rsidRPr="00D2796E" w14:paraId="1D26C203" w14:textId="77777777" w:rsidTr="0023757D">
        <w:trPr>
          <w:trHeight w:val="255"/>
        </w:trPr>
        <w:tc>
          <w:tcPr>
            <w:tcW w:w="2132" w:type="pct"/>
            <w:hideMark/>
          </w:tcPr>
          <w:p w14:paraId="03197574" w14:textId="77777777" w:rsidR="00D2796E" w:rsidRDefault="00D2796E" w:rsidP="00D2796E">
            <w:pPr>
              <w:spacing w:before="150" w:after="150" w:line="240" w:lineRule="auto"/>
              <w:rPr>
                <w:rFonts w:ascii="Times New Roman" w:eastAsia="Times New Roman" w:hAnsi="Times New Roman" w:cs="Times New Roman"/>
                <w:b/>
                <w:bCs/>
                <w:sz w:val="20"/>
                <w:szCs w:val="20"/>
                <w:lang w:eastAsia="uk-UA"/>
              </w:rPr>
            </w:pPr>
            <w:r w:rsidRPr="00D2796E">
              <w:rPr>
                <w:rFonts w:ascii="Times New Roman" w:eastAsia="Times New Roman" w:hAnsi="Times New Roman" w:cs="Times New Roman"/>
                <w:b/>
                <w:bCs/>
                <w:sz w:val="20"/>
                <w:szCs w:val="20"/>
                <w:lang w:eastAsia="uk-UA"/>
              </w:rPr>
              <w:t>на соціальний розвиток</w:t>
            </w:r>
          </w:p>
          <w:p w14:paraId="1A08C5B2" w14:textId="5F3B5ADB"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5D94FB7A" w14:textId="1EBAF25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378071E7" w14:textId="04EF40E2"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559E8B0D" w14:textId="6998D2B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3E494D49" w14:textId="26D80A8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2DF9A9A7" w14:textId="77777777" w:rsidTr="0023757D">
        <w:trPr>
          <w:trHeight w:val="255"/>
        </w:trPr>
        <w:tc>
          <w:tcPr>
            <w:tcW w:w="2132" w:type="pct"/>
            <w:hideMark/>
          </w:tcPr>
          <w:p w14:paraId="7217F6DD"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w:t>
            </w:r>
            <w:r w:rsidRPr="00F750B2">
              <w:rPr>
                <w:rFonts w:ascii="Times New Roman" w:eastAsia="Times New Roman" w:hAnsi="Times New Roman" w:cs="Times New Roman"/>
                <w:b/>
                <w:sz w:val="20"/>
                <w:szCs w:val="20"/>
                <w:lang w:eastAsia="uk-UA"/>
              </w:rPr>
              <w:t>і</w:t>
            </w:r>
            <w:r w:rsidR="00882746" w:rsidRPr="00F750B2">
              <w:rPr>
                <w:rFonts w:ascii="Times New Roman" w:eastAsia="Times New Roman" w:hAnsi="Times New Roman" w:cs="Times New Roman"/>
                <w:b/>
                <w:sz w:val="20"/>
                <w:szCs w:val="20"/>
                <w:lang w:eastAsia="uk-UA"/>
              </w:rPr>
              <w:t>ю</w:t>
            </w:r>
            <w:r w:rsidRPr="00D2796E">
              <w:rPr>
                <w:rFonts w:ascii="Times New Roman" w:eastAsia="Times New Roman" w:hAnsi="Times New Roman" w:cs="Times New Roman"/>
                <w:sz w:val="20"/>
                <w:szCs w:val="20"/>
                <w:lang w:eastAsia="uk-UA"/>
              </w:rPr>
              <w:t>, витрати на проведення поточного ремонту приміщення, на опалення, водопостачання, електропостачання</w:t>
            </w:r>
          </w:p>
          <w:p w14:paraId="72EDB46B" w14:textId="02BB9A38"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242F6A14" w14:textId="4917927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A0548D2" w14:textId="2859A68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47C78C09" w14:textId="1256931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4D5416C0" w14:textId="1E54969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4BDF4DD" w14:textId="77777777" w:rsidTr="0023757D">
        <w:trPr>
          <w:trHeight w:val="255"/>
        </w:trPr>
        <w:tc>
          <w:tcPr>
            <w:tcW w:w="2132" w:type="pct"/>
            <w:hideMark/>
          </w:tcPr>
          <w:p w14:paraId="1F7DF0DD"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кошти, що відраховуються професійним спілкам</w:t>
            </w:r>
          </w:p>
          <w:p w14:paraId="5DEE46B4" w14:textId="1C6666AE"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191B5BD5" w14:textId="2E23020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99EB832" w14:textId="10112C65"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690D2A62" w14:textId="7DE0E97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391FD1BC" w14:textId="3869851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4BFE39F5" w14:textId="77777777" w:rsidTr="0023757D">
        <w:trPr>
          <w:trHeight w:val="320"/>
        </w:trPr>
        <w:tc>
          <w:tcPr>
            <w:tcW w:w="2132" w:type="pct"/>
            <w:hideMark/>
          </w:tcPr>
          <w:p w14:paraId="0C6201F4" w14:textId="77777777" w:rsidR="00D2796E" w:rsidRDefault="00D2796E" w:rsidP="00D2796E">
            <w:pPr>
              <w:spacing w:before="150" w:after="150" w:line="240" w:lineRule="auto"/>
              <w:rPr>
                <w:rFonts w:ascii="Times New Roman" w:eastAsia="Times New Roman" w:hAnsi="Times New Roman" w:cs="Times New Roman"/>
                <w:b/>
                <w:bCs/>
                <w:sz w:val="20"/>
                <w:szCs w:val="20"/>
                <w:lang w:eastAsia="uk-UA"/>
              </w:rPr>
            </w:pPr>
            <w:r w:rsidRPr="00D2796E">
              <w:rPr>
                <w:rFonts w:ascii="Times New Roman" w:eastAsia="Times New Roman" w:hAnsi="Times New Roman" w:cs="Times New Roman"/>
                <w:b/>
                <w:bCs/>
                <w:sz w:val="20"/>
                <w:szCs w:val="20"/>
                <w:lang w:eastAsia="uk-UA"/>
              </w:rPr>
              <w:t>на дослідження і розробку</w:t>
            </w:r>
          </w:p>
          <w:p w14:paraId="56677469" w14:textId="3D8E04FC"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59E9CDD7" w14:textId="4322F3B5"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98A87F2" w14:textId="2EEC3D5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528E3CC2" w14:textId="37FB3E7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35BDC368" w14:textId="3C97B2E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4F70369" w14:textId="77777777" w:rsidTr="0023757D">
        <w:trPr>
          <w:trHeight w:val="255"/>
        </w:trPr>
        <w:tc>
          <w:tcPr>
            <w:tcW w:w="2132" w:type="pct"/>
            <w:hideMark/>
          </w:tcPr>
          <w:p w14:paraId="20DE1521" w14:textId="44064061"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 xml:space="preserve">витрати на науково-дослідні та </w:t>
            </w:r>
            <w:proofErr w:type="spellStart"/>
            <w:r w:rsidRPr="00D2796E">
              <w:rPr>
                <w:rFonts w:ascii="Times New Roman" w:eastAsia="Times New Roman" w:hAnsi="Times New Roman" w:cs="Times New Roman"/>
                <w:sz w:val="20"/>
                <w:szCs w:val="20"/>
                <w:lang w:eastAsia="uk-UA"/>
              </w:rPr>
              <w:t>про</w:t>
            </w:r>
            <w:r w:rsidR="00322B54">
              <w:rPr>
                <w:rFonts w:ascii="Times New Roman" w:eastAsia="Times New Roman" w:hAnsi="Times New Roman" w:cs="Times New Roman"/>
                <w:sz w:val="20"/>
                <w:szCs w:val="20"/>
                <w:lang w:eastAsia="uk-UA"/>
              </w:rPr>
              <w:t>є</w:t>
            </w:r>
            <w:r w:rsidRPr="00D2796E">
              <w:rPr>
                <w:rFonts w:ascii="Times New Roman" w:eastAsia="Times New Roman" w:hAnsi="Times New Roman" w:cs="Times New Roman"/>
                <w:sz w:val="20"/>
                <w:szCs w:val="20"/>
                <w:lang w:eastAsia="uk-UA"/>
              </w:rPr>
              <w:t>ктно</w:t>
            </w:r>
            <w:proofErr w:type="spellEnd"/>
            <w:r w:rsidRPr="00D2796E">
              <w:rPr>
                <w:rFonts w:ascii="Times New Roman" w:eastAsia="Times New Roman" w:hAnsi="Times New Roman" w:cs="Times New Roman"/>
                <w:sz w:val="20"/>
                <w:szCs w:val="20"/>
                <w:lang w:eastAsia="uk-UA"/>
              </w:rPr>
              <w:t>-конструкторські роботи</w:t>
            </w:r>
          </w:p>
          <w:p w14:paraId="73024949" w14:textId="26F1AF48"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39C27B31" w14:textId="22B7C5DA"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4FCE26F" w14:textId="7F2E05EC"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2487C226" w14:textId="23A624C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072FEF2B" w14:textId="37DC9086"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BBFEA03" w14:textId="77777777" w:rsidTr="0023757D">
        <w:trPr>
          <w:trHeight w:val="311"/>
        </w:trPr>
        <w:tc>
          <w:tcPr>
            <w:tcW w:w="2132" w:type="pct"/>
            <w:hideMark/>
          </w:tcPr>
          <w:p w14:paraId="01D60783" w14:textId="7143A217" w:rsidR="00D2796E" w:rsidRDefault="006C5046" w:rsidP="00D2796E">
            <w:pPr>
              <w:spacing w:before="150" w:after="150" w:line="240" w:lineRule="auto"/>
              <w:rPr>
                <w:rFonts w:ascii="Times New Roman" w:eastAsia="Times New Roman" w:hAnsi="Times New Roman" w:cs="Times New Roman"/>
                <w:b/>
                <w:bCs/>
                <w:sz w:val="20"/>
                <w:szCs w:val="20"/>
                <w:lang w:eastAsia="uk-UA"/>
              </w:rPr>
            </w:pPr>
            <w:r w:rsidRPr="00D2796E">
              <w:rPr>
                <w:rFonts w:ascii="Times New Roman" w:eastAsia="Times New Roman" w:hAnsi="Times New Roman" w:cs="Times New Roman"/>
                <w:b/>
                <w:bCs/>
                <w:sz w:val="20"/>
                <w:szCs w:val="20"/>
                <w:lang w:eastAsia="uk-UA"/>
              </w:rPr>
              <w:t>І</w:t>
            </w:r>
            <w:r w:rsidR="00D2796E" w:rsidRPr="00D2796E">
              <w:rPr>
                <w:rFonts w:ascii="Times New Roman" w:eastAsia="Times New Roman" w:hAnsi="Times New Roman" w:cs="Times New Roman"/>
                <w:b/>
                <w:bCs/>
                <w:sz w:val="20"/>
                <w:szCs w:val="20"/>
                <w:lang w:eastAsia="uk-UA"/>
              </w:rPr>
              <w:t>нші</w:t>
            </w:r>
          </w:p>
          <w:p w14:paraId="234AB53A" w14:textId="51211CE2"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041742FF" w14:textId="23A1360E"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0B71EAB6" w14:textId="7AA3749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2C45F2D4" w14:textId="6BBD16A7"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12817706" w14:textId="501AF54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FB938C0" w14:textId="77777777" w:rsidTr="0023757D">
        <w:trPr>
          <w:trHeight w:val="817"/>
        </w:trPr>
        <w:tc>
          <w:tcPr>
            <w:tcW w:w="2132" w:type="pct"/>
            <w:hideMark/>
          </w:tcPr>
          <w:p w14:paraId="1B9A1546"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відшкодування витрат Пенсійного фонду України на виплату та доставку пенсій, призначених на пільгових умовах</w:t>
            </w:r>
          </w:p>
          <w:p w14:paraId="5C813DD8" w14:textId="4AAE4BAD"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652E6F9E" w14:textId="3540CBA9"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417CECAC" w14:textId="11D1D99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70904804" w14:textId="3A94CBAC"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6A27B0DF" w14:textId="79565534"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59CC9F5F" w14:textId="77777777" w:rsidTr="0023757D">
        <w:trPr>
          <w:trHeight w:val="349"/>
        </w:trPr>
        <w:tc>
          <w:tcPr>
            <w:tcW w:w="2132" w:type="pct"/>
            <w:hideMark/>
          </w:tcPr>
          <w:p w14:paraId="7F7BFD51" w14:textId="77777777" w:rsidR="00D2796E" w:rsidRDefault="00D2796E" w:rsidP="00D2796E">
            <w:pPr>
              <w:spacing w:before="150" w:after="150" w:line="240" w:lineRule="auto"/>
              <w:rPr>
                <w:rFonts w:ascii="Times New Roman" w:eastAsia="Times New Roman" w:hAnsi="Times New Roman" w:cs="Times New Roman"/>
                <w:b/>
                <w:bCs/>
                <w:sz w:val="20"/>
                <w:szCs w:val="20"/>
                <w:lang w:eastAsia="uk-UA"/>
              </w:rPr>
            </w:pPr>
            <w:r w:rsidRPr="00D2796E">
              <w:rPr>
                <w:rFonts w:ascii="Times New Roman" w:eastAsia="Times New Roman" w:hAnsi="Times New Roman" w:cs="Times New Roman"/>
                <w:b/>
                <w:bCs/>
                <w:sz w:val="20"/>
                <w:szCs w:val="20"/>
                <w:lang w:eastAsia="uk-UA"/>
              </w:rPr>
              <w:t>Фінансові витрати, у т. ч.:</w:t>
            </w:r>
          </w:p>
          <w:p w14:paraId="42072CBE" w14:textId="012EE7B7" w:rsidR="006C5046" w:rsidRPr="006C5046" w:rsidRDefault="006C5046" w:rsidP="00D2796E">
            <w:pPr>
              <w:spacing w:before="150" w:after="150" w:line="240" w:lineRule="auto"/>
              <w:rPr>
                <w:rFonts w:ascii="Times New Roman" w:eastAsia="Times New Roman" w:hAnsi="Times New Roman" w:cs="Times New Roman"/>
                <w:sz w:val="4"/>
                <w:szCs w:val="4"/>
                <w:lang w:eastAsia="uk-UA"/>
              </w:rPr>
            </w:pPr>
          </w:p>
        </w:tc>
        <w:tc>
          <w:tcPr>
            <w:tcW w:w="786" w:type="pct"/>
            <w:hideMark/>
          </w:tcPr>
          <w:p w14:paraId="284C3F47" w14:textId="000FB64A"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102460DC" w14:textId="75D0D4E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5EA49822" w14:textId="678384B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6B6D43BD" w14:textId="3B876B5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0FB15C1D" w14:textId="77777777" w:rsidTr="0023757D">
        <w:trPr>
          <w:trHeight w:val="585"/>
        </w:trPr>
        <w:tc>
          <w:tcPr>
            <w:tcW w:w="2132" w:type="pct"/>
            <w:hideMark/>
          </w:tcPr>
          <w:p w14:paraId="120BCBAE" w14:textId="77777777" w:rsidR="00D2796E" w:rsidRDefault="00D2796E" w:rsidP="00D2796E">
            <w:pPr>
              <w:spacing w:before="150" w:after="150" w:line="240" w:lineRule="auto"/>
              <w:rPr>
                <w:rFonts w:ascii="Times New Roman" w:eastAsia="Times New Roman" w:hAnsi="Times New Roman" w:cs="Times New Roman"/>
                <w:sz w:val="20"/>
                <w:szCs w:val="20"/>
                <w:lang w:eastAsia="uk-UA"/>
              </w:rPr>
            </w:pPr>
            <w:r w:rsidRPr="00D2796E">
              <w:rPr>
                <w:rFonts w:ascii="Times New Roman" w:eastAsia="Times New Roman" w:hAnsi="Times New Roman" w:cs="Times New Roman"/>
                <w:sz w:val="20"/>
                <w:szCs w:val="20"/>
                <w:lang w:eastAsia="uk-UA"/>
              </w:rPr>
              <w:t>сплата відсотків за користування отриманими кредитами</w:t>
            </w:r>
          </w:p>
          <w:p w14:paraId="1A0AE724" w14:textId="52B20237" w:rsidR="006C5046" w:rsidRPr="006C5046" w:rsidRDefault="006C5046" w:rsidP="00D2796E">
            <w:pPr>
              <w:spacing w:before="150" w:after="150" w:line="240" w:lineRule="auto"/>
              <w:rPr>
                <w:rFonts w:ascii="Times New Roman" w:eastAsia="Times New Roman" w:hAnsi="Times New Roman" w:cs="Times New Roman"/>
                <w:sz w:val="4"/>
                <w:szCs w:val="24"/>
                <w:lang w:eastAsia="uk-UA"/>
              </w:rPr>
            </w:pPr>
          </w:p>
        </w:tc>
        <w:tc>
          <w:tcPr>
            <w:tcW w:w="786" w:type="pct"/>
            <w:hideMark/>
          </w:tcPr>
          <w:p w14:paraId="2F520B93" w14:textId="552D18E1"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7992C26B" w14:textId="3E2065C0"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E396FAC" w14:textId="7BEC53C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4C7DC312" w14:textId="34581CF8"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r w:rsidR="00D2796E" w:rsidRPr="00D2796E" w14:paraId="1F727D7B" w14:textId="77777777" w:rsidTr="0023757D">
        <w:trPr>
          <w:trHeight w:val="214"/>
        </w:trPr>
        <w:tc>
          <w:tcPr>
            <w:tcW w:w="2132" w:type="pct"/>
            <w:hideMark/>
          </w:tcPr>
          <w:p w14:paraId="0E2469BA" w14:textId="77777777" w:rsidR="00D2796E" w:rsidRDefault="00D2796E" w:rsidP="00D2796E">
            <w:pPr>
              <w:spacing w:before="150" w:after="150" w:line="240" w:lineRule="auto"/>
              <w:rPr>
                <w:rFonts w:ascii="Times New Roman" w:eastAsia="Times New Roman" w:hAnsi="Times New Roman" w:cs="Times New Roman"/>
                <w:b/>
                <w:bCs/>
                <w:sz w:val="20"/>
                <w:szCs w:val="20"/>
                <w:lang w:eastAsia="uk-UA"/>
              </w:rPr>
            </w:pPr>
            <w:r w:rsidRPr="00D2796E">
              <w:rPr>
                <w:rFonts w:ascii="Times New Roman" w:eastAsia="Times New Roman" w:hAnsi="Times New Roman" w:cs="Times New Roman"/>
                <w:b/>
                <w:bCs/>
                <w:sz w:val="20"/>
                <w:szCs w:val="20"/>
                <w:lang w:eastAsia="uk-UA"/>
              </w:rPr>
              <w:t>Усього витрат</w:t>
            </w:r>
          </w:p>
          <w:p w14:paraId="22277E75" w14:textId="69918190" w:rsidR="006C5046" w:rsidRPr="006C5046" w:rsidRDefault="006C5046" w:rsidP="00D2796E">
            <w:pPr>
              <w:spacing w:before="150" w:after="150" w:line="240" w:lineRule="auto"/>
              <w:rPr>
                <w:rFonts w:ascii="Times New Roman" w:eastAsia="Times New Roman" w:hAnsi="Times New Roman" w:cs="Times New Roman"/>
                <w:sz w:val="2"/>
                <w:szCs w:val="24"/>
                <w:lang w:eastAsia="uk-UA"/>
              </w:rPr>
            </w:pPr>
          </w:p>
        </w:tc>
        <w:tc>
          <w:tcPr>
            <w:tcW w:w="786" w:type="pct"/>
            <w:hideMark/>
          </w:tcPr>
          <w:p w14:paraId="602B11A3" w14:textId="335C17CF"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87" w:type="pct"/>
            <w:hideMark/>
          </w:tcPr>
          <w:p w14:paraId="6F5090D3" w14:textId="6F0A1F23"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678" w:type="pct"/>
            <w:hideMark/>
          </w:tcPr>
          <w:p w14:paraId="00D0DD1A" w14:textId="725971BB"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c>
          <w:tcPr>
            <w:tcW w:w="717" w:type="pct"/>
            <w:hideMark/>
          </w:tcPr>
          <w:p w14:paraId="67BED807" w14:textId="6C6D020D" w:rsidR="00D2796E" w:rsidRPr="00D2796E" w:rsidRDefault="00D2796E" w:rsidP="00D2796E">
            <w:pPr>
              <w:spacing w:before="150" w:after="150" w:line="240" w:lineRule="auto"/>
              <w:jc w:val="center"/>
              <w:rPr>
                <w:rFonts w:ascii="Times New Roman" w:eastAsia="Times New Roman" w:hAnsi="Times New Roman" w:cs="Times New Roman"/>
                <w:sz w:val="24"/>
                <w:szCs w:val="24"/>
                <w:lang w:eastAsia="uk-UA"/>
              </w:rPr>
            </w:pPr>
          </w:p>
        </w:tc>
      </w:tr>
    </w:tbl>
    <w:p w14:paraId="5A6501AA" w14:textId="609E5B17" w:rsidR="00FA2C9A" w:rsidRDefault="00FA2C9A">
      <w:bookmarkStart w:id="3" w:name="n271"/>
      <w:bookmarkEnd w:id="3"/>
    </w:p>
    <w:tbl>
      <w:tblPr>
        <w:tblW w:w="5000" w:type="pct"/>
        <w:shd w:val="clear" w:color="auto" w:fill="FFFFFF"/>
        <w:tblCellMar>
          <w:left w:w="0" w:type="dxa"/>
          <w:right w:w="0" w:type="dxa"/>
        </w:tblCellMar>
        <w:tblLook w:val="04A0" w:firstRow="1" w:lastRow="0" w:firstColumn="1" w:lastColumn="0" w:noHBand="0" w:noVBand="1"/>
      </w:tblPr>
      <w:tblGrid>
        <w:gridCol w:w="3175"/>
        <w:gridCol w:w="476"/>
        <w:gridCol w:w="1895"/>
        <w:gridCol w:w="4092"/>
      </w:tblGrid>
      <w:tr w:rsidR="006C5046" w:rsidRPr="006C5046" w14:paraId="1480BFC2" w14:textId="77777777" w:rsidTr="00F23533">
        <w:tc>
          <w:tcPr>
            <w:tcW w:w="3082" w:type="dxa"/>
            <w:shd w:val="clear" w:color="auto" w:fill="FFFFFF"/>
            <w:hideMark/>
          </w:tcPr>
          <w:p w14:paraId="604C2EFA" w14:textId="77777777" w:rsidR="00D2796E" w:rsidRPr="006C5046" w:rsidRDefault="00D2796E" w:rsidP="00D2796E">
            <w:pPr>
              <w:spacing w:before="150" w:after="150" w:line="240" w:lineRule="auto"/>
              <w:rPr>
                <w:rFonts w:ascii="Times New Roman" w:eastAsia="Times New Roman" w:hAnsi="Times New Roman" w:cs="Times New Roman"/>
                <w:sz w:val="24"/>
                <w:szCs w:val="24"/>
                <w:lang w:eastAsia="uk-UA"/>
              </w:rPr>
            </w:pPr>
            <w:r w:rsidRPr="006C5046">
              <w:rPr>
                <w:rFonts w:ascii="Times New Roman" w:eastAsia="Times New Roman" w:hAnsi="Times New Roman" w:cs="Times New Roman"/>
                <w:sz w:val="24"/>
                <w:szCs w:val="24"/>
                <w:lang w:eastAsia="uk-UA"/>
              </w:rPr>
              <w:t>Керівник ліцензіата</w:t>
            </w:r>
          </w:p>
        </w:tc>
        <w:tc>
          <w:tcPr>
            <w:tcW w:w="2301" w:type="dxa"/>
            <w:gridSpan w:val="2"/>
            <w:shd w:val="clear" w:color="auto" w:fill="FFFFFF"/>
            <w:hideMark/>
          </w:tcPr>
          <w:p w14:paraId="65B309F4" w14:textId="77777777" w:rsidR="00D2796E" w:rsidRPr="006C5046" w:rsidRDefault="00D2796E" w:rsidP="00D2796E">
            <w:pPr>
              <w:spacing w:before="150" w:after="150" w:line="240" w:lineRule="auto"/>
              <w:jc w:val="center"/>
              <w:rPr>
                <w:rFonts w:ascii="Times New Roman" w:eastAsia="Times New Roman" w:hAnsi="Times New Roman" w:cs="Times New Roman"/>
                <w:sz w:val="24"/>
                <w:szCs w:val="24"/>
                <w:lang w:eastAsia="uk-UA"/>
              </w:rPr>
            </w:pPr>
            <w:r w:rsidRPr="006C5046">
              <w:rPr>
                <w:rFonts w:ascii="Times New Roman" w:eastAsia="Times New Roman" w:hAnsi="Times New Roman" w:cs="Times New Roman"/>
                <w:sz w:val="24"/>
                <w:szCs w:val="24"/>
                <w:lang w:eastAsia="uk-UA"/>
              </w:rPr>
              <w:t>___________</w:t>
            </w:r>
            <w:r w:rsidRPr="006C5046">
              <w:rPr>
                <w:rFonts w:ascii="Times New Roman" w:eastAsia="Times New Roman" w:hAnsi="Times New Roman" w:cs="Times New Roman"/>
                <w:sz w:val="24"/>
                <w:szCs w:val="24"/>
                <w:lang w:eastAsia="uk-UA"/>
              </w:rPr>
              <w:br/>
            </w:r>
            <w:r w:rsidRPr="006C5046">
              <w:rPr>
                <w:rFonts w:ascii="Times New Roman" w:eastAsia="Times New Roman" w:hAnsi="Times New Roman" w:cs="Times New Roman"/>
                <w:sz w:val="20"/>
                <w:szCs w:val="20"/>
                <w:lang w:eastAsia="uk-UA"/>
              </w:rPr>
              <w:t>(підпис)</w:t>
            </w:r>
          </w:p>
        </w:tc>
        <w:tc>
          <w:tcPr>
            <w:tcW w:w="3972" w:type="dxa"/>
            <w:shd w:val="clear" w:color="auto" w:fill="FFFFFF"/>
            <w:hideMark/>
          </w:tcPr>
          <w:p w14:paraId="2091CD61" w14:textId="77777777" w:rsidR="00D2796E" w:rsidRPr="006C5046" w:rsidRDefault="00D2796E" w:rsidP="00D2796E">
            <w:pPr>
              <w:spacing w:before="150" w:after="150" w:line="240" w:lineRule="auto"/>
              <w:jc w:val="center"/>
              <w:rPr>
                <w:rFonts w:ascii="Times New Roman" w:eastAsia="Times New Roman" w:hAnsi="Times New Roman" w:cs="Times New Roman"/>
                <w:sz w:val="24"/>
                <w:szCs w:val="24"/>
                <w:lang w:eastAsia="uk-UA"/>
              </w:rPr>
            </w:pPr>
            <w:r w:rsidRPr="006C5046">
              <w:rPr>
                <w:rFonts w:ascii="Times New Roman" w:eastAsia="Times New Roman" w:hAnsi="Times New Roman" w:cs="Times New Roman"/>
                <w:sz w:val="24"/>
                <w:szCs w:val="24"/>
                <w:lang w:eastAsia="uk-UA"/>
              </w:rPr>
              <w:t>______________</w:t>
            </w:r>
            <w:r w:rsidRPr="006C5046">
              <w:rPr>
                <w:rFonts w:ascii="Times New Roman" w:eastAsia="Times New Roman" w:hAnsi="Times New Roman" w:cs="Times New Roman"/>
                <w:sz w:val="24"/>
                <w:szCs w:val="24"/>
                <w:lang w:eastAsia="uk-UA"/>
              </w:rPr>
              <w:br/>
            </w:r>
            <w:r w:rsidRPr="006C5046">
              <w:rPr>
                <w:rFonts w:ascii="Times New Roman" w:eastAsia="Times New Roman" w:hAnsi="Times New Roman" w:cs="Times New Roman"/>
                <w:sz w:val="20"/>
                <w:szCs w:val="20"/>
                <w:lang w:eastAsia="uk-UA"/>
              </w:rPr>
              <w:t>(ініціали, прізвище)</w:t>
            </w:r>
          </w:p>
        </w:tc>
      </w:tr>
      <w:tr w:rsidR="006C5046" w:rsidRPr="006C5046" w14:paraId="5916058B" w14:textId="77777777" w:rsidTr="00F23533">
        <w:tc>
          <w:tcPr>
            <w:tcW w:w="3082" w:type="dxa"/>
            <w:shd w:val="clear" w:color="auto" w:fill="FFFFFF"/>
            <w:hideMark/>
          </w:tcPr>
          <w:p w14:paraId="2A492DD3" w14:textId="77777777" w:rsidR="00D2796E" w:rsidRPr="006C5046" w:rsidRDefault="00D2796E" w:rsidP="00D2796E">
            <w:pPr>
              <w:spacing w:before="150" w:after="150" w:line="240" w:lineRule="auto"/>
              <w:rPr>
                <w:rFonts w:ascii="Times New Roman" w:eastAsia="Times New Roman" w:hAnsi="Times New Roman" w:cs="Times New Roman"/>
                <w:sz w:val="24"/>
                <w:szCs w:val="24"/>
                <w:lang w:eastAsia="uk-UA"/>
              </w:rPr>
            </w:pPr>
            <w:r w:rsidRPr="006C5046">
              <w:rPr>
                <w:rFonts w:ascii="Times New Roman" w:eastAsia="Times New Roman" w:hAnsi="Times New Roman" w:cs="Times New Roman"/>
                <w:sz w:val="24"/>
                <w:szCs w:val="24"/>
                <w:lang w:eastAsia="uk-UA"/>
              </w:rPr>
              <w:t>Телефон:_______________</w:t>
            </w:r>
          </w:p>
        </w:tc>
        <w:tc>
          <w:tcPr>
            <w:tcW w:w="462" w:type="dxa"/>
            <w:shd w:val="clear" w:color="auto" w:fill="FFFFFF"/>
            <w:hideMark/>
          </w:tcPr>
          <w:p w14:paraId="546FC1E8" w14:textId="6C60AC65" w:rsidR="00D2796E" w:rsidRPr="006C5046" w:rsidRDefault="00D2796E" w:rsidP="00D2796E">
            <w:pPr>
              <w:spacing w:before="150" w:after="150" w:line="240" w:lineRule="auto"/>
              <w:rPr>
                <w:rFonts w:ascii="Times New Roman" w:eastAsia="Times New Roman" w:hAnsi="Times New Roman" w:cs="Times New Roman"/>
                <w:sz w:val="24"/>
                <w:szCs w:val="24"/>
                <w:lang w:eastAsia="uk-UA"/>
              </w:rPr>
            </w:pPr>
          </w:p>
        </w:tc>
        <w:tc>
          <w:tcPr>
            <w:tcW w:w="5811" w:type="dxa"/>
            <w:gridSpan w:val="2"/>
            <w:shd w:val="clear" w:color="auto" w:fill="FFFFFF"/>
            <w:hideMark/>
          </w:tcPr>
          <w:p w14:paraId="5E6EBB58" w14:textId="77777777" w:rsidR="00D2796E" w:rsidRPr="006C5046" w:rsidRDefault="00D2796E" w:rsidP="00D2796E">
            <w:pPr>
              <w:spacing w:before="150" w:after="150" w:line="240" w:lineRule="auto"/>
              <w:rPr>
                <w:rFonts w:ascii="Times New Roman" w:eastAsia="Times New Roman" w:hAnsi="Times New Roman" w:cs="Times New Roman"/>
                <w:sz w:val="24"/>
                <w:szCs w:val="24"/>
                <w:lang w:eastAsia="uk-UA"/>
              </w:rPr>
            </w:pPr>
            <w:r w:rsidRPr="006C5046">
              <w:rPr>
                <w:rFonts w:ascii="Times New Roman" w:eastAsia="Times New Roman" w:hAnsi="Times New Roman" w:cs="Times New Roman"/>
                <w:sz w:val="24"/>
                <w:szCs w:val="24"/>
                <w:lang w:eastAsia="uk-UA"/>
              </w:rPr>
              <w:t>Електронна пошта:________________</w:t>
            </w:r>
          </w:p>
        </w:tc>
      </w:tr>
    </w:tbl>
    <w:p w14:paraId="36196443" w14:textId="77777777" w:rsidR="00D2796E" w:rsidRDefault="00D2796E"/>
    <w:sectPr w:rsidR="00D2796E" w:rsidSect="000A0F87">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CA9CC" w14:textId="77777777" w:rsidR="000A0F87" w:rsidRDefault="000A0F87" w:rsidP="000A0F87">
      <w:pPr>
        <w:spacing w:after="0" w:line="240" w:lineRule="auto"/>
      </w:pPr>
      <w:r>
        <w:separator/>
      </w:r>
    </w:p>
  </w:endnote>
  <w:endnote w:type="continuationSeparator" w:id="0">
    <w:p w14:paraId="0C7598EC" w14:textId="77777777" w:rsidR="000A0F87" w:rsidRDefault="000A0F87" w:rsidP="000A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992BF" w14:textId="77777777" w:rsidR="003B2D30" w:rsidRDefault="003B2D3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2EB05" w14:textId="77777777" w:rsidR="003B2D30" w:rsidRDefault="003B2D3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17659" w14:textId="77777777" w:rsidR="003B2D30" w:rsidRDefault="003B2D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9DCEE" w14:textId="77777777" w:rsidR="000A0F87" w:rsidRDefault="000A0F87" w:rsidP="000A0F87">
      <w:pPr>
        <w:spacing w:after="0" w:line="240" w:lineRule="auto"/>
      </w:pPr>
      <w:r>
        <w:separator/>
      </w:r>
    </w:p>
  </w:footnote>
  <w:footnote w:type="continuationSeparator" w:id="0">
    <w:p w14:paraId="5C268A8A" w14:textId="77777777" w:rsidR="000A0F87" w:rsidRDefault="000A0F87" w:rsidP="000A0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9D33C" w14:textId="77777777" w:rsidR="003B2D30" w:rsidRDefault="003B2D3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012415765"/>
      <w:docPartObj>
        <w:docPartGallery w:val="Page Numbers (Top of Page)"/>
        <w:docPartUnique/>
      </w:docPartObj>
    </w:sdtPr>
    <w:sdtEndPr/>
    <w:sdtContent>
      <w:p w14:paraId="0294E09A" w14:textId="28A27116" w:rsidR="000A0F87" w:rsidRPr="003B2D30" w:rsidRDefault="000A0F87" w:rsidP="000A0F87">
        <w:pPr>
          <w:pStyle w:val="a3"/>
          <w:jc w:val="right"/>
          <w:rPr>
            <w:rFonts w:ascii="Times New Roman" w:hAnsi="Times New Roman" w:cs="Times New Roman"/>
          </w:rPr>
        </w:pPr>
        <w:r w:rsidRPr="003B2D30">
          <w:rPr>
            <w:rFonts w:ascii="Times New Roman" w:hAnsi="Times New Roman" w:cs="Times New Roman"/>
          </w:rPr>
          <w:fldChar w:fldCharType="begin"/>
        </w:r>
        <w:r w:rsidRPr="003B2D30">
          <w:rPr>
            <w:rFonts w:ascii="Times New Roman" w:hAnsi="Times New Roman" w:cs="Times New Roman"/>
          </w:rPr>
          <w:instrText>PAGE   \* MERGEFORMAT</w:instrText>
        </w:r>
        <w:r w:rsidRPr="003B2D30">
          <w:rPr>
            <w:rFonts w:ascii="Times New Roman" w:hAnsi="Times New Roman" w:cs="Times New Roman"/>
          </w:rPr>
          <w:fldChar w:fldCharType="separate"/>
        </w:r>
        <w:r w:rsidRPr="003B2D30">
          <w:rPr>
            <w:rFonts w:ascii="Times New Roman" w:hAnsi="Times New Roman" w:cs="Times New Roman"/>
          </w:rPr>
          <w:t>2</w:t>
        </w:r>
        <w:r w:rsidRPr="003B2D30">
          <w:rPr>
            <w:rFonts w:ascii="Times New Roman" w:hAnsi="Times New Roman" w:cs="Times New Roman"/>
          </w:rPr>
          <w:fldChar w:fldCharType="end"/>
        </w:r>
        <w:r w:rsidRPr="003B2D30">
          <w:rPr>
            <w:rFonts w:ascii="Times New Roman" w:hAnsi="Times New Roman" w:cs="Times New Roman"/>
          </w:rPr>
          <w:t xml:space="preserve">                                                        Продовження додатку 4</w:t>
        </w:r>
      </w:p>
    </w:sdtContent>
  </w:sdt>
  <w:p w14:paraId="35109B42" w14:textId="77777777" w:rsidR="000A0F87" w:rsidRDefault="000A0F8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ABE7A" w14:textId="77777777" w:rsidR="003B2D30" w:rsidRDefault="003B2D3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2E1"/>
    <w:rsid w:val="00085C68"/>
    <w:rsid w:val="000A0F87"/>
    <w:rsid w:val="001351C3"/>
    <w:rsid w:val="001664E4"/>
    <w:rsid w:val="001C2E1B"/>
    <w:rsid w:val="0023757D"/>
    <w:rsid w:val="002B74E9"/>
    <w:rsid w:val="00322B54"/>
    <w:rsid w:val="003B2D30"/>
    <w:rsid w:val="0049707D"/>
    <w:rsid w:val="006A0ED2"/>
    <w:rsid w:val="006B22CD"/>
    <w:rsid w:val="006C5046"/>
    <w:rsid w:val="006C72F3"/>
    <w:rsid w:val="00736E32"/>
    <w:rsid w:val="00882746"/>
    <w:rsid w:val="00C50F54"/>
    <w:rsid w:val="00C825DD"/>
    <w:rsid w:val="00D2796E"/>
    <w:rsid w:val="00D95784"/>
    <w:rsid w:val="00E03197"/>
    <w:rsid w:val="00E4692C"/>
    <w:rsid w:val="00F23533"/>
    <w:rsid w:val="00F750B2"/>
    <w:rsid w:val="00FA2C9A"/>
    <w:rsid w:val="00FC72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D4242"/>
  <w15:chartTrackingRefBased/>
  <w15:docId w15:val="{9E8FC34B-2D7C-4AAF-A06A-AE73A5F7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2796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2796E"/>
  </w:style>
  <w:style w:type="paragraph" w:customStyle="1" w:styleId="rvps12">
    <w:name w:val="rvps12"/>
    <w:basedOn w:val="a"/>
    <w:rsid w:val="00D2796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D2796E"/>
  </w:style>
  <w:style w:type="paragraph" w:customStyle="1" w:styleId="rvps14">
    <w:name w:val="rvps14"/>
    <w:basedOn w:val="a"/>
    <w:rsid w:val="00D2796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0">
    <w:name w:val="rvts90"/>
    <w:basedOn w:val="a0"/>
    <w:rsid w:val="00D2796E"/>
  </w:style>
  <w:style w:type="paragraph" w:styleId="a3">
    <w:name w:val="header"/>
    <w:basedOn w:val="a"/>
    <w:link w:val="a4"/>
    <w:uiPriority w:val="99"/>
    <w:unhideWhenUsed/>
    <w:rsid w:val="000A0F87"/>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0A0F87"/>
  </w:style>
  <w:style w:type="paragraph" w:styleId="a5">
    <w:name w:val="footer"/>
    <w:basedOn w:val="a"/>
    <w:link w:val="a6"/>
    <w:uiPriority w:val="99"/>
    <w:unhideWhenUsed/>
    <w:rsid w:val="000A0F87"/>
    <w:pPr>
      <w:tabs>
        <w:tab w:val="center" w:pos="4677"/>
        <w:tab w:val="right" w:pos="9355"/>
      </w:tabs>
      <w:spacing w:after="0" w:line="240" w:lineRule="auto"/>
    </w:pPr>
  </w:style>
  <w:style w:type="character" w:customStyle="1" w:styleId="a6">
    <w:name w:val="Нижній колонтитул Знак"/>
    <w:basedOn w:val="a0"/>
    <w:link w:val="a5"/>
    <w:uiPriority w:val="99"/>
    <w:rsid w:val="000A0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024532">
      <w:bodyDiv w:val="1"/>
      <w:marLeft w:val="0"/>
      <w:marRight w:val="0"/>
      <w:marTop w:val="0"/>
      <w:marBottom w:val="0"/>
      <w:divBdr>
        <w:top w:val="none" w:sz="0" w:space="0" w:color="auto"/>
        <w:left w:val="none" w:sz="0" w:space="0" w:color="auto"/>
        <w:bottom w:val="none" w:sz="0" w:space="0" w:color="auto"/>
        <w:right w:val="none" w:sz="0" w:space="0" w:color="auto"/>
      </w:divBdr>
      <w:divsChild>
        <w:div w:id="870728133">
          <w:marLeft w:val="0"/>
          <w:marRight w:val="0"/>
          <w:marTop w:val="0"/>
          <w:marBottom w:val="150"/>
          <w:divBdr>
            <w:top w:val="none" w:sz="0" w:space="0" w:color="auto"/>
            <w:left w:val="none" w:sz="0" w:space="0" w:color="auto"/>
            <w:bottom w:val="none" w:sz="0" w:space="0" w:color="auto"/>
            <w:right w:val="none" w:sz="0" w:space="0" w:color="auto"/>
          </w:divBdr>
        </w:div>
      </w:divsChild>
    </w:div>
    <w:div w:id="20152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7978</Words>
  <Characters>4548</Characters>
  <Application>Microsoft Office Word</Application>
  <DocSecurity>0</DocSecurity>
  <Lines>37</Lines>
  <Paragraphs>25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24</cp:revision>
  <cp:lastPrinted>2025-12-03T07:30:00Z</cp:lastPrinted>
  <dcterms:created xsi:type="dcterms:W3CDTF">2025-08-14T07:04:00Z</dcterms:created>
  <dcterms:modified xsi:type="dcterms:W3CDTF">2025-12-03T07:31:00Z</dcterms:modified>
</cp:coreProperties>
</file>