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E5C" w:rsidRPr="008F6F03" w:rsidRDefault="00370E5C" w:rsidP="002668F3">
      <w:pPr>
        <w:keepNext/>
        <w:tabs>
          <w:tab w:val="left" w:pos="14459"/>
        </w:tabs>
        <w:spacing w:after="0" w:line="240" w:lineRule="auto"/>
        <w:ind w:right="113"/>
        <w:jc w:val="center"/>
        <w:outlineLvl w:val="0"/>
        <w:rPr>
          <w:rFonts w:ascii="Times New Roman" w:eastAsia="Times New Roman" w:hAnsi="Times New Roman"/>
          <w:b/>
          <w:bCs/>
          <w:color w:val="000000"/>
          <w:sz w:val="24"/>
          <w:szCs w:val="24"/>
          <w:lang w:val="uk-UA" w:eastAsia="ru-RU"/>
        </w:rPr>
      </w:pPr>
      <w:r w:rsidRPr="008F6F03">
        <w:rPr>
          <w:rFonts w:ascii="Times New Roman" w:eastAsia="Times New Roman" w:hAnsi="Times New Roman"/>
          <w:b/>
          <w:bCs/>
          <w:color w:val="000000"/>
          <w:sz w:val="24"/>
          <w:szCs w:val="24"/>
          <w:lang w:val="uk-UA" w:eastAsia="ru-RU"/>
        </w:rPr>
        <w:t xml:space="preserve">Порівняльна таблиця до </w:t>
      </w:r>
      <w:proofErr w:type="spellStart"/>
      <w:r w:rsidRPr="008F6F03">
        <w:rPr>
          <w:rFonts w:ascii="Times New Roman" w:eastAsia="Times New Roman" w:hAnsi="Times New Roman"/>
          <w:b/>
          <w:bCs/>
          <w:color w:val="000000"/>
          <w:sz w:val="24"/>
          <w:szCs w:val="24"/>
          <w:lang w:val="uk-UA" w:eastAsia="ru-RU"/>
        </w:rPr>
        <w:t>проєкту</w:t>
      </w:r>
      <w:proofErr w:type="spellEnd"/>
      <w:r w:rsidRPr="008F6F03">
        <w:rPr>
          <w:rFonts w:ascii="Times New Roman" w:eastAsia="Times New Roman" w:hAnsi="Times New Roman"/>
          <w:b/>
          <w:bCs/>
          <w:color w:val="000000"/>
          <w:sz w:val="24"/>
          <w:szCs w:val="24"/>
          <w:lang w:val="uk-UA" w:eastAsia="ru-RU"/>
        </w:rPr>
        <w:t xml:space="preserve"> рішення, що має ознаки регуляторного </w:t>
      </w:r>
    </w:p>
    <w:p w:rsidR="00370E5C" w:rsidRPr="008F6F03" w:rsidRDefault="00370E5C" w:rsidP="00370E5C">
      <w:pPr>
        <w:keepNext/>
        <w:tabs>
          <w:tab w:val="left" w:pos="14853"/>
        </w:tabs>
        <w:spacing w:after="0" w:line="240" w:lineRule="auto"/>
        <w:ind w:right="-31"/>
        <w:jc w:val="center"/>
        <w:outlineLvl w:val="0"/>
        <w:rPr>
          <w:rFonts w:ascii="Times New Roman" w:eastAsia="Times New Roman" w:hAnsi="Times New Roman"/>
          <w:b/>
          <w:bCs/>
          <w:color w:val="000000"/>
          <w:sz w:val="24"/>
          <w:szCs w:val="24"/>
          <w:lang w:val="uk-UA" w:eastAsia="ru-RU"/>
        </w:rPr>
      </w:pPr>
      <w:proofErr w:type="spellStart"/>
      <w:r w:rsidRPr="008F6F03">
        <w:rPr>
          <w:rFonts w:ascii="Times New Roman" w:eastAsia="Times New Roman" w:hAnsi="Times New Roman"/>
          <w:b/>
          <w:bCs/>
          <w:color w:val="000000"/>
          <w:sz w:val="24"/>
          <w:szCs w:val="24"/>
          <w:lang w:val="uk-UA" w:eastAsia="ru-RU"/>
        </w:rPr>
        <w:t>акта</w:t>
      </w:r>
      <w:proofErr w:type="spellEnd"/>
      <w:r w:rsidRPr="008F6F03">
        <w:rPr>
          <w:rFonts w:ascii="Times New Roman" w:eastAsia="Times New Roman" w:hAnsi="Times New Roman"/>
          <w:b/>
          <w:bCs/>
          <w:color w:val="000000"/>
          <w:sz w:val="24"/>
          <w:szCs w:val="24"/>
          <w:lang w:val="uk-UA" w:eastAsia="ru-RU"/>
        </w:rPr>
        <w:t xml:space="preserve">, – </w:t>
      </w:r>
      <w:proofErr w:type="spellStart"/>
      <w:r w:rsidRPr="008F6F03">
        <w:rPr>
          <w:rFonts w:ascii="Times New Roman" w:eastAsia="Times New Roman" w:hAnsi="Times New Roman"/>
          <w:b/>
          <w:bCs/>
          <w:color w:val="000000"/>
          <w:sz w:val="24"/>
          <w:szCs w:val="24"/>
          <w:lang w:val="uk-UA" w:eastAsia="ru-RU"/>
        </w:rPr>
        <w:t>проєкту</w:t>
      </w:r>
      <w:proofErr w:type="spellEnd"/>
      <w:r w:rsidRPr="008F6F03">
        <w:rPr>
          <w:rFonts w:ascii="Times New Roman" w:eastAsia="Times New Roman" w:hAnsi="Times New Roman"/>
          <w:b/>
          <w:bCs/>
          <w:color w:val="000000"/>
          <w:sz w:val="24"/>
          <w:szCs w:val="24"/>
          <w:lang w:val="uk-UA" w:eastAsia="ru-RU"/>
        </w:rPr>
        <w:t xml:space="preserve"> постанови НКРЕКП </w:t>
      </w:r>
    </w:p>
    <w:p w:rsidR="00370E5C" w:rsidRPr="008F6F03" w:rsidRDefault="00370E5C" w:rsidP="00E25EEC">
      <w:pPr>
        <w:ind w:left="140" w:firstLine="489"/>
        <w:jc w:val="center"/>
        <w:rPr>
          <w:rFonts w:ascii="Times New Roman" w:eastAsia="Times New Roman" w:hAnsi="Times New Roman"/>
          <w:b/>
          <w:bCs/>
          <w:color w:val="000000"/>
          <w:sz w:val="24"/>
          <w:szCs w:val="24"/>
          <w:lang w:val="uk-UA" w:eastAsia="ru-RU"/>
        </w:rPr>
      </w:pPr>
      <w:r w:rsidRPr="008F6F03">
        <w:rPr>
          <w:rFonts w:ascii="Times New Roman" w:eastAsia="Times New Roman" w:hAnsi="Times New Roman"/>
          <w:b/>
          <w:bCs/>
          <w:color w:val="000000"/>
          <w:sz w:val="24"/>
          <w:szCs w:val="24"/>
          <w:lang w:val="uk-UA" w:eastAsia="ru-RU"/>
        </w:rPr>
        <w:t>«</w:t>
      </w:r>
      <w:r w:rsidR="004F55CE" w:rsidRPr="008F6F03">
        <w:rPr>
          <w:rFonts w:ascii="Times New Roman" w:eastAsia="Times New Roman" w:hAnsi="Times New Roman"/>
          <w:b/>
          <w:sz w:val="24"/>
          <w:szCs w:val="24"/>
          <w:lang w:val="uk-UA" w:eastAsia="ru-RU"/>
        </w:rPr>
        <w:t>Про внесення Змін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5"/>
        <w:gridCol w:w="7085"/>
      </w:tblGrid>
      <w:tr w:rsidR="00370E5C" w:rsidRPr="008F6F03" w:rsidTr="001E3919">
        <w:trPr>
          <w:trHeight w:val="303"/>
        </w:trPr>
        <w:tc>
          <w:tcPr>
            <w:tcW w:w="7085" w:type="dxa"/>
          </w:tcPr>
          <w:p w:rsidR="00370E5C" w:rsidRPr="008F6F03" w:rsidRDefault="00370E5C" w:rsidP="00B87474">
            <w:pPr>
              <w:spacing w:after="0" w:line="240" w:lineRule="auto"/>
              <w:jc w:val="center"/>
              <w:rPr>
                <w:rFonts w:ascii="Times New Roman" w:hAnsi="Times New Roman"/>
                <w:lang w:val="uk-UA"/>
              </w:rPr>
            </w:pPr>
            <w:r w:rsidRPr="008F6F03">
              <w:rPr>
                <w:rFonts w:ascii="Times New Roman" w:hAnsi="Times New Roman"/>
                <w:b/>
                <w:sz w:val="24"/>
                <w:szCs w:val="24"/>
                <w:lang w:val="uk-UA"/>
              </w:rPr>
              <w:t xml:space="preserve">Зміст положення (норми) чинного </w:t>
            </w:r>
            <w:proofErr w:type="spellStart"/>
            <w:r w:rsidRPr="008F6F03">
              <w:rPr>
                <w:rFonts w:ascii="Times New Roman" w:hAnsi="Times New Roman"/>
                <w:b/>
                <w:sz w:val="24"/>
                <w:szCs w:val="24"/>
                <w:lang w:val="uk-UA"/>
              </w:rPr>
              <w:t>акта</w:t>
            </w:r>
            <w:proofErr w:type="spellEnd"/>
            <w:r w:rsidRPr="008F6F03">
              <w:rPr>
                <w:rFonts w:ascii="Times New Roman" w:hAnsi="Times New Roman"/>
                <w:b/>
                <w:sz w:val="24"/>
                <w:szCs w:val="24"/>
                <w:lang w:val="uk-UA"/>
              </w:rPr>
              <w:t xml:space="preserve"> законодавства</w:t>
            </w:r>
          </w:p>
        </w:tc>
        <w:tc>
          <w:tcPr>
            <w:tcW w:w="7085" w:type="dxa"/>
          </w:tcPr>
          <w:p w:rsidR="00370E5C" w:rsidRPr="008F6F03" w:rsidRDefault="00370E5C" w:rsidP="00B87474">
            <w:pPr>
              <w:spacing w:after="0" w:line="240" w:lineRule="auto"/>
              <w:jc w:val="center"/>
              <w:rPr>
                <w:rFonts w:ascii="Times New Roman" w:hAnsi="Times New Roman"/>
                <w:b/>
                <w:sz w:val="24"/>
                <w:szCs w:val="24"/>
                <w:lang w:val="uk-UA"/>
              </w:rPr>
            </w:pPr>
            <w:r w:rsidRPr="008F6F03">
              <w:rPr>
                <w:rFonts w:ascii="Times New Roman" w:hAnsi="Times New Roman"/>
                <w:b/>
                <w:sz w:val="24"/>
                <w:szCs w:val="24"/>
                <w:lang w:val="uk-UA"/>
              </w:rPr>
              <w:t xml:space="preserve">Зміст відповідного положення (норми) </w:t>
            </w:r>
            <w:proofErr w:type="spellStart"/>
            <w:r w:rsidRPr="008F6F03">
              <w:rPr>
                <w:rFonts w:ascii="Times New Roman" w:hAnsi="Times New Roman"/>
                <w:b/>
                <w:sz w:val="24"/>
                <w:szCs w:val="24"/>
                <w:lang w:val="uk-UA"/>
              </w:rPr>
              <w:t>проєкту</w:t>
            </w:r>
            <w:proofErr w:type="spellEnd"/>
            <w:r w:rsidRPr="008F6F03">
              <w:rPr>
                <w:rFonts w:ascii="Times New Roman" w:hAnsi="Times New Roman"/>
                <w:b/>
                <w:sz w:val="24"/>
                <w:szCs w:val="24"/>
                <w:lang w:val="uk-UA"/>
              </w:rPr>
              <w:t xml:space="preserve"> </w:t>
            </w:r>
            <w:proofErr w:type="spellStart"/>
            <w:r w:rsidRPr="008F6F03">
              <w:rPr>
                <w:rFonts w:ascii="Times New Roman" w:hAnsi="Times New Roman"/>
                <w:b/>
                <w:sz w:val="24"/>
                <w:szCs w:val="24"/>
                <w:lang w:val="uk-UA"/>
              </w:rPr>
              <w:t>акта</w:t>
            </w:r>
            <w:proofErr w:type="spellEnd"/>
          </w:p>
          <w:p w:rsidR="00370E5C" w:rsidRPr="008F6F03" w:rsidRDefault="00370E5C" w:rsidP="00B87474">
            <w:pPr>
              <w:spacing w:after="0" w:line="240" w:lineRule="auto"/>
              <w:jc w:val="center"/>
              <w:rPr>
                <w:rFonts w:ascii="Times New Roman" w:hAnsi="Times New Roman"/>
                <w:lang w:val="uk-UA"/>
              </w:rPr>
            </w:pPr>
          </w:p>
        </w:tc>
      </w:tr>
      <w:tr w:rsidR="00E25EEC" w:rsidRPr="008F6F03" w:rsidTr="00CD2188">
        <w:trPr>
          <w:trHeight w:val="303"/>
        </w:trPr>
        <w:tc>
          <w:tcPr>
            <w:tcW w:w="14170" w:type="dxa"/>
            <w:gridSpan w:val="2"/>
          </w:tcPr>
          <w:p w:rsidR="00E25EEC" w:rsidRPr="008F6F03" w:rsidRDefault="00E25EEC" w:rsidP="00E25EEC">
            <w:pPr>
              <w:spacing w:after="0" w:line="240" w:lineRule="auto"/>
              <w:jc w:val="center"/>
              <w:rPr>
                <w:rFonts w:ascii="Times New Roman" w:hAnsi="Times New Roman"/>
                <w:b/>
                <w:sz w:val="26"/>
                <w:szCs w:val="26"/>
                <w:lang w:val="uk-UA"/>
              </w:rPr>
            </w:pPr>
            <w:r w:rsidRPr="008F6F03">
              <w:rPr>
                <w:rFonts w:ascii="Times New Roman" w:hAnsi="Times New Roman"/>
                <w:b/>
                <w:color w:val="000000"/>
                <w:sz w:val="26"/>
                <w:szCs w:val="26"/>
                <w:lang w:val="uk-UA"/>
              </w:rPr>
              <w:t>Тимчасовий порядок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 затвердженого постановою НКРЕКП від 28.12.2018 № 2118</w:t>
            </w:r>
          </w:p>
        </w:tc>
      </w:tr>
      <w:tr w:rsidR="002F4232" w:rsidRPr="008F6F03" w:rsidTr="002668F3">
        <w:trPr>
          <w:trHeight w:val="303"/>
        </w:trPr>
        <w:tc>
          <w:tcPr>
            <w:tcW w:w="14170" w:type="dxa"/>
            <w:gridSpan w:val="2"/>
          </w:tcPr>
          <w:p w:rsidR="002F4232" w:rsidRPr="008F6F03" w:rsidRDefault="00BA2BDE" w:rsidP="00350147">
            <w:pPr>
              <w:spacing w:after="0" w:line="240" w:lineRule="auto"/>
              <w:jc w:val="center"/>
              <w:rPr>
                <w:rFonts w:ascii="Times New Roman" w:hAnsi="Times New Roman"/>
                <w:b/>
                <w:sz w:val="24"/>
                <w:szCs w:val="24"/>
                <w:lang w:val="uk-UA"/>
              </w:rPr>
            </w:pPr>
            <w:r w:rsidRPr="008F6F03">
              <w:rPr>
                <w:rFonts w:ascii="Times New Roman" w:hAnsi="Times New Roman"/>
                <w:b/>
                <w:sz w:val="24"/>
                <w:szCs w:val="24"/>
                <w:lang w:val="uk-UA"/>
              </w:rPr>
              <w:t>1. Загальні положення</w:t>
            </w:r>
          </w:p>
        </w:tc>
      </w:tr>
      <w:tr w:rsidR="00887CDE" w:rsidRPr="001C1BD4" w:rsidTr="001E3919">
        <w:trPr>
          <w:trHeight w:val="5637"/>
        </w:trPr>
        <w:tc>
          <w:tcPr>
            <w:tcW w:w="7085" w:type="dxa"/>
          </w:tcPr>
          <w:p w:rsidR="00887CDE" w:rsidRPr="00887CDE" w:rsidRDefault="00887CDE" w:rsidP="00887CDE">
            <w:pPr>
              <w:spacing w:after="0" w:line="240" w:lineRule="auto"/>
              <w:ind w:firstLine="851"/>
              <w:jc w:val="both"/>
              <w:rPr>
                <w:rFonts w:ascii="Times New Roman" w:eastAsia="Times New Roman" w:hAnsi="Times New Roman"/>
                <w:bCs/>
                <w:lang w:val="uk-UA"/>
              </w:rPr>
            </w:pPr>
            <w:r w:rsidRPr="00887CDE">
              <w:rPr>
                <w:rFonts w:ascii="Times New Roman" w:eastAsia="Times New Roman" w:hAnsi="Times New Roman"/>
                <w:bCs/>
                <w:lang w:val="uk-UA"/>
              </w:rPr>
              <w:t>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2025 року включно формуються для відповідної доби Д місяця М наступним чином:</w:t>
            </w:r>
          </w:p>
          <w:p w:rsidR="00887CDE" w:rsidRDefault="00887CDE" w:rsidP="00887CDE">
            <w:pPr>
              <w:spacing w:after="0" w:line="240" w:lineRule="auto"/>
              <w:ind w:firstLine="851"/>
              <w:jc w:val="both"/>
              <w:rPr>
                <w:rFonts w:ascii="Times New Roman" w:eastAsia="Times New Roman" w:hAnsi="Times New Roman"/>
                <w:bCs/>
                <w:lang w:val="uk-UA"/>
              </w:rPr>
            </w:pPr>
          </w:p>
          <w:p w:rsidR="001C1BD4" w:rsidRDefault="001C1BD4" w:rsidP="00887CDE">
            <w:pPr>
              <w:spacing w:after="0" w:line="240" w:lineRule="auto"/>
              <w:ind w:firstLine="851"/>
              <w:jc w:val="both"/>
              <w:rPr>
                <w:rFonts w:ascii="Times New Roman" w:eastAsia="Times New Roman" w:hAnsi="Times New Roman"/>
                <w:bCs/>
                <w:lang w:val="uk-UA"/>
              </w:rPr>
            </w:pPr>
          </w:p>
          <w:p w:rsidR="001C1BD4" w:rsidRDefault="001C1BD4" w:rsidP="00887CDE">
            <w:pPr>
              <w:spacing w:after="0" w:line="240" w:lineRule="auto"/>
              <w:ind w:firstLine="851"/>
              <w:jc w:val="both"/>
              <w:rPr>
                <w:rFonts w:ascii="Times New Roman" w:eastAsia="Times New Roman" w:hAnsi="Times New Roman"/>
                <w:bCs/>
                <w:lang w:val="uk-UA"/>
              </w:rPr>
            </w:pPr>
          </w:p>
          <w:p w:rsidR="001C1BD4" w:rsidRPr="00887CDE" w:rsidRDefault="001C1BD4" w:rsidP="00887CDE">
            <w:pPr>
              <w:spacing w:after="0" w:line="240" w:lineRule="auto"/>
              <w:ind w:firstLine="851"/>
              <w:jc w:val="both"/>
              <w:rPr>
                <w:rFonts w:ascii="Times New Roman" w:eastAsia="Times New Roman" w:hAnsi="Times New Roman"/>
                <w:bCs/>
                <w:lang w:val="uk-UA"/>
              </w:rPr>
            </w:pPr>
          </w:p>
          <w:p w:rsidR="00887CDE" w:rsidRPr="00887CDE" w:rsidRDefault="00887CDE" w:rsidP="00887CDE">
            <w:pPr>
              <w:spacing w:after="0" w:line="240" w:lineRule="auto"/>
              <w:ind w:firstLine="851"/>
              <w:jc w:val="both"/>
              <w:rPr>
                <w:rFonts w:ascii="Times New Roman" w:eastAsia="Times New Roman" w:hAnsi="Times New Roman"/>
                <w:bCs/>
                <w:lang w:val="uk-UA"/>
              </w:rPr>
            </w:pPr>
            <w:r w:rsidRPr="00887CDE">
              <w:rPr>
                <w:rFonts w:ascii="Times New Roman" w:eastAsia="Times New Roman" w:hAnsi="Times New Roman"/>
                <w:bCs/>
                <w:lang w:val="uk-UA"/>
              </w:rPr>
              <w:t>1) протягом розрахункового місяця М – з використанням нормованого на одиницю погодинного добового графіка надходження електричної енергії (споживання «брутто») до електричних мереж ОСР за відповідну добу Д та середньодобового обсягу споживання відповідної площадки вимірювання, визначеного на основі сертифікованих обсягів споживання у місяцях М-2 та М-1 (після їх формування, але не пізніше 12 числа місяця М), з подальшим обов’язковим коригуванням до 00:00 13 числа місяця М графіків, розрахованих із застосуванням даних за М-2;</w:t>
            </w:r>
          </w:p>
          <w:p w:rsidR="00887CDE" w:rsidRPr="00887CDE" w:rsidRDefault="00887CDE" w:rsidP="00887CDE">
            <w:pPr>
              <w:spacing w:after="0" w:line="240" w:lineRule="auto"/>
              <w:ind w:firstLine="851"/>
              <w:jc w:val="both"/>
              <w:rPr>
                <w:rFonts w:ascii="Times New Roman" w:eastAsia="Times New Roman" w:hAnsi="Times New Roman"/>
                <w:bCs/>
                <w:lang w:val="uk-UA"/>
              </w:rPr>
            </w:pPr>
          </w:p>
          <w:p w:rsidR="00887CDE" w:rsidRPr="007E6620" w:rsidRDefault="00887CDE" w:rsidP="00887CDE">
            <w:pPr>
              <w:spacing w:after="0" w:line="240" w:lineRule="auto"/>
              <w:ind w:firstLine="851"/>
              <w:jc w:val="both"/>
              <w:rPr>
                <w:rFonts w:ascii="Times New Roman" w:eastAsia="Times New Roman" w:hAnsi="Times New Roman"/>
                <w:bCs/>
                <w:lang w:val="uk-UA"/>
              </w:rPr>
            </w:pPr>
            <w:r w:rsidRPr="00887CDE">
              <w:rPr>
                <w:rFonts w:ascii="Times New Roman" w:eastAsia="Times New Roman" w:hAnsi="Times New Roman"/>
                <w:bCs/>
                <w:lang w:val="uk-UA"/>
              </w:rPr>
              <w:t>2) після завершення розрахункового місяця М – з використанням нормованого на одиницю погодинного місячного графіка надходження електричної енергії (споживання «брутто») до електричних мереж ОСР та обсягу споживання відповідної площадки за місяць М.</w:t>
            </w:r>
          </w:p>
        </w:tc>
        <w:tc>
          <w:tcPr>
            <w:tcW w:w="7085" w:type="dxa"/>
          </w:tcPr>
          <w:p w:rsidR="00887CDE" w:rsidRPr="00D901E7" w:rsidRDefault="00887CDE" w:rsidP="00DD0F7F">
            <w:pPr>
              <w:spacing w:after="0" w:line="240" w:lineRule="auto"/>
              <w:ind w:firstLine="851"/>
              <w:jc w:val="both"/>
              <w:rPr>
                <w:rFonts w:ascii="Times New Roman" w:eastAsia="Times New Roman" w:hAnsi="Times New Roman"/>
                <w:bCs/>
                <w:lang w:val="uk-UA"/>
              </w:rPr>
            </w:pPr>
            <w:r w:rsidRPr="00D901E7">
              <w:rPr>
                <w:rFonts w:ascii="Times New Roman" w:eastAsia="Times New Roman" w:hAnsi="Times New Roman"/>
                <w:bCs/>
                <w:lang w:val="uk-UA"/>
              </w:rPr>
              <w:t>1.12. Погодинні графіки електричного навантаження для кожної з площадок вимірювання групи «а», оперативні дані з яких більш ніж за 10 діб місяця М по одній або кількох точках комерційного обліку були заміщені або за наростаючим підсумком не відповідали фактичним даним чи вимогам Кодексу комерційного обліку щодо гарантованого погодинного зчитування, щодобового формування та передачі даних до АКО, для розрахункових періодів до 31 грудня 202</w:t>
            </w:r>
            <w:r w:rsidR="00DD0F7F" w:rsidRPr="001C1BD4">
              <w:rPr>
                <w:rFonts w:ascii="Times New Roman" w:eastAsia="Times New Roman" w:hAnsi="Times New Roman"/>
                <w:bCs/>
                <w:lang w:val="uk-UA"/>
              </w:rPr>
              <w:t>5</w:t>
            </w:r>
            <w:r w:rsidRPr="00D901E7">
              <w:rPr>
                <w:rFonts w:ascii="Times New Roman" w:eastAsia="Times New Roman" w:hAnsi="Times New Roman"/>
                <w:bCs/>
                <w:lang w:val="uk-UA"/>
              </w:rPr>
              <w:t xml:space="preserve"> року включно</w:t>
            </w:r>
            <w:r w:rsidR="00E06B53" w:rsidRPr="00D901E7">
              <w:rPr>
                <w:rFonts w:ascii="Times New Roman" w:eastAsia="Times New Roman" w:hAnsi="Times New Roman"/>
                <w:bCs/>
                <w:lang w:val="uk-UA"/>
              </w:rPr>
              <w:t xml:space="preserve"> (</w:t>
            </w:r>
            <w:r w:rsidR="00DD0F7F" w:rsidRPr="00D901E7">
              <w:rPr>
                <w:rFonts w:ascii="Times New Roman" w:eastAsia="Times New Roman" w:hAnsi="Times New Roman"/>
                <w:b/>
                <w:bCs/>
                <w:lang w:val="uk-UA"/>
              </w:rPr>
              <w:t>а для</w:t>
            </w:r>
            <w:r w:rsidR="00DD0F7F" w:rsidRPr="00D901E7">
              <w:rPr>
                <w:rFonts w:ascii="Times New Roman" w:eastAsia="Times New Roman" w:hAnsi="Times New Roman"/>
                <w:bCs/>
                <w:lang w:val="uk-UA"/>
              </w:rPr>
              <w:t xml:space="preserve"> </w:t>
            </w:r>
            <w:r w:rsidR="00E06B53" w:rsidRPr="00D901E7">
              <w:rPr>
                <w:rFonts w:ascii="Times New Roman" w:eastAsia="Times New Roman" w:hAnsi="Times New Roman"/>
                <w:b/>
                <w:bCs/>
                <w:lang w:val="uk-UA"/>
              </w:rPr>
              <w:t>площадок вимірювання групи «а»</w:t>
            </w:r>
            <w:r w:rsidR="00E06B53" w:rsidRPr="00D901E7">
              <w:rPr>
                <w:rFonts w:ascii="Times New Roman" w:eastAsia="Times New Roman" w:hAnsi="Times New Roman"/>
                <w:bCs/>
                <w:lang w:val="uk-UA"/>
              </w:rPr>
              <w:t xml:space="preserve"> </w:t>
            </w:r>
            <w:r w:rsidR="00DD0F7F" w:rsidRPr="00D901E7">
              <w:rPr>
                <w:rFonts w:ascii="Times New Roman" w:eastAsia="Times New Roman" w:hAnsi="Times New Roman"/>
                <w:b/>
                <w:bCs/>
                <w:lang w:val="uk-UA"/>
              </w:rPr>
              <w:t>підприємств, установ та організацій, які фінансуються з державного та місцевих бюджетів</w:t>
            </w:r>
            <w:r w:rsidR="00E06B53" w:rsidRPr="00D901E7">
              <w:rPr>
                <w:rFonts w:ascii="Times New Roman" w:eastAsia="Times New Roman" w:hAnsi="Times New Roman"/>
                <w:b/>
                <w:bCs/>
                <w:lang w:val="uk-UA"/>
              </w:rPr>
              <w:t xml:space="preserve">, - </w:t>
            </w:r>
            <w:r w:rsidR="00DD0F7F" w:rsidRPr="00D901E7">
              <w:rPr>
                <w:rFonts w:ascii="Times New Roman" w:eastAsia="Times New Roman" w:hAnsi="Times New Roman"/>
                <w:b/>
                <w:bCs/>
                <w:lang w:val="uk-UA"/>
              </w:rPr>
              <w:t>до</w:t>
            </w:r>
            <w:r w:rsidR="00E06B53" w:rsidRPr="00D901E7">
              <w:rPr>
                <w:rFonts w:ascii="Times New Roman" w:eastAsia="Times New Roman" w:hAnsi="Times New Roman"/>
                <w:b/>
                <w:bCs/>
                <w:lang w:val="uk-UA"/>
              </w:rPr>
              <w:t xml:space="preserve"> </w:t>
            </w:r>
            <w:r w:rsidR="00DD0F7F" w:rsidRPr="00D901E7">
              <w:rPr>
                <w:rFonts w:ascii="Times New Roman" w:eastAsia="Times New Roman" w:hAnsi="Times New Roman"/>
                <w:b/>
                <w:bCs/>
                <w:lang w:val="uk-UA"/>
              </w:rPr>
              <w:t>31 грудня 2026 року включно</w:t>
            </w:r>
            <w:r w:rsidR="00E06B53" w:rsidRPr="00D901E7">
              <w:rPr>
                <w:rFonts w:ascii="Times New Roman" w:eastAsia="Times New Roman" w:hAnsi="Times New Roman"/>
                <w:b/>
                <w:bCs/>
                <w:lang w:val="uk-UA"/>
              </w:rPr>
              <w:t>)</w:t>
            </w:r>
            <w:r w:rsidR="00DD0F7F" w:rsidRPr="00D901E7">
              <w:rPr>
                <w:rFonts w:ascii="Times New Roman" w:eastAsia="Times New Roman" w:hAnsi="Times New Roman"/>
                <w:bCs/>
                <w:lang w:val="uk-UA"/>
              </w:rPr>
              <w:t xml:space="preserve"> </w:t>
            </w:r>
            <w:r w:rsidRPr="00D901E7">
              <w:rPr>
                <w:rFonts w:ascii="Times New Roman" w:eastAsia="Times New Roman" w:hAnsi="Times New Roman"/>
                <w:bCs/>
                <w:lang w:val="uk-UA"/>
              </w:rPr>
              <w:t>формуються для відповідної доби Д місяця М наступним чином:</w:t>
            </w:r>
          </w:p>
          <w:p w:rsidR="00887CDE" w:rsidRPr="00D901E7" w:rsidRDefault="00887CDE" w:rsidP="00887CDE">
            <w:pPr>
              <w:spacing w:after="0" w:line="240" w:lineRule="auto"/>
              <w:ind w:firstLine="851"/>
              <w:jc w:val="both"/>
              <w:rPr>
                <w:rFonts w:ascii="Times New Roman" w:eastAsia="Times New Roman" w:hAnsi="Times New Roman"/>
                <w:bCs/>
                <w:lang w:val="uk-UA"/>
              </w:rPr>
            </w:pPr>
          </w:p>
          <w:p w:rsidR="00887CDE" w:rsidRPr="00D901E7" w:rsidRDefault="00887CDE" w:rsidP="00887CDE">
            <w:pPr>
              <w:spacing w:after="0" w:line="240" w:lineRule="auto"/>
              <w:ind w:firstLine="851"/>
              <w:jc w:val="both"/>
              <w:rPr>
                <w:rFonts w:ascii="Times New Roman" w:eastAsia="Times New Roman" w:hAnsi="Times New Roman"/>
                <w:bCs/>
                <w:lang w:val="uk-UA"/>
              </w:rPr>
            </w:pPr>
            <w:r w:rsidRPr="00D901E7">
              <w:rPr>
                <w:rFonts w:ascii="Times New Roman" w:eastAsia="Times New Roman" w:hAnsi="Times New Roman"/>
                <w:bCs/>
                <w:lang w:val="uk-UA"/>
              </w:rPr>
              <w:t>1) протягом розрахункового місяця М – з використанням нормованого на одиницю погодинного добового графіка надходження електричної енергії (споживання «брутто») до електричних мереж ОСР за відповідну добу Д та середньодобового обсягу споживання відповідної площадки вимірювання, визначеного на основі сертифікованих обсягів споживання у місяцях М-2 та М-1 (після їх формування, але не пізніше 12 числа місяця М), з подальшим обов’язковим коригуванням до 00:00 13 числа місяця М графіків, розрахованих із застосуванням даних за М-2;</w:t>
            </w:r>
          </w:p>
          <w:p w:rsidR="00887CDE" w:rsidRPr="00D901E7" w:rsidRDefault="00887CDE" w:rsidP="00887CDE">
            <w:pPr>
              <w:spacing w:after="0" w:line="240" w:lineRule="auto"/>
              <w:ind w:firstLine="851"/>
              <w:jc w:val="both"/>
              <w:rPr>
                <w:rFonts w:ascii="Times New Roman" w:eastAsia="Times New Roman" w:hAnsi="Times New Roman"/>
                <w:bCs/>
                <w:lang w:val="uk-UA"/>
              </w:rPr>
            </w:pPr>
          </w:p>
          <w:p w:rsidR="00887CDE" w:rsidRPr="00D901E7" w:rsidRDefault="00887CDE" w:rsidP="00D660B1">
            <w:pPr>
              <w:spacing w:after="0" w:line="240" w:lineRule="auto"/>
              <w:ind w:firstLine="851"/>
              <w:jc w:val="both"/>
              <w:rPr>
                <w:rFonts w:ascii="Times New Roman" w:eastAsia="Times New Roman" w:hAnsi="Times New Roman"/>
                <w:bCs/>
                <w:lang w:val="uk-UA"/>
              </w:rPr>
            </w:pPr>
            <w:r w:rsidRPr="00D901E7">
              <w:rPr>
                <w:rFonts w:ascii="Times New Roman" w:eastAsia="Times New Roman" w:hAnsi="Times New Roman"/>
                <w:bCs/>
                <w:lang w:val="uk-UA"/>
              </w:rPr>
              <w:t>2) після завершення розрахункового місяця М – з використанням нормованого на одиницю погодинного місячного графіка надходження електричної енергії (споживання «брутто») до електричних мереж ОСР та обсягу споживання відповідної площадки за місяць М.</w:t>
            </w:r>
          </w:p>
        </w:tc>
      </w:tr>
      <w:tr w:rsidR="00823534" w:rsidRPr="001C1BD4" w:rsidTr="001E3919">
        <w:trPr>
          <w:trHeight w:val="274"/>
        </w:trPr>
        <w:tc>
          <w:tcPr>
            <w:tcW w:w="7085" w:type="dxa"/>
          </w:tcPr>
          <w:p w:rsidR="00823534" w:rsidRPr="007E6620" w:rsidRDefault="00823534" w:rsidP="00823534">
            <w:pPr>
              <w:spacing w:after="0" w:line="240" w:lineRule="auto"/>
              <w:ind w:firstLine="851"/>
              <w:jc w:val="both"/>
              <w:rPr>
                <w:rFonts w:ascii="Times New Roman" w:eastAsia="Times New Roman" w:hAnsi="Times New Roman"/>
                <w:bCs/>
                <w:lang w:val="uk-UA"/>
              </w:rPr>
            </w:pPr>
            <w:r w:rsidRPr="007E6620">
              <w:rPr>
                <w:rFonts w:ascii="Times New Roman" w:eastAsia="Times New Roman" w:hAnsi="Times New Roman"/>
                <w:bCs/>
                <w:lang w:val="uk-UA"/>
              </w:rPr>
              <w:t>1.13. Починаючи з 01 січня 2026 року, погодинні графіки електричного навантаження для зазначених у пункті 1.12 площадок вимірювання формуються для відповідної доби Д місяця М наступним чином:</w:t>
            </w:r>
          </w:p>
          <w:p w:rsidR="00823534" w:rsidRDefault="00823534" w:rsidP="00823534">
            <w:pPr>
              <w:spacing w:after="0" w:line="240" w:lineRule="auto"/>
              <w:ind w:firstLine="851"/>
              <w:jc w:val="both"/>
              <w:rPr>
                <w:rFonts w:ascii="Times New Roman" w:eastAsia="Times New Roman" w:hAnsi="Times New Roman"/>
                <w:bCs/>
                <w:lang w:val="uk-UA"/>
              </w:rPr>
            </w:pPr>
          </w:p>
          <w:p w:rsidR="00823534" w:rsidRPr="007E6620" w:rsidRDefault="00823534" w:rsidP="00823534">
            <w:pPr>
              <w:spacing w:after="0" w:line="240" w:lineRule="auto"/>
              <w:ind w:firstLine="851"/>
              <w:jc w:val="both"/>
              <w:rPr>
                <w:rFonts w:ascii="Times New Roman" w:eastAsia="Times New Roman" w:hAnsi="Times New Roman"/>
                <w:bCs/>
                <w:lang w:val="uk-UA"/>
              </w:rPr>
            </w:pPr>
            <w:r w:rsidRPr="007E6620">
              <w:rPr>
                <w:rFonts w:ascii="Times New Roman" w:eastAsia="Times New Roman" w:hAnsi="Times New Roman"/>
                <w:bCs/>
                <w:lang w:val="uk-UA"/>
              </w:rPr>
              <w:lastRenderedPageBreak/>
              <w:t>1) протягом розрахункового місяця – з використанням середньодобового обсягу споживання електричної енергії (</w:t>
            </w:r>
            <m:oMath>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а,Д</m:t>
                  </m:r>
                </m:sub>
                <m:sup>
                  <m:r>
                    <m:rPr>
                      <m:nor/>
                    </m:rPr>
                    <w:rPr>
                      <w:rFonts w:ascii="Times New Roman" w:eastAsia="Times New Roman" w:hAnsi="Times New Roman"/>
                      <w:bCs/>
                      <w:lang w:val="uk-UA"/>
                    </w:rPr>
                    <m:t>спож.</m:t>
                  </m:r>
                </m:sup>
              </m:sSubSup>
              <m:r>
                <m:rPr>
                  <m:sty m:val="p"/>
                </m:rPr>
                <w:rPr>
                  <w:rFonts w:ascii="Cambria Math" w:eastAsia="Times New Roman" w:hAnsi="Cambria Math"/>
                  <w:lang w:val="uk-UA"/>
                </w:rPr>
                <m:t>)</m:t>
              </m:r>
            </m:oMath>
            <w:r w:rsidRPr="007E6620">
              <w:rPr>
                <w:rFonts w:ascii="Times New Roman" w:eastAsia="Times New Roman" w:hAnsi="Times New Roman"/>
                <w:lang w:val="uk-UA"/>
              </w:rPr>
              <w:t xml:space="preserve"> відповідної</w:t>
            </w:r>
            <w:r w:rsidRPr="007E6620">
              <w:rPr>
                <w:rFonts w:ascii="Times New Roman" w:eastAsia="Times New Roman" w:hAnsi="Times New Roman"/>
                <w:bCs/>
                <w:lang w:val="uk-UA"/>
              </w:rPr>
              <w:t xml:space="preserve"> площадки вимірювання, визначеного на основі фактичних даних за М-2 та М-1 (з коригуванням графіків за оновленими даними до 00:00 13 числа місяця М) та погодинних стимулюючих коефіцієнтів (</w:t>
            </w:r>
            <m:oMath>
              <m:sSubSup>
                <m:sSubSupPr>
                  <m:ctrlPr>
                    <w:rPr>
                      <w:rFonts w:ascii="Cambria Math" w:eastAsia="Times New Roman" w:hAnsi="Cambria Math"/>
                      <w:bCs/>
                      <w:lang w:val="uk-UA"/>
                    </w:rPr>
                  </m:ctrlPr>
                </m:sSubSupPr>
                <m:e>
                  <m:r>
                    <w:rPr>
                      <w:rFonts w:ascii="Cambria Math" w:eastAsia="Times New Roman" w:hAnsi="Cambria Math"/>
                      <w:lang w:val="uk-UA"/>
                    </w:rPr>
                    <m:t>k</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стим</m:t>
                  </m:r>
                </m:sup>
              </m:sSubSup>
              <m:r>
                <m:rPr>
                  <m:sty m:val="p"/>
                </m:rPr>
                <w:rPr>
                  <w:rFonts w:ascii="Cambria Math" w:eastAsia="Times New Roman" w:hAnsi="Cambria Math"/>
                  <w:lang w:val="uk-UA"/>
                </w:rPr>
                <m:t>)</m:t>
              </m:r>
            </m:oMath>
            <w:r w:rsidRPr="007E6620">
              <w:rPr>
                <w:rFonts w:ascii="Times New Roman" w:eastAsia="Times New Roman" w:hAnsi="Times New Roman"/>
                <w:bCs/>
                <w:lang w:val="uk-UA"/>
              </w:rPr>
              <w:t>, згідно з формулою:</w:t>
            </w:r>
          </w:p>
          <w:p w:rsidR="00823534" w:rsidRPr="007E6620" w:rsidRDefault="001C1BD4" w:rsidP="00823534">
            <w:pPr>
              <w:spacing w:after="0" w:line="240" w:lineRule="auto"/>
              <w:ind w:firstLine="851"/>
              <w:jc w:val="both"/>
              <w:rPr>
                <w:rFonts w:ascii="Times New Roman" w:eastAsia="Times New Roman" w:hAnsi="Times New Roman"/>
                <w:bCs/>
                <w:lang w:val="uk-UA"/>
              </w:rPr>
            </w:pPr>
            <m:oMath>
              <m:sSubSup>
                <m:sSubSupPr>
                  <m:ctrlPr>
                    <w:rPr>
                      <w:rFonts w:ascii="Cambria Math" w:eastAsia="Times New Roman" w:hAnsi="Cambria Math"/>
                      <w:bCs/>
                      <w:lang w:val="uk-UA"/>
                    </w:rPr>
                  </m:ctrlPr>
                </m:sSubSupPr>
                <m:e>
                  <m:r>
                    <m:rPr>
                      <m:sty m:val="p"/>
                    </m:rPr>
                    <w:rPr>
                      <w:rFonts w:ascii="Cambria Math" w:eastAsia="Times New Roman" w:hAnsi="Cambria Math"/>
                      <w:lang w:val="uk-UA"/>
                    </w:rPr>
                    <m:t>Е</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а</m:t>
                  </m:r>
                </m:sup>
              </m:sSubSup>
              <m:r>
                <m:rPr>
                  <m:sty m:val="p"/>
                </m:rP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а,Д</m:t>
                  </m:r>
                </m:sub>
                <m:sup>
                  <m:r>
                    <m:rPr>
                      <m:nor/>
                    </m:rPr>
                    <w:rPr>
                      <w:rFonts w:ascii="Times New Roman" w:eastAsia="Times New Roman" w:hAnsi="Times New Roman"/>
                      <w:bCs/>
                      <w:lang w:val="uk-UA"/>
                    </w:rPr>
                    <m:t>спож.</m:t>
                  </m:r>
                </m:sup>
              </m:sSubSup>
              <m:r>
                <m:rPr>
                  <m:sty m:val="p"/>
                </m:rP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k</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стим</m:t>
                  </m:r>
                </m:sup>
              </m:sSubSup>
            </m:oMath>
            <w:r w:rsidR="00823534" w:rsidRPr="007E6620">
              <w:rPr>
                <w:rFonts w:ascii="Times New Roman" w:eastAsia="Times New Roman" w:hAnsi="Times New Roman"/>
                <w:bCs/>
                <w:lang w:val="uk-UA"/>
              </w:rPr>
              <w:t>,  кВт год</w:t>
            </w:r>
          </w:p>
          <w:p w:rsidR="00823534" w:rsidRPr="007E6620" w:rsidRDefault="00823534" w:rsidP="00823534">
            <w:pPr>
              <w:spacing w:after="0" w:line="240" w:lineRule="auto"/>
              <w:ind w:firstLine="851"/>
              <w:jc w:val="both"/>
              <w:rPr>
                <w:rFonts w:ascii="Times New Roman" w:eastAsia="Times New Roman" w:hAnsi="Times New Roman"/>
                <w:bCs/>
                <w:lang w:val="uk-UA"/>
              </w:rPr>
            </w:pPr>
            <w:r w:rsidRPr="007E6620">
              <w:rPr>
                <w:rFonts w:ascii="Times New Roman" w:eastAsia="Times New Roman" w:hAnsi="Times New Roman"/>
                <w:bCs/>
                <w:lang w:val="uk-UA"/>
              </w:rPr>
              <w:t xml:space="preserve">де: </w:t>
            </w:r>
            <m:oMath>
              <m:sSubSup>
                <m:sSubSupPr>
                  <m:ctrlPr>
                    <w:rPr>
                      <w:rFonts w:ascii="Cambria Math" w:eastAsia="Times New Roman" w:hAnsi="Cambria Math"/>
                      <w:bCs/>
                      <w:lang w:val="uk-UA"/>
                    </w:rPr>
                  </m:ctrlPr>
                </m:sSubSupPr>
                <m:e>
                  <m:r>
                    <w:rPr>
                      <w:rFonts w:ascii="Cambria Math" w:eastAsia="Times New Roman" w:hAnsi="Cambria Math"/>
                      <w:lang w:val="uk-UA"/>
                    </w:rPr>
                    <m:t>k</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стим</m:t>
                  </m:r>
                </m:sup>
              </m:sSubSup>
              <m:r>
                <m:rPr>
                  <m:sty m:val="p"/>
                </m:rPr>
                <w:rPr>
                  <w:rFonts w:ascii="Cambria Math" w:eastAsia="Times New Roman" w:hAnsi="Cambria Math"/>
                  <w:lang w:val="uk-UA"/>
                </w:rPr>
                <m:t>=</m:t>
              </m:r>
              <m:f>
                <m:fPr>
                  <m:ctrlPr>
                    <w:rPr>
                      <w:rFonts w:ascii="Cambria Math" w:eastAsia="Times New Roman" w:hAnsi="Cambria Math"/>
                      <w:bCs/>
                      <w:lang w:val="uk-UA"/>
                    </w:rPr>
                  </m:ctrlPr>
                </m:fPr>
                <m:num>
                  <m:sSubSup>
                    <m:sSubSupPr>
                      <m:ctrlPr>
                        <w:rPr>
                          <w:rFonts w:ascii="Cambria Math" w:eastAsia="Times New Roman" w:hAnsi="Cambria Math"/>
                          <w:bCs/>
                          <w:lang w:val="uk-UA"/>
                        </w:rPr>
                      </m:ctrlPr>
                    </m:sSubSupPr>
                    <m:e>
                      <m:r>
                        <w:rPr>
                          <w:rFonts w:ascii="Cambria Math" w:eastAsia="Times New Roman" w:hAnsi="Cambria Math"/>
                          <w:lang w:val="uk-UA"/>
                        </w:rPr>
                        <m:t>PDAM</m:t>
                      </m:r>
                    </m:e>
                    <m:sub>
                      <m:r>
                        <w:rPr>
                          <w:rFonts w:ascii="Cambria Math" w:eastAsia="Times New Roman" w:hAnsi="Cambria Math"/>
                          <w:lang w:val="uk-UA"/>
                        </w:rPr>
                        <m:t>z</m:t>
                      </m:r>
                      <m:r>
                        <m:rPr>
                          <m:sty m:val="p"/>
                        </m:rPr>
                        <w:rPr>
                          <w:rFonts w:ascii="Cambria Math" w:eastAsia="Times New Roman" w:hAnsi="Cambria Math"/>
                          <w:lang w:val="uk-UA"/>
                        </w:rPr>
                        <m:t>,</m:t>
                      </m:r>
                      <m:r>
                        <w:rPr>
                          <w:rFonts w:ascii="Cambria Math" w:eastAsia="Times New Roman" w:hAnsi="Cambria Math"/>
                          <w:lang w:val="uk-UA"/>
                        </w:rPr>
                        <m:t>t</m:t>
                      </m:r>
                    </m:sub>
                    <m:sup/>
                  </m:sSubSup>
                </m:num>
                <m:den>
                  <m:r>
                    <m:rPr>
                      <m:sty m:val="p"/>
                    </m:rP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PDAM</m:t>
                      </m:r>
                    </m:e>
                    <m:sub>
                      <m:r>
                        <w:rPr>
                          <w:rFonts w:ascii="Cambria Math" w:eastAsia="Times New Roman" w:hAnsi="Cambria Math"/>
                          <w:lang w:val="uk-UA"/>
                        </w:rPr>
                        <m:t>z</m:t>
                      </m:r>
                      <m:r>
                        <m:rPr>
                          <m:sty m:val="p"/>
                        </m:rPr>
                        <w:rPr>
                          <w:rFonts w:ascii="Cambria Math" w:eastAsia="Times New Roman" w:hAnsi="Cambria Math"/>
                          <w:lang w:val="uk-UA"/>
                        </w:rPr>
                        <m:t>,</m:t>
                      </m:r>
                      <m:r>
                        <w:rPr>
                          <w:rFonts w:ascii="Cambria Math" w:eastAsia="Times New Roman" w:hAnsi="Cambria Math"/>
                          <w:lang w:val="uk-UA"/>
                        </w:rPr>
                        <m:t>t</m:t>
                      </m:r>
                    </m:sub>
                    <m:sup/>
                  </m:sSubSup>
                </m:den>
              </m:f>
            </m:oMath>
            <w:r w:rsidRPr="007E6620">
              <w:rPr>
                <w:rFonts w:ascii="Times New Roman" w:eastAsia="Times New Roman" w:hAnsi="Times New Roman"/>
                <w:bCs/>
                <w:lang w:val="uk-UA"/>
              </w:rPr>
              <w:t xml:space="preserve"> – погодинний стимулюючий коефіцієнт, у відносних одиницях з точністю до шести цифр після коми;</w:t>
            </w:r>
          </w:p>
          <w:p w:rsidR="00823534" w:rsidRPr="007E6620" w:rsidRDefault="00823534" w:rsidP="00823534">
            <w:pPr>
              <w:spacing w:after="0" w:line="240" w:lineRule="auto"/>
              <w:ind w:firstLine="851"/>
              <w:jc w:val="both"/>
              <w:rPr>
                <w:rFonts w:ascii="Times New Roman" w:eastAsia="Times New Roman" w:hAnsi="Times New Roman"/>
                <w:bCs/>
                <w:lang w:val="uk-UA"/>
              </w:rPr>
            </w:pPr>
            <w:r w:rsidRPr="007E6620">
              <w:rPr>
                <w:rFonts w:ascii="Times New Roman" w:eastAsia="Times New Roman" w:hAnsi="Times New Roman"/>
                <w:bCs/>
                <w:i/>
                <w:iCs/>
                <w:lang w:val="uk-UA"/>
              </w:rPr>
              <w:t>t</w:t>
            </w:r>
            <w:r w:rsidRPr="007E6620">
              <w:rPr>
                <w:rFonts w:ascii="Times New Roman" w:eastAsia="Times New Roman" w:hAnsi="Times New Roman"/>
                <w:bCs/>
                <w:lang w:val="uk-UA"/>
              </w:rPr>
              <w:t xml:space="preserve"> – година доби </w:t>
            </w:r>
            <w:r w:rsidRPr="007E6620">
              <w:rPr>
                <w:rFonts w:ascii="Times New Roman" w:eastAsia="Times New Roman" w:hAnsi="Times New Roman"/>
                <w:bCs/>
                <w:i/>
                <w:iCs/>
                <w:lang w:val="uk-UA"/>
              </w:rPr>
              <w:t>Д</w:t>
            </w:r>
            <w:r w:rsidRPr="007E6620">
              <w:rPr>
                <w:rFonts w:ascii="Times New Roman" w:eastAsia="Times New Roman" w:hAnsi="Times New Roman"/>
                <w:bCs/>
                <w:lang w:val="uk-UA"/>
              </w:rPr>
              <w:t xml:space="preserve"> місяця </w:t>
            </w:r>
            <w:r w:rsidRPr="007E6620">
              <w:rPr>
                <w:rFonts w:ascii="Times New Roman" w:eastAsia="Times New Roman" w:hAnsi="Times New Roman"/>
                <w:bCs/>
                <w:i/>
                <w:iCs/>
                <w:lang w:val="uk-UA"/>
              </w:rPr>
              <w:t>М;</w:t>
            </w:r>
          </w:p>
          <w:p w:rsidR="00823534" w:rsidRPr="007E6620" w:rsidRDefault="001C1BD4" w:rsidP="00823534">
            <w:pPr>
              <w:spacing w:after="0" w:line="240" w:lineRule="auto"/>
              <w:ind w:firstLine="851"/>
              <w:jc w:val="both"/>
              <w:rPr>
                <w:rFonts w:ascii="Times New Roman" w:eastAsia="Times New Roman" w:hAnsi="Times New Roman"/>
                <w:bCs/>
                <w:lang w:val="uk-UA"/>
              </w:rPr>
            </w:pPr>
            <m:oMath>
              <m:sSubSup>
                <m:sSubSupPr>
                  <m:ctrlPr>
                    <w:rPr>
                      <w:rFonts w:ascii="Cambria Math" w:eastAsia="Times New Roman" w:hAnsi="Cambria Math"/>
                      <w:bCs/>
                      <w:lang w:val="uk-UA"/>
                    </w:rPr>
                  </m:ctrlPr>
                </m:sSubSupPr>
                <m:e>
                  <m:r>
                    <w:rPr>
                      <w:rFonts w:ascii="Cambria Math" w:eastAsia="Times New Roman" w:hAnsi="Cambria Math"/>
                      <w:lang w:val="uk-UA"/>
                    </w:rPr>
                    <m:t>PDAM</m:t>
                  </m:r>
                </m:e>
                <m:sub>
                  <m:r>
                    <w:rPr>
                      <w:rFonts w:ascii="Cambria Math" w:eastAsia="Times New Roman" w:hAnsi="Cambria Math"/>
                      <w:lang w:val="uk-UA"/>
                    </w:rPr>
                    <m:t>z</m:t>
                  </m:r>
                  <m:r>
                    <m:rPr>
                      <m:sty m:val="p"/>
                    </m:rPr>
                    <w:rPr>
                      <w:rFonts w:ascii="Cambria Math" w:eastAsia="Times New Roman" w:hAnsi="Cambria Math"/>
                      <w:lang w:val="uk-UA"/>
                    </w:rPr>
                    <m:t>,</m:t>
                  </m:r>
                  <m:r>
                    <w:rPr>
                      <w:rFonts w:ascii="Cambria Math" w:eastAsia="Times New Roman" w:hAnsi="Cambria Math"/>
                      <w:lang w:val="uk-UA"/>
                    </w:rPr>
                    <m:t>t</m:t>
                  </m:r>
                </m:sub>
                <m:sup/>
              </m:sSubSup>
            </m:oMath>
            <w:r w:rsidR="00823534" w:rsidRPr="007E6620">
              <w:rPr>
                <w:rFonts w:ascii="Times New Roman" w:eastAsia="Times New Roman" w:hAnsi="Times New Roman"/>
                <w:bCs/>
                <w:lang w:val="uk-UA"/>
              </w:rPr>
              <w:t xml:space="preserve"> – середньорічна ціна електричної енергії на РДН, що склалася у відповідній годині t  та зоні z протягом попереднього календарного року (з урахуванням переходу на літній/зимовий час), грн/</w:t>
            </w:r>
            <w:proofErr w:type="spellStart"/>
            <w:r w:rsidR="00823534" w:rsidRPr="007E6620">
              <w:rPr>
                <w:rFonts w:ascii="Times New Roman" w:eastAsia="Times New Roman" w:hAnsi="Times New Roman"/>
                <w:bCs/>
                <w:lang w:val="uk-UA"/>
              </w:rPr>
              <w:t>МВт·год</w:t>
            </w:r>
            <w:proofErr w:type="spellEnd"/>
            <w:r w:rsidR="00823534" w:rsidRPr="007E6620">
              <w:rPr>
                <w:rFonts w:ascii="Times New Roman" w:eastAsia="Times New Roman" w:hAnsi="Times New Roman"/>
                <w:bCs/>
                <w:lang w:val="uk-UA"/>
              </w:rPr>
              <w:t>;</w:t>
            </w:r>
          </w:p>
          <w:p w:rsidR="00823534" w:rsidRPr="006F1390" w:rsidRDefault="00823534" w:rsidP="00823534">
            <w:pPr>
              <w:spacing w:after="0" w:line="240" w:lineRule="auto"/>
              <w:ind w:firstLine="851"/>
              <w:jc w:val="both"/>
              <w:rPr>
                <w:rFonts w:ascii="Times New Roman" w:eastAsia="Times New Roman" w:hAnsi="Times New Roman"/>
                <w:bCs/>
                <w:lang w:val="uk-UA"/>
              </w:rPr>
            </w:pPr>
            <m:oMath>
              <m:r>
                <m:rPr>
                  <m:sty m:val="p"/>
                </m:rP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PDAM</m:t>
                  </m:r>
                </m:e>
                <m:sub>
                  <m:r>
                    <w:rPr>
                      <w:rFonts w:ascii="Cambria Math" w:eastAsia="Times New Roman" w:hAnsi="Cambria Math"/>
                      <w:lang w:val="uk-UA"/>
                    </w:rPr>
                    <m:t>z</m:t>
                  </m:r>
                  <m:r>
                    <m:rPr>
                      <m:sty m:val="p"/>
                    </m:rPr>
                    <w:rPr>
                      <w:rFonts w:ascii="Cambria Math" w:eastAsia="Times New Roman" w:hAnsi="Cambria Math"/>
                      <w:lang w:val="uk-UA"/>
                    </w:rPr>
                    <m:t>,</m:t>
                  </m:r>
                  <m:r>
                    <w:rPr>
                      <w:rFonts w:ascii="Cambria Math" w:eastAsia="Times New Roman" w:hAnsi="Cambria Math"/>
                      <w:lang w:val="uk-UA"/>
                    </w:rPr>
                    <m:t>t</m:t>
                  </m:r>
                </m:sub>
                <m:sup/>
              </m:sSubSup>
            </m:oMath>
            <w:r w:rsidRPr="007E6620">
              <w:rPr>
                <w:rFonts w:ascii="Times New Roman" w:eastAsia="Times New Roman" w:hAnsi="Times New Roman"/>
                <w:bCs/>
                <w:lang w:val="uk-UA"/>
              </w:rPr>
              <w:t xml:space="preserve"> - сума всіх середньорічних погодинних значень </w:t>
            </w:r>
            <m:oMath>
              <m:sSubSup>
                <m:sSubSupPr>
                  <m:ctrlPr>
                    <w:rPr>
                      <w:rFonts w:ascii="Cambria Math" w:eastAsia="Times New Roman" w:hAnsi="Cambria Math"/>
                      <w:bCs/>
                      <w:lang w:val="uk-UA"/>
                    </w:rPr>
                  </m:ctrlPr>
                </m:sSubSupPr>
                <m:e>
                  <m:r>
                    <w:rPr>
                      <w:rFonts w:ascii="Cambria Math" w:eastAsia="Times New Roman" w:hAnsi="Cambria Math"/>
                      <w:lang w:val="uk-UA"/>
                    </w:rPr>
                    <m:t>PDAM</m:t>
                  </m:r>
                </m:e>
                <m:sub>
                  <m:r>
                    <w:rPr>
                      <w:rFonts w:ascii="Cambria Math" w:eastAsia="Times New Roman" w:hAnsi="Cambria Math"/>
                      <w:lang w:val="uk-UA"/>
                    </w:rPr>
                    <m:t>z</m:t>
                  </m:r>
                  <m:r>
                    <m:rPr>
                      <m:sty m:val="p"/>
                    </m:rPr>
                    <w:rPr>
                      <w:rFonts w:ascii="Cambria Math" w:eastAsia="Times New Roman" w:hAnsi="Cambria Math"/>
                      <w:lang w:val="uk-UA"/>
                    </w:rPr>
                    <m:t>,</m:t>
                  </m:r>
                  <m:r>
                    <w:rPr>
                      <w:rFonts w:ascii="Cambria Math" w:eastAsia="Times New Roman" w:hAnsi="Cambria Math"/>
                      <w:lang w:val="uk-UA"/>
                    </w:rPr>
                    <m:t>t</m:t>
                  </m:r>
                </m:sub>
                <m:sup/>
              </m:sSubSup>
            </m:oMath>
            <w:r w:rsidRPr="007E6620">
              <w:rPr>
                <w:rFonts w:ascii="Times New Roman" w:eastAsia="Times New Roman" w:hAnsi="Times New Roman"/>
                <w:bCs/>
                <w:lang w:val="uk-UA"/>
              </w:rPr>
              <w:t xml:space="preserve"> </w:t>
            </w:r>
            <w:r w:rsidRPr="006F1390">
              <w:rPr>
                <w:rFonts w:ascii="Times New Roman" w:eastAsia="Times New Roman" w:hAnsi="Times New Roman"/>
                <w:bCs/>
                <w:lang w:val="uk-UA"/>
              </w:rPr>
              <w:t>;</w:t>
            </w:r>
          </w:p>
          <w:p w:rsidR="00823534" w:rsidRDefault="00823534" w:rsidP="00823534">
            <w:pPr>
              <w:spacing w:after="0" w:line="240" w:lineRule="auto"/>
              <w:ind w:firstLine="851"/>
              <w:jc w:val="both"/>
              <w:rPr>
                <w:rFonts w:ascii="Times New Roman" w:eastAsia="Times New Roman" w:hAnsi="Times New Roman"/>
                <w:bCs/>
                <w:lang w:val="uk-UA"/>
              </w:rPr>
            </w:pPr>
          </w:p>
          <w:p w:rsidR="00D733C3" w:rsidRDefault="00D733C3" w:rsidP="00823534">
            <w:pPr>
              <w:spacing w:after="0" w:line="240" w:lineRule="auto"/>
              <w:ind w:firstLine="851"/>
              <w:jc w:val="both"/>
              <w:rPr>
                <w:rFonts w:ascii="Times New Roman" w:eastAsia="Times New Roman" w:hAnsi="Times New Roman"/>
                <w:bCs/>
                <w:lang w:val="uk-UA"/>
              </w:rPr>
            </w:pPr>
          </w:p>
          <w:p w:rsidR="00D733C3" w:rsidRDefault="00D733C3" w:rsidP="00823534">
            <w:pPr>
              <w:spacing w:after="0" w:line="240" w:lineRule="auto"/>
              <w:ind w:firstLine="851"/>
              <w:jc w:val="both"/>
              <w:rPr>
                <w:rFonts w:ascii="Times New Roman" w:eastAsia="Times New Roman" w:hAnsi="Times New Roman"/>
                <w:bCs/>
                <w:lang w:val="uk-UA"/>
              </w:rPr>
            </w:pPr>
          </w:p>
          <w:p w:rsidR="00D733C3" w:rsidRDefault="00D733C3" w:rsidP="00823534">
            <w:pPr>
              <w:spacing w:after="0" w:line="240" w:lineRule="auto"/>
              <w:ind w:firstLine="851"/>
              <w:jc w:val="both"/>
              <w:rPr>
                <w:rFonts w:ascii="Times New Roman" w:eastAsia="Times New Roman" w:hAnsi="Times New Roman"/>
                <w:bCs/>
                <w:lang w:val="uk-UA"/>
              </w:rPr>
            </w:pPr>
          </w:p>
          <w:p w:rsidR="00D733C3" w:rsidRDefault="00D733C3" w:rsidP="00823534">
            <w:pPr>
              <w:spacing w:after="0" w:line="240" w:lineRule="auto"/>
              <w:ind w:firstLine="851"/>
              <w:jc w:val="both"/>
              <w:rPr>
                <w:rFonts w:ascii="Times New Roman" w:eastAsia="Times New Roman" w:hAnsi="Times New Roman"/>
                <w:bCs/>
                <w:lang w:val="uk-UA"/>
              </w:rPr>
            </w:pPr>
          </w:p>
          <w:p w:rsidR="00D733C3" w:rsidRDefault="00D733C3" w:rsidP="00823534">
            <w:pPr>
              <w:spacing w:after="0" w:line="240" w:lineRule="auto"/>
              <w:ind w:firstLine="851"/>
              <w:jc w:val="both"/>
              <w:rPr>
                <w:rFonts w:ascii="Times New Roman" w:eastAsia="Times New Roman" w:hAnsi="Times New Roman"/>
                <w:bCs/>
                <w:lang w:val="uk-UA"/>
              </w:rPr>
            </w:pPr>
          </w:p>
          <w:p w:rsidR="00823534" w:rsidRPr="007E6620" w:rsidRDefault="00823534" w:rsidP="00823534">
            <w:pPr>
              <w:spacing w:after="0" w:line="240" w:lineRule="auto"/>
              <w:ind w:firstLine="851"/>
              <w:jc w:val="both"/>
              <w:rPr>
                <w:rFonts w:ascii="Times New Roman" w:eastAsia="Times New Roman" w:hAnsi="Times New Roman"/>
                <w:bCs/>
                <w:lang w:val="uk-UA"/>
              </w:rPr>
            </w:pPr>
            <w:bookmarkStart w:id="0" w:name="_GoBack"/>
            <w:bookmarkEnd w:id="0"/>
            <w:r w:rsidRPr="007E6620">
              <w:rPr>
                <w:rFonts w:ascii="Times New Roman" w:eastAsia="Times New Roman" w:hAnsi="Times New Roman"/>
                <w:bCs/>
                <w:lang w:val="uk-UA"/>
              </w:rPr>
              <w:t>2) після завершення розрахункового місяця – з використанням фактичного обсягу споживання (</w:t>
            </w:r>
            <m:oMath>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а,М_факт</m:t>
                  </m:r>
                </m:sub>
                <m:sup>
                  <m:r>
                    <m:rPr>
                      <m:nor/>
                    </m:rPr>
                    <w:rPr>
                      <w:rFonts w:ascii="Times New Roman" w:eastAsia="Times New Roman" w:hAnsi="Times New Roman"/>
                      <w:bCs/>
                      <w:lang w:val="uk-UA"/>
                    </w:rPr>
                    <m:t>спож.</m:t>
                  </m:r>
                </m:sup>
              </m:sSubSup>
            </m:oMath>
            <w:r w:rsidRPr="007E6620">
              <w:rPr>
                <w:rFonts w:ascii="Times New Roman" w:eastAsia="Times New Roman" w:hAnsi="Times New Roman"/>
                <w:bCs/>
                <w:lang w:val="uk-UA"/>
              </w:rPr>
              <w:t>) відповідної площадки вимірювання за місяць М, а також добового коефіцієнту надходження електричної енергії (споживання «брутто») до електричних мереж ОСР (</w:t>
            </w:r>
            <m:oMath>
              <m:sSubSup>
                <m:sSubSupPr>
                  <m:ctrlPr>
                    <w:rPr>
                      <w:rFonts w:ascii="Cambria Math" w:eastAsia="Times New Roman" w:hAnsi="Cambria Math"/>
                      <w:bCs/>
                      <w:lang w:val="uk-UA"/>
                    </w:rPr>
                  </m:ctrlPr>
                </m:sSubSupPr>
                <m:e>
                  <m:r>
                    <w:rPr>
                      <w:rFonts w:ascii="Cambria Math" w:eastAsia="Times New Roman" w:hAnsi="Cambria Math"/>
                      <w:lang w:val="uk-UA"/>
                    </w:rPr>
                    <m:t>k</m:t>
                  </m:r>
                </m:e>
                <m:sub>
                  <m:r>
                    <m:rPr>
                      <m:sty m:val="p"/>
                    </m:rPr>
                    <w:rPr>
                      <w:rFonts w:ascii="Cambria Math" w:eastAsia="Times New Roman" w:hAnsi="Cambria Math"/>
                      <w:lang w:val="uk-UA"/>
                    </w:rPr>
                    <m:t>Д</m:t>
                  </m:r>
                </m:sub>
                <m:sup>
                  <m:r>
                    <m:rPr>
                      <m:sty m:val="p"/>
                    </m:rPr>
                    <w:rPr>
                      <w:rFonts w:ascii="Cambria Math" w:eastAsia="Times New Roman" w:hAnsi="Cambria Math"/>
                      <w:lang w:val="uk-UA"/>
                    </w:rPr>
                    <m:t>надх</m:t>
                  </m:r>
                </m:sup>
              </m:sSubSup>
            </m:oMath>
            <w:r w:rsidRPr="007E6620">
              <w:rPr>
                <w:rFonts w:ascii="Times New Roman" w:eastAsia="Times New Roman" w:hAnsi="Times New Roman"/>
                <w:bCs/>
                <w:lang w:val="uk-UA"/>
              </w:rPr>
              <w:t>) за відповідну добу Д місяця М</w:t>
            </w:r>
            <w:r w:rsidRPr="007E6620" w:rsidDel="00AB3400">
              <w:rPr>
                <w:rFonts w:ascii="Times New Roman" w:eastAsia="Times New Roman" w:hAnsi="Times New Roman"/>
                <w:bCs/>
                <w:lang w:val="uk-UA"/>
              </w:rPr>
              <w:t xml:space="preserve"> </w:t>
            </w:r>
            <w:r w:rsidRPr="007E6620">
              <w:rPr>
                <w:rFonts w:ascii="Times New Roman" w:eastAsia="Times New Roman" w:hAnsi="Times New Roman"/>
                <w:bCs/>
                <w:lang w:val="uk-UA"/>
              </w:rPr>
              <w:t xml:space="preserve"> та погодинних стимулюючих коефіцієнтів (</w:t>
            </w:r>
            <m:oMath>
              <m:sSubSup>
                <m:sSubSupPr>
                  <m:ctrlPr>
                    <w:rPr>
                      <w:rFonts w:ascii="Cambria Math" w:eastAsia="Times New Roman" w:hAnsi="Cambria Math"/>
                      <w:bCs/>
                      <w:lang w:val="uk-UA"/>
                    </w:rPr>
                  </m:ctrlPr>
                </m:sSubSupPr>
                <m:e>
                  <m:r>
                    <w:rPr>
                      <w:rFonts w:ascii="Cambria Math" w:eastAsia="Times New Roman" w:hAnsi="Cambria Math"/>
                      <w:lang w:val="uk-UA"/>
                    </w:rPr>
                    <m:t>k</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стим</m:t>
                  </m:r>
                </m:sup>
              </m:sSubSup>
              <m:r>
                <m:rPr>
                  <m:sty m:val="p"/>
                </m:rPr>
                <w:rPr>
                  <w:rFonts w:ascii="Cambria Math" w:eastAsia="Times New Roman" w:hAnsi="Cambria Math"/>
                  <w:lang w:val="uk-UA"/>
                </w:rPr>
                <m:t>)</m:t>
              </m:r>
            </m:oMath>
            <w:r w:rsidRPr="007E6620">
              <w:rPr>
                <w:rFonts w:ascii="Times New Roman" w:eastAsia="Times New Roman" w:hAnsi="Times New Roman"/>
                <w:bCs/>
                <w:lang w:val="uk-UA"/>
              </w:rPr>
              <w:t>, за формулою:</w:t>
            </w:r>
          </w:p>
          <w:p w:rsidR="00823534" w:rsidRPr="007E6620" w:rsidRDefault="00823534" w:rsidP="00823534">
            <w:pPr>
              <w:spacing w:after="0" w:line="240" w:lineRule="auto"/>
              <w:ind w:firstLine="851"/>
              <w:jc w:val="both"/>
              <w:rPr>
                <w:rFonts w:ascii="Times New Roman" w:eastAsia="Times New Roman" w:hAnsi="Times New Roman"/>
                <w:bCs/>
                <w:lang w:val="uk-UA"/>
              </w:rPr>
            </w:pPr>
          </w:p>
          <w:p w:rsidR="00823534" w:rsidRPr="007E6620" w:rsidRDefault="001C1BD4" w:rsidP="00823534">
            <w:pPr>
              <w:spacing w:after="0" w:line="240" w:lineRule="auto"/>
              <w:ind w:firstLine="851"/>
              <w:jc w:val="both"/>
              <w:rPr>
                <w:rFonts w:ascii="Times New Roman" w:eastAsia="Times New Roman" w:hAnsi="Times New Roman"/>
                <w:bCs/>
                <w:lang w:val="uk-UA"/>
              </w:rPr>
            </w:pPr>
            <m:oMath>
              <m:sSubSup>
                <m:sSubSupPr>
                  <m:ctrlPr>
                    <w:rPr>
                      <w:rFonts w:ascii="Cambria Math" w:eastAsia="Times New Roman" w:hAnsi="Cambria Math"/>
                      <w:bCs/>
                      <w:lang w:val="uk-UA"/>
                    </w:rPr>
                  </m:ctrlPr>
                </m:sSubSupPr>
                <m:e>
                  <m:r>
                    <m:rPr>
                      <m:sty m:val="p"/>
                    </m:rPr>
                    <w:rPr>
                      <w:rFonts w:ascii="Cambria Math" w:eastAsia="Times New Roman" w:hAnsi="Cambria Math"/>
                      <w:lang w:val="uk-UA"/>
                    </w:rPr>
                    <m:t>Е</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а</m:t>
                  </m:r>
                </m:sup>
              </m:sSubSup>
              <m:r>
                <m:rPr>
                  <m:sty m:val="p"/>
                </m:rP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а,М_факт</m:t>
                  </m:r>
                </m:sub>
                <m:sup>
                  <m:r>
                    <m:rPr>
                      <m:nor/>
                    </m:rPr>
                    <w:rPr>
                      <w:rFonts w:ascii="Times New Roman" w:eastAsia="Times New Roman" w:hAnsi="Times New Roman"/>
                      <w:bCs/>
                      <w:lang w:val="uk-UA"/>
                    </w:rPr>
                    <m:t>спож.</m:t>
                  </m:r>
                </m:sup>
              </m:sSubSup>
              <m:r>
                <m:rPr>
                  <m:sty m:val="p"/>
                </m:rPr>
                <w:rPr>
                  <w:rFonts w:ascii="Cambria Math" w:eastAsia="Times New Roman" w:hAnsi="Cambria Math"/>
                  <w:lang w:val="uk-UA"/>
                </w:rPr>
                <m:t>×</m:t>
              </m:r>
              <m:sSubSup>
                <m:sSubSupPr>
                  <m:ctrlPr>
                    <w:rPr>
                      <w:rFonts w:ascii="Cambria Math" w:eastAsia="Times New Roman" w:hAnsi="Cambria Math"/>
                      <w:bCs/>
                      <w:i/>
                      <w:lang w:val="uk-UA"/>
                    </w:rPr>
                  </m:ctrlPr>
                </m:sSubSupPr>
                <m:e>
                  <m:r>
                    <w:rPr>
                      <w:rFonts w:ascii="Cambria Math" w:eastAsia="Times New Roman" w:hAnsi="Cambria Math"/>
                      <w:lang w:val="uk-UA"/>
                    </w:rPr>
                    <m:t>k</m:t>
                  </m:r>
                </m:e>
                <m:sub>
                  <m:r>
                    <w:rPr>
                      <w:rFonts w:ascii="Cambria Math" w:eastAsia="Times New Roman" w:hAnsi="Cambria Math"/>
                      <w:lang w:val="uk-UA"/>
                    </w:rPr>
                    <m:t>Д</m:t>
                  </m:r>
                </m:sub>
                <m:sup>
                  <m:r>
                    <w:rPr>
                      <w:rFonts w:ascii="Cambria Math" w:eastAsia="Times New Roman" w:hAnsi="Cambria Math"/>
                      <w:lang w:val="uk-UA"/>
                    </w:rPr>
                    <m:t>надх.</m:t>
                  </m:r>
                </m:sup>
              </m:sSubSup>
              <m: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k</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стим</m:t>
                  </m:r>
                </m:sup>
              </m:sSubSup>
            </m:oMath>
            <w:r w:rsidR="00823534" w:rsidRPr="007E6620">
              <w:rPr>
                <w:rFonts w:ascii="Times New Roman" w:eastAsia="Times New Roman" w:hAnsi="Times New Roman"/>
                <w:bCs/>
                <w:lang w:val="uk-UA"/>
              </w:rPr>
              <w:t>, кВт год</w:t>
            </w:r>
          </w:p>
          <w:p w:rsidR="00823534" w:rsidRPr="007E6620" w:rsidRDefault="00823534" w:rsidP="00823534">
            <w:pPr>
              <w:spacing w:after="0" w:line="259" w:lineRule="auto"/>
              <w:ind w:firstLine="851"/>
              <w:jc w:val="both"/>
              <w:rPr>
                <w:rFonts w:ascii="Times New Roman" w:eastAsia="Times New Roman" w:hAnsi="Times New Roman"/>
                <w:bCs/>
                <w:lang w:val="uk-UA"/>
              </w:rPr>
            </w:pPr>
            <w:r w:rsidRPr="007E6620">
              <w:rPr>
                <w:rFonts w:ascii="Times New Roman" w:eastAsia="Times New Roman" w:hAnsi="Times New Roman"/>
                <w:bCs/>
                <w:lang w:val="uk-UA"/>
              </w:rPr>
              <w:t xml:space="preserve">де: </w:t>
            </w:r>
            <m:oMath>
              <m:sSubSup>
                <m:sSubSupPr>
                  <m:ctrlPr>
                    <w:rPr>
                      <w:rFonts w:ascii="Cambria Math" w:eastAsia="Times New Roman" w:hAnsi="Cambria Math"/>
                      <w:bCs/>
                      <w:lang w:val="uk-UA"/>
                    </w:rPr>
                  </m:ctrlPr>
                </m:sSubSupPr>
                <m:e>
                  <m:r>
                    <w:rPr>
                      <w:rFonts w:ascii="Cambria Math" w:eastAsia="Times New Roman" w:hAnsi="Cambria Math"/>
                      <w:lang w:val="uk-UA"/>
                    </w:rPr>
                    <m:t>k</m:t>
                  </m:r>
                </m:e>
                <m:sub>
                  <m:r>
                    <m:rPr>
                      <m:sty m:val="p"/>
                    </m:rPr>
                    <w:rPr>
                      <w:rFonts w:ascii="Cambria Math" w:eastAsia="Times New Roman" w:hAnsi="Cambria Math"/>
                      <w:lang w:val="uk-UA"/>
                    </w:rPr>
                    <m:t>Д</m:t>
                  </m:r>
                </m:sub>
                <m:sup>
                  <m:r>
                    <m:rPr>
                      <m:sty m:val="p"/>
                    </m:rPr>
                    <w:rPr>
                      <w:rFonts w:ascii="Cambria Math" w:eastAsia="Times New Roman" w:hAnsi="Cambria Math"/>
                      <w:lang w:val="uk-UA"/>
                    </w:rPr>
                    <m:t>надх</m:t>
                  </m:r>
                </m:sup>
              </m:sSubSup>
              <m:r>
                <m:rPr>
                  <m:sty m:val="p"/>
                </m:rPr>
                <w:rPr>
                  <w:rFonts w:ascii="Cambria Math" w:eastAsia="Times New Roman" w:hAnsi="Cambria Math"/>
                  <w:lang w:val="uk-UA"/>
                </w:rPr>
                <m:t>=</m:t>
              </m:r>
              <m:f>
                <m:fPr>
                  <m:ctrlPr>
                    <w:rPr>
                      <w:rFonts w:ascii="Cambria Math" w:eastAsia="Times New Roman" w:hAnsi="Cambria Math"/>
                      <w:bCs/>
                      <w:lang w:val="uk-UA"/>
                    </w:rPr>
                  </m:ctrlPr>
                </m:fPr>
                <m:num>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Д,_факт</m:t>
                      </m:r>
                    </m:sub>
                    <m:sup>
                      <m:r>
                        <m:rPr>
                          <m:sty m:val="p"/>
                        </m:rPr>
                        <w:rPr>
                          <w:rFonts w:ascii="Cambria Math" w:eastAsia="Times New Roman" w:hAnsi="Cambria Math"/>
                          <w:lang w:val="uk-UA"/>
                        </w:rPr>
                        <m:t>надх</m:t>
                      </m:r>
                      <m:r>
                        <m:rPr>
                          <m:nor/>
                        </m:rPr>
                        <w:rPr>
                          <w:rFonts w:ascii="Times New Roman" w:eastAsia="Times New Roman" w:hAnsi="Times New Roman"/>
                          <w:bCs/>
                          <w:lang w:val="uk-UA"/>
                        </w:rPr>
                        <m:t>.</m:t>
                      </m:r>
                    </m:sup>
                  </m:sSubSup>
                </m:num>
                <m:den>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М,_факт</m:t>
                      </m:r>
                    </m:sub>
                    <m:sup>
                      <m:r>
                        <m:rPr>
                          <m:sty m:val="p"/>
                        </m:rPr>
                        <w:rPr>
                          <w:rFonts w:ascii="Cambria Math" w:eastAsia="Times New Roman" w:hAnsi="Cambria Math"/>
                          <w:lang w:val="uk-UA"/>
                        </w:rPr>
                        <m:t>надх</m:t>
                      </m:r>
                      <m:r>
                        <m:rPr>
                          <m:nor/>
                        </m:rPr>
                        <w:rPr>
                          <w:rFonts w:ascii="Times New Roman" w:eastAsia="Times New Roman" w:hAnsi="Times New Roman"/>
                          <w:bCs/>
                          <w:lang w:val="uk-UA"/>
                        </w:rPr>
                        <m:t>.</m:t>
                      </m:r>
                    </m:sup>
                  </m:sSubSup>
                </m:den>
              </m:f>
            </m:oMath>
            <w:r w:rsidRPr="007E6620">
              <w:rPr>
                <w:rFonts w:ascii="Times New Roman" w:eastAsia="Times New Roman" w:hAnsi="Times New Roman"/>
                <w:bCs/>
                <w:lang w:val="uk-UA"/>
              </w:rPr>
              <w:t xml:space="preserve"> – добовий коефіцієнт фактичного надходження електричної енергії (споживання «брутто») до електричних мереж ОСР за відповідну добу Д місяця М;</w:t>
            </w:r>
          </w:p>
          <w:p w:rsidR="00823534" w:rsidRPr="007E6620" w:rsidRDefault="001C1BD4" w:rsidP="00823534">
            <w:pPr>
              <w:spacing w:after="0" w:line="240" w:lineRule="auto"/>
              <w:ind w:firstLine="851"/>
              <w:jc w:val="both"/>
              <w:rPr>
                <w:rFonts w:ascii="Times New Roman" w:eastAsia="Times New Roman" w:hAnsi="Times New Roman"/>
                <w:bCs/>
                <w:lang w:val="uk-UA"/>
              </w:rPr>
            </w:pPr>
            <m:oMath>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Д,_факт</m:t>
                  </m:r>
                </m:sub>
                <m:sup>
                  <m:r>
                    <m:rPr>
                      <m:sty m:val="p"/>
                    </m:rPr>
                    <w:rPr>
                      <w:rFonts w:ascii="Cambria Math" w:eastAsia="Times New Roman" w:hAnsi="Cambria Math"/>
                      <w:lang w:val="uk-UA"/>
                    </w:rPr>
                    <m:t>надх</m:t>
                  </m:r>
                  <m:r>
                    <m:rPr>
                      <m:nor/>
                    </m:rPr>
                    <w:rPr>
                      <w:rFonts w:ascii="Times New Roman" w:eastAsia="Times New Roman" w:hAnsi="Times New Roman"/>
                      <w:bCs/>
                      <w:lang w:val="uk-UA"/>
                    </w:rPr>
                    <m:t>.</m:t>
                  </m:r>
                </m:sup>
              </m:sSubSup>
            </m:oMath>
            <w:r w:rsidR="00823534" w:rsidRPr="007E6620">
              <w:rPr>
                <w:rFonts w:ascii="Times New Roman" w:eastAsia="Times New Roman" w:hAnsi="Times New Roman"/>
                <w:bCs/>
                <w:lang w:val="uk-UA"/>
              </w:rPr>
              <w:t xml:space="preserve"> – фактичний обсяг надходження електричної енергії (споживання «брутто») до електричних мереж ОСР за відповідну добу Д місяця М;</w:t>
            </w:r>
          </w:p>
          <w:p w:rsidR="00823534" w:rsidRPr="007E6620" w:rsidRDefault="001C1BD4" w:rsidP="00823534">
            <w:pPr>
              <w:spacing w:after="0" w:line="240" w:lineRule="auto"/>
              <w:ind w:firstLine="851"/>
              <w:jc w:val="both"/>
              <w:rPr>
                <w:rFonts w:ascii="Times New Roman" w:eastAsia="Times New Roman" w:hAnsi="Times New Roman"/>
                <w:shd w:val="clear" w:color="auto" w:fill="FFFFFF"/>
                <w:lang w:val="uk-UA"/>
              </w:rPr>
            </w:pPr>
            <m:oMath>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М,_факт</m:t>
                  </m:r>
                </m:sub>
                <m:sup>
                  <m:r>
                    <m:rPr>
                      <m:sty m:val="p"/>
                    </m:rPr>
                    <w:rPr>
                      <w:rFonts w:ascii="Cambria Math" w:eastAsia="Times New Roman" w:hAnsi="Cambria Math"/>
                      <w:lang w:val="uk-UA"/>
                    </w:rPr>
                    <m:t>надх</m:t>
                  </m:r>
                  <m:r>
                    <m:rPr>
                      <m:nor/>
                    </m:rPr>
                    <w:rPr>
                      <w:rFonts w:ascii="Times New Roman" w:eastAsia="Times New Roman" w:hAnsi="Times New Roman"/>
                      <w:bCs/>
                      <w:lang w:val="uk-UA"/>
                    </w:rPr>
                    <m:t>.</m:t>
                  </m:r>
                </m:sup>
              </m:sSubSup>
            </m:oMath>
            <w:r w:rsidR="00823534" w:rsidRPr="007E6620">
              <w:rPr>
                <w:rFonts w:ascii="Times New Roman" w:eastAsia="Times New Roman" w:hAnsi="Times New Roman"/>
                <w:bCs/>
                <w:lang w:val="uk-UA"/>
              </w:rPr>
              <w:t xml:space="preserve"> – фактичний обсяг надходження електричної енергії (споживання «брутто») до електричних мереж ОСР за місяць М.</w:t>
            </w:r>
          </w:p>
          <w:p w:rsidR="00823534" w:rsidRDefault="00823534" w:rsidP="00823534">
            <w:pPr>
              <w:pStyle w:val="a5"/>
              <w:ind w:left="17"/>
              <w:jc w:val="both"/>
              <w:rPr>
                <w:rFonts w:ascii="Times New Roman" w:eastAsia="Times New Roman" w:hAnsi="Times New Roman" w:cs="Times New Roman"/>
                <w:bCs/>
                <w:kern w:val="0"/>
                <w:sz w:val="22"/>
                <w:szCs w:val="22"/>
                <w:highlight w:val="yellow"/>
                <w:lang w:eastAsia="en-US" w:bidi="ar-SA"/>
              </w:rPr>
            </w:pPr>
          </w:p>
          <w:p w:rsidR="00823534" w:rsidRPr="007E6620" w:rsidRDefault="00823534" w:rsidP="00823534">
            <w:pPr>
              <w:pStyle w:val="a5"/>
              <w:ind w:left="17"/>
              <w:jc w:val="both"/>
              <w:rPr>
                <w:rFonts w:ascii="TimesNewRomanPSMT" w:hAnsi="TimesNewRomanPSMT"/>
                <w:b/>
                <w:bCs/>
                <w:color w:val="000000"/>
                <w:sz w:val="22"/>
                <w:szCs w:val="22"/>
              </w:rPr>
            </w:pPr>
            <w:proofErr w:type="spellStart"/>
            <w:r w:rsidRPr="00823534">
              <w:rPr>
                <w:rFonts w:ascii="Times New Roman" w:eastAsia="Times New Roman" w:hAnsi="Times New Roman" w:cs="Times New Roman"/>
                <w:bCs/>
                <w:kern w:val="0"/>
                <w:sz w:val="22"/>
                <w:szCs w:val="22"/>
                <w:lang w:eastAsia="en-US" w:bidi="ar-SA"/>
              </w:rPr>
              <w:lastRenderedPageBreak/>
              <w:t>Електропостачальники</w:t>
            </w:r>
            <w:proofErr w:type="spellEnd"/>
            <w:r w:rsidRPr="00823534">
              <w:rPr>
                <w:rFonts w:ascii="Times New Roman" w:eastAsia="Times New Roman" w:hAnsi="Times New Roman" w:cs="Times New Roman"/>
                <w:bCs/>
                <w:kern w:val="0"/>
                <w:sz w:val="22"/>
                <w:szCs w:val="22"/>
                <w:lang w:eastAsia="en-US" w:bidi="ar-SA"/>
              </w:rPr>
              <w:t xml:space="preserve"> при укладенні договорів про постачання електричної енергії мають письмово інформувати споживачів стосовно застосування погодинних стимулюючих коефіцієнтів з метою переходу на комерційний облік електричної енергії з використанням інтелектуальних лічильників.</w:t>
            </w:r>
          </w:p>
        </w:tc>
        <w:tc>
          <w:tcPr>
            <w:tcW w:w="7085" w:type="dxa"/>
          </w:tcPr>
          <w:p w:rsidR="00823534" w:rsidRPr="00D901E7" w:rsidRDefault="00823534" w:rsidP="00823534">
            <w:pPr>
              <w:spacing w:after="0" w:line="240" w:lineRule="auto"/>
              <w:ind w:firstLine="851"/>
              <w:jc w:val="both"/>
              <w:rPr>
                <w:rFonts w:ascii="Times New Roman" w:eastAsia="Times New Roman" w:hAnsi="Times New Roman"/>
                <w:bCs/>
                <w:lang w:val="uk-UA"/>
              </w:rPr>
            </w:pPr>
            <w:r w:rsidRPr="00D901E7">
              <w:rPr>
                <w:rFonts w:ascii="Times New Roman" w:eastAsia="Times New Roman" w:hAnsi="Times New Roman"/>
                <w:bCs/>
                <w:lang w:val="uk-UA"/>
              </w:rPr>
              <w:lastRenderedPageBreak/>
              <w:t>1.1</w:t>
            </w:r>
            <w:r w:rsidR="00B43127" w:rsidRPr="001C1BD4">
              <w:rPr>
                <w:rFonts w:ascii="Times New Roman" w:eastAsia="Times New Roman" w:hAnsi="Times New Roman"/>
                <w:bCs/>
                <w:lang w:val="uk-UA"/>
              </w:rPr>
              <w:t>3</w:t>
            </w:r>
            <w:r w:rsidRPr="00D901E7">
              <w:rPr>
                <w:rFonts w:ascii="Times New Roman" w:eastAsia="Times New Roman" w:hAnsi="Times New Roman"/>
                <w:bCs/>
                <w:lang w:val="uk-UA"/>
              </w:rPr>
              <w:t>. Починаючи з 01 січня 202</w:t>
            </w:r>
            <w:r w:rsidR="00DD0F7F" w:rsidRPr="00D901E7">
              <w:rPr>
                <w:rFonts w:ascii="Times New Roman" w:eastAsia="Times New Roman" w:hAnsi="Times New Roman"/>
                <w:bCs/>
                <w:lang w:val="uk-UA"/>
              </w:rPr>
              <w:t>6</w:t>
            </w:r>
            <w:r w:rsidRPr="00D901E7">
              <w:rPr>
                <w:rFonts w:ascii="Times New Roman" w:eastAsia="Times New Roman" w:hAnsi="Times New Roman"/>
                <w:bCs/>
                <w:lang w:val="uk-UA"/>
              </w:rPr>
              <w:t xml:space="preserve"> року</w:t>
            </w:r>
            <w:r w:rsidR="00E06B53" w:rsidRPr="00D901E7">
              <w:rPr>
                <w:rFonts w:ascii="Times New Roman" w:eastAsia="Times New Roman" w:hAnsi="Times New Roman"/>
                <w:bCs/>
                <w:lang w:val="uk-UA"/>
              </w:rPr>
              <w:t xml:space="preserve"> (</w:t>
            </w:r>
            <w:r w:rsidR="00E06B53" w:rsidRPr="00D901E7">
              <w:rPr>
                <w:rFonts w:ascii="Times New Roman" w:eastAsia="Times New Roman" w:hAnsi="Times New Roman"/>
                <w:b/>
                <w:bCs/>
                <w:lang w:val="uk-UA"/>
              </w:rPr>
              <w:t>а для підприємств, установ та організацій, які фінансуються з державного та місцевих бюджетів, - з 01 січня 2027 року</w:t>
            </w:r>
            <w:r w:rsidR="00D901E7" w:rsidRPr="00D901E7">
              <w:rPr>
                <w:rFonts w:ascii="Times New Roman" w:eastAsia="Times New Roman" w:hAnsi="Times New Roman"/>
                <w:b/>
                <w:bCs/>
                <w:lang w:val="uk-UA"/>
              </w:rPr>
              <w:t>)</w:t>
            </w:r>
            <w:r w:rsidRPr="00D901E7">
              <w:rPr>
                <w:rFonts w:ascii="Times New Roman" w:eastAsia="Times New Roman" w:hAnsi="Times New Roman"/>
                <w:bCs/>
                <w:lang w:val="uk-UA"/>
              </w:rPr>
              <w:t xml:space="preserve">, погодинні графіки електричного навантаження для зазначених у </w:t>
            </w:r>
            <w:r w:rsidR="00887CDE" w:rsidRPr="00D901E7">
              <w:rPr>
                <w:rFonts w:ascii="Times New Roman" w:eastAsia="Times New Roman" w:hAnsi="Times New Roman"/>
                <w:bCs/>
                <w:lang w:val="uk-UA"/>
              </w:rPr>
              <w:t xml:space="preserve">абзаці першому </w:t>
            </w:r>
            <w:r w:rsidRPr="00D901E7">
              <w:rPr>
                <w:rFonts w:ascii="Times New Roman" w:eastAsia="Times New Roman" w:hAnsi="Times New Roman"/>
                <w:bCs/>
                <w:lang w:val="uk-UA"/>
              </w:rPr>
              <w:t>пункт</w:t>
            </w:r>
            <w:r w:rsidR="00887CDE" w:rsidRPr="00D901E7">
              <w:rPr>
                <w:rFonts w:ascii="Times New Roman" w:eastAsia="Times New Roman" w:hAnsi="Times New Roman"/>
                <w:bCs/>
                <w:lang w:val="uk-UA"/>
              </w:rPr>
              <w:t>у</w:t>
            </w:r>
            <w:r w:rsidRPr="00D901E7">
              <w:rPr>
                <w:rFonts w:ascii="Times New Roman" w:eastAsia="Times New Roman" w:hAnsi="Times New Roman"/>
                <w:bCs/>
                <w:lang w:val="uk-UA"/>
              </w:rPr>
              <w:t xml:space="preserve"> 1.12</w:t>
            </w:r>
            <w:r w:rsidR="00E06B53" w:rsidRPr="00D901E7">
              <w:rPr>
                <w:rFonts w:ascii="Times New Roman" w:eastAsia="Times New Roman" w:hAnsi="Times New Roman"/>
                <w:bCs/>
                <w:lang w:val="uk-UA"/>
              </w:rPr>
              <w:t xml:space="preserve"> </w:t>
            </w:r>
            <w:r w:rsidRPr="00D901E7">
              <w:rPr>
                <w:rFonts w:ascii="Times New Roman" w:eastAsia="Times New Roman" w:hAnsi="Times New Roman"/>
                <w:bCs/>
                <w:lang w:val="uk-UA"/>
              </w:rPr>
              <w:t>площадок вимірювання</w:t>
            </w:r>
            <w:r w:rsidR="00E06B53" w:rsidRPr="00D901E7">
              <w:rPr>
                <w:rFonts w:ascii="Times New Roman" w:eastAsia="Times New Roman" w:hAnsi="Times New Roman"/>
                <w:b/>
                <w:bCs/>
                <w:lang w:val="uk-UA"/>
              </w:rPr>
              <w:t>,</w:t>
            </w:r>
            <w:r w:rsidRPr="00D901E7">
              <w:rPr>
                <w:rFonts w:ascii="Times New Roman" w:eastAsia="Times New Roman" w:hAnsi="Times New Roman"/>
                <w:bCs/>
                <w:lang w:val="uk-UA"/>
              </w:rPr>
              <w:t xml:space="preserve"> формуються для відповідної доби Д місяця М наступним чином:</w:t>
            </w:r>
          </w:p>
          <w:p w:rsidR="00823534" w:rsidRPr="00D901E7" w:rsidRDefault="00823534" w:rsidP="00823534">
            <w:pPr>
              <w:spacing w:after="0" w:line="240" w:lineRule="auto"/>
              <w:ind w:firstLine="851"/>
              <w:jc w:val="both"/>
              <w:rPr>
                <w:rFonts w:ascii="Times New Roman" w:eastAsia="Times New Roman" w:hAnsi="Times New Roman"/>
                <w:bCs/>
                <w:lang w:val="uk-UA"/>
              </w:rPr>
            </w:pPr>
            <w:r w:rsidRPr="00D901E7">
              <w:rPr>
                <w:rFonts w:ascii="Times New Roman" w:eastAsia="Times New Roman" w:hAnsi="Times New Roman"/>
                <w:bCs/>
                <w:lang w:val="uk-UA"/>
              </w:rPr>
              <w:lastRenderedPageBreak/>
              <w:t>1) протягом розрахункового місяця – з використанням середньодобового обсягу споживання електричної енергії (</w:t>
            </w:r>
            <m:oMath>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а,Д</m:t>
                  </m:r>
                </m:sub>
                <m:sup>
                  <m:r>
                    <m:rPr>
                      <m:nor/>
                    </m:rPr>
                    <w:rPr>
                      <w:rFonts w:ascii="Times New Roman" w:eastAsia="Times New Roman" w:hAnsi="Times New Roman"/>
                      <w:bCs/>
                      <w:lang w:val="uk-UA"/>
                    </w:rPr>
                    <m:t>спож.</m:t>
                  </m:r>
                </m:sup>
              </m:sSubSup>
              <m:r>
                <m:rPr>
                  <m:sty m:val="p"/>
                </m:rPr>
                <w:rPr>
                  <w:rFonts w:ascii="Cambria Math" w:eastAsia="Times New Roman" w:hAnsi="Cambria Math"/>
                  <w:lang w:val="uk-UA"/>
                </w:rPr>
                <m:t>)</m:t>
              </m:r>
            </m:oMath>
            <w:r w:rsidRPr="00D901E7">
              <w:rPr>
                <w:rFonts w:ascii="Times New Roman" w:eastAsia="Times New Roman" w:hAnsi="Times New Roman"/>
                <w:lang w:val="uk-UA"/>
              </w:rPr>
              <w:t xml:space="preserve"> відповідної</w:t>
            </w:r>
            <w:r w:rsidRPr="00D901E7">
              <w:rPr>
                <w:rFonts w:ascii="Times New Roman" w:eastAsia="Times New Roman" w:hAnsi="Times New Roman"/>
                <w:bCs/>
                <w:lang w:val="uk-UA"/>
              </w:rPr>
              <w:t xml:space="preserve"> площадки вимірювання, визначеного на основі фактичних даних за М-2 та М-1 (з коригуванням графіків за оновленими даними до 00:00 13 числа місяця М) та погодинних стимулюючих коефіцієнтів (</w:t>
            </w:r>
            <m:oMath>
              <m:sSubSup>
                <m:sSubSupPr>
                  <m:ctrlPr>
                    <w:rPr>
                      <w:rFonts w:ascii="Cambria Math" w:eastAsia="Times New Roman" w:hAnsi="Cambria Math"/>
                      <w:bCs/>
                      <w:lang w:val="uk-UA"/>
                    </w:rPr>
                  </m:ctrlPr>
                </m:sSubSupPr>
                <m:e>
                  <m:r>
                    <w:rPr>
                      <w:rFonts w:ascii="Cambria Math" w:eastAsia="Times New Roman" w:hAnsi="Cambria Math"/>
                      <w:lang w:val="uk-UA"/>
                    </w:rPr>
                    <m:t>k</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стим</m:t>
                  </m:r>
                </m:sup>
              </m:sSubSup>
              <m:r>
                <m:rPr>
                  <m:sty m:val="p"/>
                </m:rPr>
                <w:rPr>
                  <w:rFonts w:ascii="Cambria Math" w:eastAsia="Times New Roman" w:hAnsi="Cambria Math"/>
                  <w:lang w:val="uk-UA"/>
                </w:rPr>
                <m:t>)</m:t>
              </m:r>
            </m:oMath>
            <w:r w:rsidRPr="00D901E7">
              <w:rPr>
                <w:rFonts w:ascii="Times New Roman" w:eastAsia="Times New Roman" w:hAnsi="Times New Roman"/>
                <w:bCs/>
                <w:lang w:val="uk-UA"/>
              </w:rPr>
              <w:t>, згідно з формулою:</w:t>
            </w:r>
          </w:p>
          <w:p w:rsidR="00823534" w:rsidRPr="00D901E7" w:rsidRDefault="001C1BD4" w:rsidP="00823534">
            <w:pPr>
              <w:spacing w:after="0" w:line="240" w:lineRule="auto"/>
              <w:ind w:firstLine="851"/>
              <w:jc w:val="both"/>
              <w:rPr>
                <w:rFonts w:ascii="Times New Roman" w:eastAsia="Times New Roman" w:hAnsi="Times New Roman"/>
                <w:bCs/>
                <w:lang w:val="uk-UA"/>
              </w:rPr>
            </w:pPr>
            <m:oMath>
              <m:sSubSup>
                <m:sSubSupPr>
                  <m:ctrlPr>
                    <w:rPr>
                      <w:rFonts w:ascii="Cambria Math" w:eastAsia="Times New Roman" w:hAnsi="Cambria Math"/>
                      <w:bCs/>
                      <w:lang w:val="uk-UA"/>
                    </w:rPr>
                  </m:ctrlPr>
                </m:sSubSupPr>
                <m:e>
                  <m:r>
                    <m:rPr>
                      <m:sty m:val="p"/>
                    </m:rPr>
                    <w:rPr>
                      <w:rFonts w:ascii="Cambria Math" w:eastAsia="Times New Roman" w:hAnsi="Cambria Math"/>
                      <w:lang w:val="uk-UA"/>
                    </w:rPr>
                    <m:t>Е</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а</m:t>
                  </m:r>
                </m:sup>
              </m:sSubSup>
              <m:r>
                <m:rPr>
                  <m:sty m:val="p"/>
                </m:rP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а,Д</m:t>
                  </m:r>
                </m:sub>
                <m:sup>
                  <m:r>
                    <m:rPr>
                      <m:nor/>
                    </m:rPr>
                    <w:rPr>
                      <w:rFonts w:ascii="Times New Roman" w:eastAsia="Times New Roman" w:hAnsi="Times New Roman"/>
                      <w:bCs/>
                      <w:lang w:val="uk-UA"/>
                    </w:rPr>
                    <m:t>спож.</m:t>
                  </m:r>
                </m:sup>
              </m:sSubSup>
              <m:r>
                <m:rPr>
                  <m:sty m:val="p"/>
                </m:rP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k</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стим</m:t>
                  </m:r>
                </m:sup>
              </m:sSubSup>
            </m:oMath>
            <w:r w:rsidR="00823534" w:rsidRPr="00D901E7">
              <w:rPr>
                <w:rFonts w:ascii="Times New Roman" w:eastAsia="Times New Roman" w:hAnsi="Times New Roman"/>
                <w:bCs/>
                <w:lang w:val="uk-UA"/>
              </w:rPr>
              <w:t>,  кВт год</w:t>
            </w:r>
          </w:p>
          <w:p w:rsidR="00823534" w:rsidRPr="00D901E7" w:rsidRDefault="00823534" w:rsidP="00823534">
            <w:pPr>
              <w:spacing w:after="0" w:line="240" w:lineRule="auto"/>
              <w:ind w:firstLine="851"/>
              <w:jc w:val="both"/>
              <w:rPr>
                <w:rFonts w:ascii="Times New Roman" w:eastAsia="Times New Roman" w:hAnsi="Times New Roman"/>
                <w:bCs/>
                <w:lang w:val="uk-UA"/>
              </w:rPr>
            </w:pPr>
            <w:r w:rsidRPr="00D901E7">
              <w:rPr>
                <w:rFonts w:ascii="Times New Roman" w:eastAsia="Times New Roman" w:hAnsi="Times New Roman"/>
                <w:bCs/>
                <w:lang w:val="uk-UA"/>
              </w:rPr>
              <w:t xml:space="preserve">де: </w:t>
            </w:r>
            <m:oMath>
              <m:sSubSup>
                <m:sSubSupPr>
                  <m:ctrlPr>
                    <w:rPr>
                      <w:rFonts w:ascii="Cambria Math" w:eastAsia="Times New Roman" w:hAnsi="Cambria Math"/>
                      <w:bCs/>
                      <w:lang w:val="uk-UA"/>
                    </w:rPr>
                  </m:ctrlPr>
                </m:sSubSupPr>
                <m:e>
                  <m:r>
                    <w:rPr>
                      <w:rFonts w:ascii="Cambria Math" w:eastAsia="Times New Roman" w:hAnsi="Cambria Math"/>
                      <w:lang w:val="uk-UA"/>
                    </w:rPr>
                    <m:t>k</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стим</m:t>
                  </m:r>
                </m:sup>
              </m:sSubSup>
              <m:r>
                <m:rPr>
                  <m:sty m:val="p"/>
                </m:rPr>
                <w:rPr>
                  <w:rFonts w:ascii="Cambria Math" w:eastAsia="Times New Roman" w:hAnsi="Cambria Math"/>
                  <w:lang w:val="uk-UA"/>
                </w:rPr>
                <m:t>=</m:t>
              </m:r>
              <m:f>
                <m:fPr>
                  <m:ctrlPr>
                    <w:rPr>
                      <w:rFonts w:ascii="Cambria Math" w:eastAsia="Times New Roman" w:hAnsi="Cambria Math"/>
                      <w:bCs/>
                      <w:lang w:val="uk-UA"/>
                    </w:rPr>
                  </m:ctrlPr>
                </m:fPr>
                <m:num>
                  <m:sSubSup>
                    <m:sSubSupPr>
                      <m:ctrlPr>
                        <w:rPr>
                          <w:rFonts w:ascii="Cambria Math" w:eastAsia="Times New Roman" w:hAnsi="Cambria Math"/>
                          <w:bCs/>
                          <w:lang w:val="uk-UA"/>
                        </w:rPr>
                      </m:ctrlPr>
                    </m:sSubSupPr>
                    <m:e>
                      <m:r>
                        <w:rPr>
                          <w:rFonts w:ascii="Cambria Math" w:eastAsia="Times New Roman" w:hAnsi="Cambria Math"/>
                          <w:lang w:val="uk-UA"/>
                        </w:rPr>
                        <m:t>PDAM</m:t>
                      </m:r>
                    </m:e>
                    <m:sub>
                      <m:r>
                        <w:rPr>
                          <w:rFonts w:ascii="Cambria Math" w:eastAsia="Times New Roman" w:hAnsi="Cambria Math"/>
                          <w:lang w:val="uk-UA"/>
                        </w:rPr>
                        <m:t>z</m:t>
                      </m:r>
                      <m:r>
                        <m:rPr>
                          <m:sty m:val="p"/>
                        </m:rPr>
                        <w:rPr>
                          <w:rFonts w:ascii="Cambria Math" w:eastAsia="Times New Roman" w:hAnsi="Cambria Math"/>
                          <w:lang w:val="uk-UA"/>
                        </w:rPr>
                        <m:t>,</m:t>
                      </m:r>
                      <m:r>
                        <w:rPr>
                          <w:rFonts w:ascii="Cambria Math" w:eastAsia="Times New Roman" w:hAnsi="Cambria Math"/>
                          <w:lang w:val="uk-UA"/>
                        </w:rPr>
                        <m:t>t</m:t>
                      </m:r>
                    </m:sub>
                    <m:sup/>
                  </m:sSubSup>
                </m:num>
                <m:den>
                  <m:r>
                    <m:rPr>
                      <m:sty m:val="p"/>
                    </m:rP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PDAM</m:t>
                      </m:r>
                    </m:e>
                    <m:sub>
                      <m:r>
                        <w:rPr>
                          <w:rFonts w:ascii="Cambria Math" w:eastAsia="Times New Roman" w:hAnsi="Cambria Math"/>
                          <w:lang w:val="uk-UA"/>
                        </w:rPr>
                        <m:t>z</m:t>
                      </m:r>
                      <m:r>
                        <m:rPr>
                          <m:sty m:val="p"/>
                        </m:rPr>
                        <w:rPr>
                          <w:rFonts w:ascii="Cambria Math" w:eastAsia="Times New Roman" w:hAnsi="Cambria Math"/>
                          <w:lang w:val="uk-UA"/>
                        </w:rPr>
                        <m:t>,</m:t>
                      </m:r>
                      <m:r>
                        <w:rPr>
                          <w:rFonts w:ascii="Cambria Math" w:eastAsia="Times New Roman" w:hAnsi="Cambria Math"/>
                          <w:lang w:val="uk-UA"/>
                        </w:rPr>
                        <m:t>t</m:t>
                      </m:r>
                    </m:sub>
                    <m:sup/>
                  </m:sSubSup>
                </m:den>
              </m:f>
            </m:oMath>
            <w:r w:rsidRPr="00D901E7">
              <w:rPr>
                <w:rFonts w:ascii="Times New Roman" w:eastAsia="Times New Roman" w:hAnsi="Times New Roman"/>
                <w:bCs/>
                <w:lang w:val="uk-UA"/>
              </w:rPr>
              <w:t xml:space="preserve"> – погодинний стимулюючий коефіцієнт, у відносних одиницях</w:t>
            </w:r>
            <w:r w:rsidRPr="00D901E7">
              <w:rPr>
                <w:rFonts w:ascii="Times New Roman" w:eastAsia="Times New Roman" w:hAnsi="Times New Roman"/>
                <w:b/>
                <w:bCs/>
                <w:lang w:val="uk-UA"/>
              </w:rPr>
              <w:t xml:space="preserve"> </w:t>
            </w:r>
            <w:r w:rsidRPr="00D901E7">
              <w:rPr>
                <w:rFonts w:ascii="Times New Roman" w:eastAsia="Times New Roman" w:hAnsi="Times New Roman"/>
                <w:bCs/>
                <w:lang w:val="uk-UA"/>
              </w:rPr>
              <w:t>з точністю до шести цифр після коми;</w:t>
            </w:r>
          </w:p>
          <w:p w:rsidR="00823534" w:rsidRPr="00D901E7" w:rsidRDefault="00823534" w:rsidP="00823534">
            <w:pPr>
              <w:spacing w:after="0" w:line="240" w:lineRule="auto"/>
              <w:ind w:firstLine="851"/>
              <w:jc w:val="both"/>
              <w:rPr>
                <w:rFonts w:ascii="Times New Roman" w:eastAsia="Times New Roman" w:hAnsi="Times New Roman"/>
                <w:bCs/>
                <w:lang w:val="uk-UA"/>
              </w:rPr>
            </w:pPr>
            <w:r w:rsidRPr="00D901E7">
              <w:rPr>
                <w:rFonts w:ascii="Times New Roman" w:eastAsia="Times New Roman" w:hAnsi="Times New Roman"/>
                <w:bCs/>
                <w:i/>
                <w:iCs/>
                <w:lang w:val="uk-UA"/>
              </w:rPr>
              <w:t>t</w:t>
            </w:r>
            <w:r w:rsidRPr="00D901E7">
              <w:rPr>
                <w:rFonts w:ascii="Times New Roman" w:eastAsia="Times New Roman" w:hAnsi="Times New Roman"/>
                <w:bCs/>
                <w:lang w:val="uk-UA"/>
              </w:rPr>
              <w:t xml:space="preserve"> – година доби </w:t>
            </w:r>
            <w:r w:rsidRPr="00D901E7">
              <w:rPr>
                <w:rFonts w:ascii="Times New Roman" w:eastAsia="Times New Roman" w:hAnsi="Times New Roman"/>
                <w:bCs/>
                <w:i/>
                <w:iCs/>
                <w:lang w:val="uk-UA"/>
              </w:rPr>
              <w:t>Д</w:t>
            </w:r>
            <w:r w:rsidRPr="00D901E7">
              <w:rPr>
                <w:rFonts w:ascii="Times New Roman" w:eastAsia="Times New Roman" w:hAnsi="Times New Roman"/>
                <w:bCs/>
                <w:lang w:val="uk-UA"/>
              </w:rPr>
              <w:t xml:space="preserve"> місяця </w:t>
            </w:r>
            <w:r w:rsidRPr="00D901E7">
              <w:rPr>
                <w:rFonts w:ascii="Times New Roman" w:eastAsia="Times New Roman" w:hAnsi="Times New Roman"/>
                <w:bCs/>
                <w:i/>
                <w:iCs/>
                <w:lang w:val="uk-UA"/>
              </w:rPr>
              <w:t>М;</w:t>
            </w:r>
          </w:p>
          <w:p w:rsidR="00823534" w:rsidRPr="00D901E7" w:rsidRDefault="001C1BD4" w:rsidP="00823534">
            <w:pPr>
              <w:spacing w:after="0" w:line="240" w:lineRule="auto"/>
              <w:ind w:firstLine="851"/>
              <w:jc w:val="both"/>
              <w:rPr>
                <w:rFonts w:ascii="Times New Roman" w:eastAsia="Times New Roman" w:hAnsi="Times New Roman"/>
                <w:bCs/>
                <w:lang w:val="uk-UA"/>
              </w:rPr>
            </w:pPr>
            <m:oMath>
              <m:sSubSup>
                <m:sSubSupPr>
                  <m:ctrlPr>
                    <w:rPr>
                      <w:rFonts w:ascii="Cambria Math" w:eastAsia="Times New Roman" w:hAnsi="Cambria Math"/>
                      <w:bCs/>
                      <w:lang w:val="uk-UA"/>
                    </w:rPr>
                  </m:ctrlPr>
                </m:sSubSupPr>
                <m:e>
                  <m:r>
                    <w:rPr>
                      <w:rFonts w:ascii="Cambria Math" w:eastAsia="Times New Roman" w:hAnsi="Cambria Math"/>
                      <w:lang w:val="uk-UA"/>
                    </w:rPr>
                    <m:t>PDAM</m:t>
                  </m:r>
                </m:e>
                <m:sub>
                  <m:r>
                    <w:rPr>
                      <w:rFonts w:ascii="Cambria Math" w:eastAsia="Times New Roman" w:hAnsi="Cambria Math"/>
                      <w:lang w:val="uk-UA"/>
                    </w:rPr>
                    <m:t>z</m:t>
                  </m:r>
                  <m:r>
                    <m:rPr>
                      <m:sty m:val="p"/>
                    </m:rPr>
                    <w:rPr>
                      <w:rFonts w:ascii="Cambria Math" w:eastAsia="Times New Roman" w:hAnsi="Cambria Math"/>
                      <w:lang w:val="uk-UA"/>
                    </w:rPr>
                    <m:t>,</m:t>
                  </m:r>
                  <m:r>
                    <w:rPr>
                      <w:rFonts w:ascii="Cambria Math" w:eastAsia="Times New Roman" w:hAnsi="Cambria Math"/>
                      <w:lang w:val="uk-UA"/>
                    </w:rPr>
                    <m:t>t</m:t>
                  </m:r>
                </m:sub>
                <m:sup/>
              </m:sSubSup>
            </m:oMath>
            <w:r w:rsidR="00823534" w:rsidRPr="00D901E7">
              <w:rPr>
                <w:rFonts w:ascii="Times New Roman" w:eastAsia="Times New Roman" w:hAnsi="Times New Roman"/>
                <w:bCs/>
                <w:lang w:val="uk-UA"/>
              </w:rPr>
              <w:t xml:space="preserve"> – середньорічна ціна електричної енергії на РДН, що склалася у відповідній годині t  та зоні z протягом попереднього календарного року </w:t>
            </w:r>
            <w:r w:rsidR="00B43127" w:rsidRPr="00D901E7">
              <w:rPr>
                <w:rFonts w:ascii="Times New Roman" w:eastAsia="Times New Roman" w:hAnsi="Times New Roman"/>
                <w:bCs/>
                <w:lang w:val="uk-UA"/>
              </w:rPr>
              <w:t>(з урахуванням переходу на літній/зимовий час)</w:t>
            </w:r>
            <w:r w:rsidR="00823534" w:rsidRPr="00D901E7">
              <w:rPr>
                <w:rFonts w:ascii="Times New Roman" w:eastAsia="Times New Roman" w:hAnsi="Times New Roman"/>
                <w:bCs/>
                <w:lang w:val="uk-UA"/>
              </w:rPr>
              <w:t>, грн/</w:t>
            </w:r>
            <w:proofErr w:type="spellStart"/>
            <w:r w:rsidR="00823534" w:rsidRPr="00D901E7">
              <w:rPr>
                <w:rFonts w:ascii="Times New Roman" w:eastAsia="Times New Roman" w:hAnsi="Times New Roman"/>
                <w:bCs/>
                <w:lang w:val="uk-UA"/>
              </w:rPr>
              <w:t>МВт·год</w:t>
            </w:r>
            <w:proofErr w:type="spellEnd"/>
            <w:r w:rsidR="00823534" w:rsidRPr="00D901E7">
              <w:rPr>
                <w:rFonts w:ascii="Times New Roman" w:eastAsia="Times New Roman" w:hAnsi="Times New Roman"/>
                <w:bCs/>
                <w:lang w:val="uk-UA"/>
              </w:rPr>
              <w:t>;</w:t>
            </w:r>
          </w:p>
          <w:p w:rsidR="00823534" w:rsidRPr="00D901E7" w:rsidRDefault="00823534" w:rsidP="00823534">
            <w:pPr>
              <w:spacing w:after="0" w:line="240" w:lineRule="auto"/>
              <w:ind w:firstLine="851"/>
              <w:jc w:val="both"/>
              <w:rPr>
                <w:rFonts w:ascii="Times New Roman" w:eastAsia="Times New Roman" w:hAnsi="Times New Roman"/>
                <w:bCs/>
                <w:lang w:val="uk-UA"/>
              </w:rPr>
            </w:pPr>
            <m:oMath>
              <m:r>
                <m:rPr>
                  <m:sty m:val="p"/>
                </m:rP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PDAM</m:t>
                  </m:r>
                </m:e>
                <m:sub>
                  <m:r>
                    <w:rPr>
                      <w:rFonts w:ascii="Cambria Math" w:eastAsia="Times New Roman" w:hAnsi="Cambria Math"/>
                      <w:lang w:val="uk-UA"/>
                    </w:rPr>
                    <m:t>z</m:t>
                  </m:r>
                  <m:r>
                    <m:rPr>
                      <m:sty m:val="p"/>
                    </m:rPr>
                    <w:rPr>
                      <w:rFonts w:ascii="Cambria Math" w:eastAsia="Times New Roman" w:hAnsi="Cambria Math"/>
                      <w:lang w:val="uk-UA"/>
                    </w:rPr>
                    <m:t>,</m:t>
                  </m:r>
                  <m:r>
                    <w:rPr>
                      <w:rFonts w:ascii="Cambria Math" w:eastAsia="Times New Roman" w:hAnsi="Cambria Math"/>
                      <w:lang w:val="uk-UA"/>
                    </w:rPr>
                    <m:t>t</m:t>
                  </m:r>
                </m:sub>
                <m:sup/>
              </m:sSubSup>
            </m:oMath>
            <w:r w:rsidRPr="00D901E7">
              <w:rPr>
                <w:rFonts w:ascii="Times New Roman" w:eastAsia="Times New Roman" w:hAnsi="Times New Roman"/>
                <w:bCs/>
                <w:lang w:val="uk-UA"/>
              </w:rPr>
              <w:t xml:space="preserve"> - сума всіх середньорічних погодинних значень </w:t>
            </w:r>
            <m:oMath>
              <m:sSubSup>
                <m:sSubSupPr>
                  <m:ctrlPr>
                    <w:rPr>
                      <w:rFonts w:ascii="Cambria Math" w:eastAsia="Times New Roman" w:hAnsi="Cambria Math"/>
                      <w:bCs/>
                      <w:lang w:val="uk-UA"/>
                    </w:rPr>
                  </m:ctrlPr>
                </m:sSubSupPr>
                <m:e>
                  <m:r>
                    <w:rPr>
                      <w:rFonts w:ascii="Cambria Math" w:eastAsia="Times New Roman" w:hAnsi="Cambria Math"/>
                      <w:lang w:val="uk-UA"/>
                    </w:rPr>
                    <m:t>PDAM</m:t>
                  </m:r>
                </m:e>
                <m:sub>
                  <m:r>
                    <w:rPr>
                      <w:rFonts w:ascii="Cambria Math" w:eastAsia="Times New Roman" w:hAnsi="Cambria Math"/>
                      <w:lang w:val="uk-UA"/>
                    </w:rPr>
                    <m:t>z</m:t>
                  </m:r>
                  <m:r>
                    <m:rPr>
                      <m:sty m:val="p"/>
                    </m:rPr>
                    <w:rPr>
                      <w:rFonts w:ascii="Cambria Math" w:eastAsia="Times New Roman" w:hAnsi="Cambria Math"/>
                      <w:lang w:val="uk-UA"/>
                    </w:rPr>
                    <m:t>,</m:t>
                  </m:r>
                  <m:r>
                    <w:rPr>
                      <w:rFonts w:ascii="Cambria Math" w:eastAsia="Times New Roman" w:hAnsi="Cambria Math"/>
                      <w:lang w:val="uk-UA"/>
                    </w:rPr>
                    <m:t>t</m:t>
                  </m:r>
                </m:sub>
                <m:sup/>
              </m:sSubSup>
            </m:oMath>
            <w:r w:rsidRPr="00D901E7">
              <w:rPr>
                <w:rFonts w:ascii="Times New Roman" w:eastAsia="Times New Roman" w:hAnsi="Times New Roman"/>
                <w:bCs/>
                <w:lang w:val="uk-UA"/>
              </w:rPr>
              <w:t xml:space="preserve"> ;</w:t>
            </w:r>
          </w:p>
          <w:p w:rsidR="00D733C3" w:rsidRPr="00D901E7" w:rsidRDefault="00D733C3" w:rsidP="00823534">
            <w:pPr>
              <w:spacing w:after="0" w:line="240" w:lineRule="auto"/>
              <w:ind w:firstLine="851"/>
              <w:jc w:val="both"/>
              <w:rPr>
                <w:rFonts w:ascii="Times New Roman" w:eastAsia="Times New Roman" w:hAnsi="Times New Roman"/>
                <w:bCs/>
                <w:lang w:val="uk-UA"/>
              </w:rPr>
            </w:pPr>
            <w:r w:rsidRPr="00D901E7">
              <w:rPr>
                <w:rFonts w:ascii="Times New Roman" w:eastAsia="Times New Roman" w:hAnsi="Times New Roman"/>
                <w:b/>
                <w:bCs/>
                <w:lang w:val="uk-UA"/>
              </w:rPr>
              <w:t>С</w:t>
            </w:r>
            <w:r w:rsidR="00080D31" w:rsidRPr="00D901E7">
              <w:rPr>
                <w:rFonts w:ascii="Times New Roman" w:eastAsia="Times New Roman" w:hAnsi="Times New Roman"/>
                <w:b/>
                <w:bCs/>
                <w:lang w:val="uk-UA"/>
              </w:rPr>
              <w:t xml:space="preserve">тимулюючі коефіцієнти </w:t>
            </w:r>
            <w:r w:rsidR="00690FA7" w:rsidRPr="00D901E7">
              <w:rPr>
                <w:rFonts w:ascii="Times New Roman" w:eastAsia="Times New Roman" w:hAnsi="Times New Roman"/>
                <w:b/>
                <w:bCs/>
                <w:lang w:val="uk-UA"/>
              </w:rPr>
              <w:t>(</w:t>
            </w:r>
            <m:oMath>
              <m:sSubSup>
                <m:sSubSupPr>
                  <m:ctrlPr>
                    <w:rPr>
                      <w:rFonts w:ascii="Cambria Math" w:eastAsia="Times New Roman" w:hAnsi="Cambria Math"/>
                      <w:b/>
                      <w:bCs/>
                      <w:lang w:val="uk-UA"/>
                    </w:rPr>
                  </m:ctrlPr>
                </m:sSubSupPr>
                <m:e>
                  <m:r>
                    <m:rPr>
                      <m:sty m:val="bi"/>
                    </m:rPr>
                    <w:rPr>
                      <w:rFonts w:ascii="Cambria Math" w:eastAsia="Times New Roman" w:hAnsi="Cambria Math"/>
                      <w:lang w:val="uk-UA"/>
                    </w:rPr>
                    <m:t>k</m:t>
                  </m:r>
                </m:e>
                <m:sub>
                  <m:r>
                    <m:rPr>
                      <m:sty m:val="bi"/>
                    </m:rPr>
                    <w:rPr>
                      <w:rFonts w:ascii="Cambria Math" w:eastAsia="Times New Roman" w:hAnsi="Cambria Math"/>
                      <w:lang w:val="uk-UA"/>
                    </w:rPr>
                    <m:t>t</m:t>
                  </m:r>
                  <m:r>
                    <m:rPr>
                      <m:sty m:val="b"/>
                    </m:rPr>
                    <w:rPr>
                      <w:rFonts w:ascii="Cambria Math" w:eastAsia="Times New Roman" w:hAnsi="Cambria Math"/>
                      <w:lang w:val="uk-UA"/>
                    </w:rPr>
                    <m:t>,Д</m:t>
                  </m:r>
                </m:sub>
                <m:sup>
                  <m:r>
                    <m:rPr>
                      <m:sty m:val="b"/>
                    </m:rPr>
                    <w:rPr>
                      <w:rFonts w:ascii="Cambria Math" w:eastAsia="Times New Roman" w:hAnsi="Cambria Math"/>
                      <w:lang w:val="uk-UA"/>
                    </w:rPr>
                    <m:t>стим</m:t>
                  </m:r>
                </m:sup>
              </m:sSubSup>
              <m:r>
                <m:rPr>
                  <m:sty m:val="bi"/>
                </m:rPr>
                <w:rPr>
                  <w:rFonts w:ascii="Cambria Math" w:eastAsia="Times New Roman" w:hAnsi="Times New Roman"/>
                  <w:lang w:val="uk-UA"/>
                </w:rPr>
                <m:t xml:space="preserve">) </m:t>
              </m:r>
            </m:oMath>
            <w:r w:rsidR="00080D31" w:rsidRPr="00D901E7">
              <w:rPr>
                <w:rFonts w:ascii="Times New Roman" w:eastAsia="Times New Roman" w:hAnsi="Times New Roman"/>
                <w:b/>
                <w:bCs/>
                <w:lang w:val="uk-UA"/>
              </w:rPr>
              <w:t xml:space="preserve">розраховуються </w:t>
            </w:r>
            <w:r w:rsidR="00C94A5F" w:rsidRPr="00D901E7">
              <w:rPr>
                <w:rFonts w:ascii="Times New Roman" w:eastAsia="Times New Roman" w:hAnsi="Times New Roman"/>
                <w:b/>
                <w:bCs/>
                <w:lang w:val="uk-UA"/>
              </w:rPr>
              <w:t xml:space="preserve">Оператором ринку </w:t>
            </w:r>
            <w:r w:rsidR="00D934EF" w:rsidRPr="00D901E7">
              <w:rPr>
                <w:rFonts w:ascii="Times New Roman" w:eastAsia="Times New Roman" w:hAnsi="Times New Roman"/>
                <w:b/>
                <w:bCs/>
                <w:lang w:val="uk-UA"/>
              </w:rPr>
              <w:t xml:space="preserve">за даними </w:t>
            </w:r>
            <w:r w:rsidR="00DD753A" w:rsidRPr="00D901E7">
              <w:rPr>
                <w:rFonts w:ascii="Times New Roman" w:eastAsia="Times New Roman" w:hAnsi="Times New Roman"/>
                <w:b/>
                <w:bCs/>
                <w:lang w:val="uk-UA"/>
              </w:rPr>
              <w:t xml:space="preserve">завершеного </w:t>
            </w:r>
            <w:r w:rsidR="00D934EF" w:rsidRPr="00D901E7">
              <w:rPr>
                <w:rFonts w:ascii="Times New Roman" w:eastAsia="Times New Roman" w:hAnsi="Times New Roman"/>
                <w:b/>
                <w:bCs/>
                <w:lang w:val="uk-UA"/>
              </w:rPr>
              <w:t xml:space="preserve">поточного календарного року </w:t>
            </w:r>
            <w:r w:rsidRPr="00D901E7">
              <w:rPr>
                <w:rFonts w:ascii="Times New Roman" w:eastAsia="Times New Roman" w:hAnsi="Times New Roman"/>
                <w:b/>
                <w:bCs/>
                <w:lang w:val="uk-UA"/>
              </w:rPr>
              <w:t xml:space="preserve">для кожної години доби (з урахуванням 23- та 25-годинних днів переходу на літній/зимовий час) </w:t>
            </w:r>
            <w:r w:rsidR="00080D31" w:rsidRPr="00D901E7">
              <w:rPr>
                <w:rFonts w:ascii="Times New Roman" w:eastAsia="Times New Roman" w:hAnsi="Times New Roman"/>
                <w:b/>
                <w:bCs/>
                <w:lang w:val="uk-UA"/>
              </w:rPr>
              <w:t xml:space="preserve">та оприлюднюються </w:t>
            </w:r>
            <w:r w:rsidR="006A47F8" w:rsidRPr="00D901E7">
              <w:rPr>
                <w:rFonts w:ascii="Times New Roman" w:eastAsia="Times New Roman" w:hAnsi="Times New Roman"/>
                <w:b/>
                <w:bCs/>
                <w:lang w:val="uk-UA"/>
              </w:rPr>
              <w:t xml:space="preserve">щорічно </w:t>
            </w:r>
            <w:r w:rsidR="00080D31" w:rsidRPr="00D901E7">
              <w:rPr>
                <w:rFonts w:ascii="Times New Roman" w:eastAsia="Times New Roman" w:hAnsi="Times New Roman"/>
                <w:b/>
                <w:bCs/>
                <w:lang w:val="uk-UA"/>
              </w:rPr>
              <w:t xml:space="preserve">на його власному </w:t>
            </w:r>
            <w:proofErr w:type="spellStart"/>
            <w:r w:rsidR="00080D31" w:rsidRPr="00D901E7">
              <w:rPr>
                <w:rFonts w:ascii="Times New Roman" w:eastAsia="Times New Roman" w:hAnsi="Times New Roman"/>
                <w:b/>
                <w:bCs/>
                <w:lang w:val="uk-UA"/>
              </w:rPr>
              <w:t>вебсайті</w:t>
            </w:r>
            <w:proofErr w:type="spellEnd"/>
            <w:r w:rsidR="00080D31" w:rsidRPr="00D901E7">
              <w:rPr>
                <w:rFonts w:ascii="Times New Roman" w:eastAsia="Times New Roman" w:hAnsi="Times New Roman"/>
                <w:b/>
                <w:bCs/>
                <w:lang w:val="uk-UA"/>
              </w:rPr>
              <w:t xml:space="preserve"> до 00:00 01 січня наступного календарного року у вигляді часового ряду</w:t>
            </w:r>
            <w:r w:rsidR="00AD3654" w:rsidRPr="00D901E7">
              <w:rPr>
                <w:rFonts w:ascii="Times New Roman" w:eastAsia="Times New Roman" w:hAnsi="Times New Roman"/>
                <w:b/>
                <w:bCs/>
                <w:lang w:val="uk-UA"/>
              </w:rPr>
              <w:t>, що містить</w:t>
            </w:r>
            <w:r w:rsidR="00080D31" w:rsidRPr="00D901E7">
              <w:rPr>
                <w:rFonts w:ascii="Times New Roman" w:eastAsia="Times New Roman" w:hAnsi="Times New Roman"/>
                <w:b/>
                <w:bCs/>
                <w:lang w:val="uk-UA"/>
              </w:rPr>
              <w:t xml:space="preserve"> 25 значен</w:t>
            </w:r>
            <w:r w:rsidR="00AD3654" w:rsidRPr="00D901E7">
              <w:rPr>
                <w:rFonts w:ascii="Times New Roman" w:eastAsia="Times New Roman" w:hAnsi="Times New Roman"/>
                <w:b/>
                <w:bCs/>
                <w:lang w:val="uk-UA"/>
              </w:rPr>
              <w:t>ь</w:t>
            </w:r>
            <w:r w:rsidR="00080D31" w:rsidRPr="00D901E7">
              <w:rPr>
                <w:rFonts w:ascii="Times New Roman" w:eastAsia="Times New Roman" w:hAnsi="Times New Roman"/>
                <w:b/>
                <w:bCs/>
                <w:lang w:val="uk-UA"/>
              </w:rPr>
              <w:t>.</w:t>
            </w:r>
          </w:p>
          <w:p w:rsidR="00823534" w:rsidRPr="00D901E7" w:rsidRDefault="00823534" w:rsidP="00823534">
            <w:pPr>
              <w:spacing w:after="0" w:line="240" w:lineRule="auto"/>
              <w:ind w:firstLine="851"/>
              <w:jc w:val="both"/>
              <w:rPr>
                <w:rFonts w:ascii="Times New Roman" w:eastAsia="Times New Roman" w:hAnsi="Times New Roman"/>
                <w:bCs/>
                <w:lang w:val="uk-UA"/>
              </w:rPr>
            </w:pPr>
            <w:r w:rsidRPr="00D901E7">
              <w:rPr>
                <w:rFonts w:ascii="Times New Roman" w:eastAsia="Times New Roman" w:hAnsi="Times New Roman"/>
                <w:bCs/>
                <w:lang w:val="uk-UA"/>
              </w:rPr>
              <w:t>2) після завершення розрахункового місяця – з використанням фактичного обсягу споживання (</w:t>
            </w:r>
            <m:oMath>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а,М_факт</m:t>
                  </m:r>
                </m:sub>
                <m:sup>
                  <m:r>
                    <m:rPr>
                      <m:nor/>
                    </m:rPr>
                    <w:rPr>
                      <w:rFonts w:ascii="Times New Roman" w:eastAsia="Times New Roman" w:hAnsi="Times New Roman"/>
                      <w:bCs/>
                      <w:lang w:val="uk-UA"/>
                    </w:rPr>
                    <m:t>спож.</m:t>
                  </m:r>
                </m:sup>
              </m:sSubSup>
            </m:oMath>
            <w:r w:rsidRPr="00D901E7">
              <w:rPr>
                <w:rFonts w:ascii="Times New Roman" w:eastAsia="Times New Roman" w:hAnsi="Times New Roman"/>
                <w:bCs/>
                <w:lang w:val="uk-UA"/>
              </w:rPr>
              <w:t>) відповідної площадки вимірювання за місяць М, а також добового коефіцієнту надходження електричної енергії (споживання «брутто») до електричних мереж ОСР (</w:t>
            </w:r>
            <m:oMath>
              <m:sSubSup>
                <m:sSubSupPr>
                  <m:ctrlPr>
                    <w:rPr>
                      <w:rFonts w:ascii="Cambria Math" w:eastAsia="Times New Roman" w:hAnsi="Cambria Math"/>
                      <w:bCs/>
                      <w:lang w:val="uk-UA"/>
                    </w:rPr>
                  </m:ctrlPr>
                </m:sSubSupPr>
                <m:e>
                  <m:r>
                    <w:rPr>
                      <w:rFonts w:ascii="Cambria Math" w:eastAsia="Times New Roman" w:hAnsi="Cambria Math"/>
                      <w:lang w:val="uk-UA"/>
                    </w:rPr>
                    <m:t>k</m:t>
                  </m:r>
                </m:e>
                <m:sub>
                  <m:r>
                    <m:rPr>
                      <m:sty m:val="p"/>
                    </m:rPr>
                    <w:rPr>
                      <w:rFonts w:ascii="Cambria Math" w:eastAsia="Times New Roman" w:hAnsi="Cambria Math"/>
                      <w:lang w:val="uk-UA"/>
                    </w:rPr>
                    <m:t>Д</m:t>
                  </m:r>
                </m:sub>
                <m:sup>
                  <m:r>
                    <m:rPr>
                      <m:sty m:val="p"/>
                    </m:rPr>
                    <w:rPr>
                      <w:rFonts w:ascii="Cambria Math" w:eastAsia="Times New Roman" w:hAnsi="Cambria Math"/>
                      <w:lang w:val="uk-UA"/>
                    </w:rPr>
                    <m:t>надх</m:t>
                  </m:r>
                </m:sup>
              </m:sSubSup>
            </m:oMath>
            <w:r w:rsidRPr="00D901E7">
              <w:rPr>
                <w:rFonts w:ascii="Times New Roman" w:eastAsia="Times New Roman" w:hAnsi="Times New Roman"/>
                <w:bCs/>
                <w:lang w:val="uk-UA"/>
              </w:rPr>
              <w:t>) за відповідну добу Д місяця М</w:t>
            </w:r>
            <w:r w:rsidRPr="00D901E7" w:rsidDel="00AB3400">
              <w:rPr>
                <w:rFonts w:ascii="Times New Roman" w:eastAsia="Times New Roman" w:hAnsi="Times New Roman"/>
                <w:bCs/>
                <w:lang w:val="uk-UA"/>
              </w:rPr>
              <w:t xml:space="preserve"> </w:t>
            </w:r>
            <w:r w:rsidRPr="00D901E7">
              <w:rPr>
                <w:rFonts w:ascii="Times New Roman" w:eastAsia="Times New Roman" w:hAnsi="Times New Roman"/>
                <w:bCs/>
                <w:lang w:val="uk-UA"/>
              </w:rPr>
              <w:t xml:space="preserve"> та погодинних стимулюючих коефіцієнтів (</w:t>
            </w:r>
            <m:oMath>
              <m:sSubSup>
                <m:sSubSupPr>
                  <m:ctrlPr>
                    <w:rPr>
                      <w:rFonts w:ascii="Cambria Math" w:eastAsia="Times New Roman" w:hAnsi="Cambria Math"/>
                      <w:bCs/>
                      <w:lang w:val="uk-UA"/>
                    </w:rPr>
                  </m:ctrlPr>
                </m:sSubSupPr>
                <m:e>
                  <m:r>
                    <w:rPr>
                      <w:rFonts w:ascii="Cambria Math" w:eastAsia="Times New Roman" w:hAnsi="Cambria Math"/>
                      <w:lang w:val="uk-UA"/>
                    </w:rPr>
                    <m:t>k</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стим</m:t>
                  </m:r>
                </m:sup>
              </m:sSubSup>
              <m:r>
                <m:rPr>
                  <m:sty m:val="p"/>
                </m:rPr>
                <w:rPr>
                  <w:rFonts w:ascii="Cambria Math" w:eastAsia="Times New Roman" w:hAnsi="Cambria Math"/>
                  <w:lang w:val="uk-UA"/>
                </w:rPr>
                <m:t>)</m:t>
              </m:r>
            </m:oMath>
            <w:r w:rsidRPr="00D901E7">
              <w:rPr>
                <w:rFonts w:ascii="Times New Roman" w:eastAsia="Times New Roman" w:hAnsi="Times New Roman"/>
                <w:bCs/>
                <w:lang w:val="uk-UA"/>
              </w:rPr>
              <w:t>, за формулою:</w:t>
            </w:r>
          </w:p>
          <w:p w:rsidR="00823534" w:rsidRPr="00D901E7" w:rsidRDefault="00823534" w:rsidP="00823534">
            <w:pPr>
              <w:spacing w:after="0" w:line="240" w:lineRule="auto"/>
              <w:ind w:firstLine="851"/>
              <w:jc w:val="both"/>
              <w:rPr>
                <w:rFonts w:ascii="Times New Roman" w:eastAsia="Times New Roman" w:hAnsi="Times New Roman"/>
                <w:bCs/>
                <w:lang w:val="uk-UA"/>
              </w:rPr>
            </w:pPr>
          </w:p>
          <w:p w:rsidR="00823534" w:rsidRPr="00D901E7" w:rsidRDefault="001C1BD4" w:rsidP="00823534">
            <w:pPr>
              <w:spacing w:after="0" w:line="240" w:lineRule="auto"/>
              <w:ind w:firstLine="851"/>
              <w:jc w:val="both"/>
              <w:rPr>
                <w:rFonts w:ascii="Times New Roman" w:eastAsia="Times New Roman" w:hAnsi="Times New Roman"/>
                <w:bCs/>
                <w:lang w:val="uk-UA"/>
              </w:rPr>
            </w:pPr>
            <m:oMath>
              <m:sSubSup>
                <m:sSubSupPr>
                  <m:ctrlPr>
                    <w:rPr>
                      <w:rFonts w:ascii="Cambria Math" w:eastAsia="Times New Roman" w:hAnsi="Cambria Math"/>
                      <w:bCs/>
                      <w:lang w:val="uk-UA"/>
                    </w:rPr>
                  </m:ctrlPr>
                </m:sSubSupPr>
                <m:e>
                  <m:r>
                    <m:rPr>
                      <m:sty m:val="p"/>
                    </m:rPr>
                    <w:rPr>
                      <w:rFonts w:ascii="Cambria Math" w:eastAsia="Times New Roman" w:hAnsi="Cambria Math"/>
                      <w:lang w:val="uk-UA"/>
                    </w:rPr>
                    <m:t>Е</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а</m:t>
                  </m:r>
                </m:sup>
              </m:sSubSup>
              <m:r>
                <m:rPr>
                  <m:sty m:val="p"/>
                </m:rP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а,М_факт</m:t>
                  </m:r>
                </m:sub>
                <m:sup>
                  <m:r>
                    <m:rPr>
                      <m:nor/>
                    </m:rPr>
                    <w:rPr>
                      <w:rFonts w:ascii="Times New Roman" w:eastAsia="Times New Roman" w:hAnsi="Times New Roman"/>
                      <w:bCs/>
                      <w:lang w:val="uk-UA"/>
                    </w:rPr>
                    <m:t>спож.</m:t>
                  </m:r>
                </m:sup>
              </m:sSubSup>
              <m:r>
                <m:rPr>
                  <m:sty m:val="p"/>
                </m:rPr>
                <w:rPr>
                  <w:rFonts w:ascii="Cambria Math" w:eastAsia="Times New Roman" w:hAnsi="Cambria Math"/>
                  <w:lang w:val="uk-UA"/>
                </w:rPr>
                <m:t>×</m:t>
              </m:r>
              <m:sSubSup>
                <m:sSubSupPr>
                  <m:ctrlPr>
                    <w:rPr>
                      <w:rFonts w:ascii="Cambria Math" w:eastAsia="Times New Roman" w:hAnsi="Cambria Math"/>
                      <w:bCs/>
                      <w:i/>
                      <w:lang w:val="uk-UA"/>
                    </w:rPr>
                  </m:ctrlPr>
                </m:sSubSupPr>
                <m:e>
                  <m:r>
                    <w:rPr>
                      <w:rFonts w:ascii="Cambria Math" w:eastAsia="Times New Roman" w:hAnsi="Cambria Math"/>
                      <w:lang w:val="uk-UA"/>
                    </w:rPr>
                    <m:t>k</m:t>
                  </m:r>
                </m:e>
                <m:sub>
                  <m:r>
                    <w:rPr>
                      <w:rFonts w:ascii="Cambria Math" w:eastAsia="Times New Roman" w:hAnsi="Cambria Math"/>
                      <w:lang w:val="uk-UA"/>
                    </w:rPr>
                    <m:t>Д</m:t>
                  </m:r>
                </m:sub>
                <m:sup>
                  <m:r>
                    <w:rPr>
                      <w:rFonts w:ascii="Cambria Math" w:eastAsia="Times New Roman" w:hAnsi="Cambria Math"/>
                      <w:lang w:val="uk-UA"/>
                    </w:rPr>
                    <m:t>надх.</m:t>
                  </m:r>
                </m:sup>
              </m:sSubSup>
              <m:r>
                <w:rPr>
                  <w:rFonts w:ascii="Cambria Math" w:eastAsia="Times New Roman" w:hAnsi="Cambria Math"/>
                  <w:lang w:val="uk-UA"/>
                </w:rPr>
                <m:t>×</m:t>
              </m:r>
              <m:sSubSup>
                <m:sSubSupPr>
                  <m:ctrlPr>
                    <w:rPr>
                      <w:rFonts w:ascii="Cambria Math" w:eastAsia="Times New Roman" w:hAnsi="Cambria Math"/>
                      <w:bCs/>
                      <w:lang w:val="uk-UA"/>
                    </w:rPr>
                  </m:ctrlPr>
                </m:sSubSupPr>
                <m:e>
                  <m:r>
                    <w:rPr>
                      <w:rFonts w:ascii="Cambria Math" w:eastAsia="Times New Roman" w:hAnsi="Cambria Math"/>
                      <w:lang w:val="uk-UA"/>
                    </w:rPr>
                    <m:t>k</m:t>
                  </m:r>
                </m:e>
                <m:sub>
                  <m:r>
                    <w:rPr>
                      <w:rFonts w:ascii="Cambria Math" w:eastAsia="Times New Roman" w:hAnsi="Cambria Math"/>
                      <w:lang w:val="uk-UA"/>
                    </w:rPr>
                    <m:t>t</m:t>
                  </m:r>
                  <m:r>
                    <m:rPr>
                      <m:sty m:val="p"/>
                    </m:rPr>
                    <w:rPr>
                      <w:rFonts w:ascii="Cambria Math" w:eastAsia="Times New Roman" w:hAnsi="Cambria Math"/>
                      <w:lang w:val="uk-UA"/>
                    </w:rPr>
                    <m:t>,Д</m:t>
                  </m:r>
                </m:sub>
                <m:sup>
                  <m:r>
                    <m:rPr>
                      <m:sty m:val="p"/>
                    </m:rPr>
                    <w:rPr>
                      <w:rFonts w:ascii="Cambria Math" w:eastAsia="Times New Roman" w:hAnsi="Cambria Math"/>
                      <w:lang w:val="uk-UA"/>
                    </w:rPr>
                    <m:t>стим</m:t>
                  </m:r>
                </m:sup>
              </m:sSubSup>
            </m:oMath>
            <w:r w:rsidR="00823534" w:rsidRPr="00D901E7">
              <w:rPr>
                <w:rFonts w:ascii="Times New Roman" w:eastAsia="Times New Roman" w:hAnsi="Times New Roman"/>
                <w:bCs/>
                <w:lang w:val="uk-UA"/>
              </w:rPr>
              <w:t>, кВт год</w:t>
            </w:r>
          </w:p>
          <w:p w:rsidR="00823534" w:rsidRPr="00D901E7" w:rsidRDefault="00823534" w:rsidP="00823534">
            <w:pPr>
              <w:spacing w:after="0" w:line="259" w:lineRule="auto"/>
              <w:ind w:firstLine="851"/>
              <w:jc w:val="both"/>
              <w:rPr>
                <w:rFonts w:ascii="Times New Roman" w:eastAsia="Times New Roman" w:hAnsi="Times New Roman"/>
                <w:bCs/>
                <w:lang w:val="uk-UA"/>
              </w:rPr>
            </w:pPr>
            <w:r w:rsidRPr="00D901E7">
              <w:rPr>
                <w:rFonts w:ascii="Times New Roman" w:eastAsia="Times New Roman" w:hAnsi="Times New Roman"/>
                <w:bCs/>
                <w:lang w:val="uk-UA"/>
              </w:rPr>
              <w:t xml:space="preserve">де: </w:t>
            </w:r>
            <m:oMath>
              <m:sSubSup>
                <m:sSubSupPr>
                  <m:ctrlPr>
                    <w:rPr>
                      <w:rFonts w:ascii="Cambria Math" w:eastAsia="Times New Roman" w:hAnsi="Cambria Math"/>
                      <w:bCs/>
                      <w:lang w:val="uk-UA"/>
                    </w:rPr>
                  </m:ctrlPr>
                </m:sSubSupPr>
                <m:e>
                  <m:r>
                    <w:rPr>
                      <w:rFonts w:ascii="Cambria Math" w:eastAsia="Times New Roman" w:hAnsi="Cambria Math"/>
                      <w:lang w:val="uk-UA"/>
                    </w:rPr>
                    <m:t>k</m:t>
                  </m:r>
                </m:e>
                <m:sub>
                  <m:r>
                    <m:rPr>
                      <m:sty m:val="p"/>
                    </m:rPr>
                    <w:rPr>
                      <w:rFonts w:ascii="Cambria Math" w:eastAsia="Times New Roman" w:hAnsi="Cambria Math"/>
                      <w:lang w:val="uk-UA"/>
                    </w:rPr>
                    <m:t>Д</m:t>
                  </m:r>
                </m:sub>
                <m:sup>
                  <m:r>
                    <m:rPr>
                      <m:sty m:val="p"/>
                    </m:rPr>
                    <w:rPr>
                      <w:rFonts w:ascii="Cambria Math" w:eastAsia="Times New Roman" w:hAnsi="Cambria Math"/>
                      <w:lang w:val="uk-UA"/>
                    </w:rPr>
                    <m:t>надх</m:t>
                  </m:r>
                </m:sup>
              </m:sSubSup>
              <m:r>
                <m:rPr>
                  <m:sty m:val="p"/>
                </m:rPr>
                <w:rPr>
                  <w:rFonts w:ascii="Cambria Math" w:eastAsia="Times New Roman" w:hAnsi="Cambria Math"/>
                  <w:lang w:val="uk-UA"/>
                </w:rPr>
                <m:t>=</m:t>
              </m:r>
              <m:f>
                <m:fPr>
                  <m:ctrlPr>
                    <w:rPr>
                      <w:rFonts w:ascii="Cambria Math" w:eastAsia="Times New Roman" w:hAnsi="Cambria Math"/>
                      <w:bCs/>
                      <w:lang w:val="uk-UA"/>
                    </w:rPr>
                  </m:ctrlPr>
                </m:fPr>
                <m:num>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Д,_факт</m:t>
                      </m:r>
                    </m:sub>
                    <m:sup>
                      <m:r>
                        <m:rPr>
                          <m:sty m:val="p"/>
                        </m:rPr>
                        <w:rPr>
                          <w:rFonts w:ascii="Cambria Math" w:eastAsia="Times New Roman" w:hAnsi="Cambria Math"/>
                          <w:lang w:val="uk-UA"/>
                        </w:rPr>
                        <m:t>надх</m:t>
                      </m:r>
                      <m:r>
                        <m:rPr>
                          <m:nor/>
                        </m:rPr>
                        <w:rPr>
                          <w:rFonts w:ascii="Times New Roman" w:eastAsia="Times New Roman" w:hAnsi="Times New Roman"/>
                          <w:bCs/>
                          <w:lang w:val="uk-UA"/>
                        </w:rPr>
                        <m:t>.</m:t>
                      </m:r>
                    </m:sup>
                  </m:sSubSup>
                </m:num>
                <m:den>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М,_факт</m:t>
                      </m:r>
                    </m:sub>
                    <m:sup>
                      <m:r>
                        <m:rPr>
                          <m:sty m:val="p"/>
                        </m:rPr>
                        <w:rPr>
                          <w:rFonts w:ascii="Cambria Math" w:eastAsia="Times New Roman" w:hAnsi="Cambria Math"/>
                          <w:lang w:val="uk-UA"/>
                        </w:rPr>
                        <m:t>надх</m:t>
                      </m:r>
                      <m:r>
                        <m:rPr>
                          <m:nor/>
                        </m:rPr>
                        <w:rPr>
                          <w:rFonts w:ascii="Times New Roman" w:eastAsia="Times New Roman" w:hAnsi="Times New Roman"/>
                          <w:bCs/>
                          <w:lang w:val="uk-UA"/>
                        </w:rPr>
                        <m:t>.</m:t>
                      </m:r>
                    </m:sup>
                  </m:sSubSup>
                </m:den>
              </m:f>
            </m:oMath>
            <w:r w:rsidRPr="00D901E7">
              <w:rPr>
                <w:rFonts w:ascii="Times New Roman" w:eastAsia="Times New Roman" w:hAnsi="Times New Roman"/>
                <w:bCs/>
                <w:lang w:val="uk-UA"/>
              </w:rPr>
              <w:t xml:space="preserve"> – добовий коефіцієнт фактичного надходження електричної енергії (споживання «брутто») до електричних мереж ОСР за відповідну добу Д місяця М;</w:t>
            </w:r>
          </w:p>
          <w:p w:rsidR="00823534" w:rsidRPr="00D901E7" w:rsidRDefault="001C1BD4" w:rsidP="00823534">
            <w:pPr>
              <w:spacing w:after="0" w:line="240" w:lineRule="auto"/>
              <w:ind w:firstLine="851"/>
              <w:jc w:val="both"/>
              <w:rPr>
                <w:rFonts w:ascii="Times New Roman" w:eastAsia="Times New Roman" w:hAnsi="Times New Roman"/>
                <w:bCs/>
                <w:lang w:val="uk-UA"/>
              </w:rPr>
            </w:pPr>
            <m:oMath>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Д,_факт</m:t>
                  </m:r>
                </m:sub>
                <m:sup>
                  <m:r>
                    <m:rPr>
                      <m:sty m:val="p"/>
                    </m:rPr>
                    <w:rPr>
                      <w:rFonts w:ascii="Cambria Math" w:eastAsia="Times New Roman" w:hAnsi="Cambria Math"/>
                      <w:lang w:val="uk-UA"/>
                    </w:rPr>
                    <m:t>надх</m:t>
                  </m:r>
                  <m:r>
                    <m:rPr>
                      <m:nor/>
                    </m:rPr>
                    <w:rPr>
                      <w:rFonts w:ascii="Times New Roman" w:eastAsia="Times New Roman" w:hAnsi="Times New Roman"/>
                      <w:bCs/>
                      <w:lang w:val="uk-UA"/>
                    </w:rPr>
                    <m:t>.</m:t>
                  </m:r>
                </m:sup>
              </m:sSubSup>
            </m:oMath>
            <w:r w:rsidR="00823534" w:rsidRPr="00D901E7">
              <w:rPr>
                <w:rFonts w:ascii="Times New Roman" w:eastAsia="Times New Roman" w:hAnsi="Times New Roman"/>
                <w:bCs/>
                <w:lang w:val="uk-UA"/>
              </w:rPr>
              <w:t xml:space="preserve"> – фактичний обсяг надходження електричної енергії (споживання «брутто») до електричних мереж ОСР за відповідну добу Д місяця М;</w:t>
            </w:r>
          </w:p>
          <w:p w:rsidR="00823534" w:rsidRPr="00D901E7" w:rsidRDefault="001C1BD4" w:rsidP="00823534">
            <w:pPr>
              <w:spacing w:after="0" w:line="240" w:lineRule="auto"/>
              <w:ind w:firstLine="851"/>
              <w:jc w:val="both"/>
              <w:rPr>
                <w:rFonts w:ascii="Times New Roman" w:eastAsia="Times New Roman" w:hAnsi="Times New Roman"/>
                <w:shd w:val="clear" w:color="auto" w:fill="FFFFFF"/>
                <w:lang w:val="uk-UA"/>
              </w:rPr>
            </w:pPr>
            <m:oMath>
              <m:sSubSup>
                <m:sSubSupPr>
                  <m:ctrlPr>
                    <w:rPr>
                      <w:rFonts w:ascii="Cambria Math" w:eastAsia="Times New Roman" w:hAnsi="Cambria Math"/>
                      <w:bCs/>
                      <w:lang w:val="uk-UA"/>
                    </w:rPr>
                  </m:ctrlPr>
                </m:sSubSupPr>
                <m:e>
                  <m:r>
                    <w:rPr>
                      <w:rFonts w:ascii="Cambria Math" w:eastAsia="Times New Roman" w:hAnsi="Cambria Math"/>
                      <w:lang w:val="uk-UA"/>
                    </w:rPr>
                    <m:t>E</m:t>
                  </m:r>
                </m:e>
                <m:sub>
                  <m:r>
                    <m:rPr>
                      <m:sty m:val="p"/>
                    </m:rPr>
                    <w:rPr>
                      <w:rFonts w:ascii="Cambria Math" w:eastAsia="Times New Roman" w:hAnsi="Cambria Math"/>
                      <w:lang w:val="uk-UA"/>
                    </w:rPr>
                    <m:t>М,_факт</m:t>
                  </m:r>
                </m:sub>
                <m:sup>
                  <m:r>
                    <m:rPr>
                      <m:sty m:val="p"/>
                    </m:rPr>
                    <w:rPr>
                      <w:rFonts w:ascii="Cambria Math" w:eastAsia="Times New Roman" w:hAnsi="Cambria Math"/>
                      <w:lang w:val="uk-UA"/>
                    </w:rPr>
                    <m:t>надх</m:t>
                  </m:r>
                  <m:r>
                    <m:rPr>
                      <m:nor/>
                    </m:rPr>
                    <w:rPr>
                      <w:rFonts w:ascii="Times New Roman" w:eastAsia="Times New Roman" w:hAnsi="Times New Roman"/>
                      <w:bCs/>
                      <w:lang w:val="uk-UA"/>
                    </w:rPr>
                    <m:t>.</m:t>
                  </m:r>
                </m:sup>
              </m:sSubSup>
            </m:oMath>
            <w:r w:rsidR="00823534" w:rsidRPr="00D901E7">
              <w:rPr>
                <w:rFonts w:ascii="Times New Roman" w:eastAsia="Times New Roman" w:hAnsi="Times New Roman"/>
                <w:bCs/>
                <w:lang w:val="uk-UA"/>
              </w:rPr>
              <w:t xml:space="preserve"> – фактичний обсяг надходження електричної енергії (споживання «брутто») до електричних мереж ОСР за місяць М.</w:t>
            </w:r>
          </w:p>
          <w:p w:rsidR="00823534" w:rsidRPr="00D901E7" w:rsidRDefault="00823534" w:rsidP="00823534">
            <w:pPr>
              <w:pStyle w:val="a5"/>
              <w:ind w:left="17"/>
              <w:jc w:val="both"/>
              <w:rPr>
                <w:rFonts w:ascii="Times New Roman" w:eastAsia="Times New Roman" w:hAnsi="Times New Roman" w:cs="Times New Roman"/>
                <w:bCs/>
                <w:kern w:val="0"/>
                <w:sz w:val="22"/>
                <w:szCs w:val="22"/>
                <w:lang w:eastAsia="en-US" w:bidi="ar-SA"/>
              </w:rPr>
            </w:pPr>
          </w:p>
          <w:p w:rsidR="00823534" w:rsidRPr="00D901E7" w:rsidRDefault="00823534" w:rsidP="00823534">
            <w:pPr>
              <w:spacing w:after="0" w:line="240" w:lineRule="auto"/>
              <w:jc w:val="both"/>
              <w:rPr>
                <w:rFonts w:ascii="TimesNewRomanPSMT" w:hAnsi="TimesNewRomanPSMT"/>
                <w:b/>
                <w:bCs/>
                <w:color w:val="000000"/>
                <w:lang w:val="uk-UA"/>
              </w:rPr>
            </w:pPr>
            <w:proofErr w:type="spellStart"/>
            <w:r w:rsidRPr="00D901E7">
              <w:rPr>
                <w:rFonts w:ascii="Times New Roman" w:eastAsia="Times New Roman" w:hAnsi="Times New Roman"/>
                <w:bCs/>
                <w:lang w:val="uk-UA"/>
              </w:rPr>
              <w:lastRenderedPageBreak/>
              <w:t>Електропостачальники</w:t>
            </w:r>
            <w:proofErr w:type="spellEnd"/>
            <w:r w:rsidRPr="00D901E7">
              <w:rPr>
                <w:rFonts w:ascii="Times New Roman" w:eastAsia="Times New Roman" w:hAnsi="Times New Roman"/>
                <w:bCs/>
                <w:lang w:val="uk-UA"/>
              </w:rPr>
              <w:t xml:space="preserve"> при укладенні договорів про постачання електричної енергії мають письмово інформувати споживачів стосовно застосування погодинних стимулюючих коефіцієнтів з метою переходу на комерційний облік електричної енергії з використанням інтелектуальних лічильників.</w:t>
            </w:r>
          </w:p>
        </w:tc>
      </w:tr>
      <w:tr w:rsidR="00823534" w:rsidRPr="008F6F03" w:rsidTr="001E3919">
        <w:trPr>
          <w:trHeight w:val="274"/>
        </w:trPr>
        <w:tc>
          <w:tcPr>
            <w:tcW w:w="7085" w:type="dxa"/>
          </w:tcPr>
          <w:p w:rsidR="00823534" w:rsidRPr="008F6F03" w:rsidRDefault="00823534" w:rsidP="00823534">
            <w:pPr>
              <w:pStyle w:val="a5"/>
              <w:ind w:left="17"/>
              <w:jc w:val="both"/>
              <w:rPr>
                <w:rFonts w:ascii="TimesNewRomanPSMT" w:hAnsi="TimesNewRomanPSMT"/>
                <w:b/>
                <w:bCs/>
                <w:color w:val="000000"/>
              </w:rPr>
            </w:pPr>
            <w:r w:rsidRPr="008F6F03">
              <w:rPr>
                <w:rFonts w:ascii="TimesNewRomanPSMT" w:hAnsi="TimesNewRomanPSMT"/>
                <w:b/>
                <w:bCs/>
                <w:color w:val="000000"/>
              </w:rPr>
              <w:lastRenderedPageBreak/>
              <w:t>Доповнити новим пунктом 1.</w:t>
            </w:r>
            <w:r w:rsidRPr="001E3919">
              <w:rPr>
                <w:rFonts w:ascii="Times New Roman" w:hAnsi="Times New Roman" w:cs="Times New Roman"/>
                <w:b/>
                <w:bCs/>
                <w:color w:val="000000"/>
              </w:rPr>
              <w:t>1</w:t>
            </w:r>
            <w:r w:rsidR="00B43127" w:rsidRPr="001C1BD4">
              <w:rPr>
                <w:rFonts w:ascii="Times New Roman" w:hAnsi="Times New Roman" w:cs="Times New Roman"/>
                <w:b/>
                <w:bCs/>
                <w:color w:val="000000"/>
                <w:lang w:val="ru-RU"/>
              </w:rPr>
              <w:t>4</w:t>
            </w:r>
            <w:r w:rsidRPr="008F6F03">
              <w:rPr>
                <w:rFonts w:ascii="TimesNewRomanPSMT" w:hAnsi="TimesNewRomanPSMT"/>
                <w:b/>
                <w:bCs/>
                <w:color w:val="000000"/>
              </w:rPr>
              <w:t xml:space="preserve"> такого змісту:</w:t>
            </w:r>
          </w:p>
          <w:p w:rsidR="00823534" w:rsidRPr="008F6F03" w:rsidRDefault="00823534" w:rsidP="00823534">
            <w:pPr>
              <w:spacing w:after="0" w:line="240" w:lineRule="auto"/>
              <w:jc w:val="both"/>
              <w:rPr>
                <w:rFonts w:ascii="Times New Roman" w:hAnsi="Times New Roman"/>
                <w:sz w:val="24"/>
                <w:szCs w:val="24"/>
                <w:lang w:val="uk-UA"/>
              </w:rPr>
            </w:pPr>
          </w:p>
        </w:tc>
        <w:tc>
          <w:tcPr>
            <w:tcW w:w="7085" w:type="dxa"/>
          </w:tcPr>
          <w:p w:rsidR="00823534" w:rsidRPr="00B43127" w:rsidRDefault="00823534" w:rsidP="00823534">
            <w:pPr>
              <w:spacing w:after="0" w:line="240" w:lineRule="auto"/>
              <w:jc w:val="both"/>
              <w:rPr>
                <w:rFonts w:ascii="Times New Roman" w:hAnsi="Times New Roman"/>
                <w:b/>
                <w:sz w:val="24"/>
                <w:szCs w:val="24"/>
                <w:lang w:val="uk-UA"/>
              </w:rPr>
            </w:pPr>
            <w:r w:rsidRPr="00B43127">
              <w:rPr>
                <w:rFonts w:ascii="Times New Roman" w:hAnsi="Times New Roman"/>
                <w:b/>
                <w:bCs/>
                <w:color w:val="000000"/>
                <w:lang w:val="uk-UA"/>
              </w:rPr>
              <w:t>«1.1</w:t>
            </w:r>
            <w:r w:rsidR="00B43127" w:rsidRPr="001C1BD4">
              <w:rPr>
                <w:rFonts w:ascii="Times New Roman" w:hAnsi="Times New Roman"/>
                <w:b/>
                <w:bCs/>
                <w:color w:val="000000"/>
              </w:rPr>
              <w:t>4</w:t>
            </w:r>
            <w:r w:rsidRPr="00B43127">
              <w:rPr>
                <w:rFonts w:ascii="Times New Roman" w:hAnsi="Times New Roman"/>
                <w:b/>
                <w:bCs/>
                <w:color w:val="000000"/>
                <w:lang w:val="uk-UA"/>
              </w:rPr>
              <w:t xml:space="preserve">. Для площадок комерційного обліку групи «а»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 5 % між оперативними </w:t>
            </w:r>
            <w:r w:rsidR="00E231C9" w:rsidRPr="00B43127">
              <w:rPr>
                <w:rFonts w:ascii="Times New Roman" w:hAnsi="Times New Roman"/>
                <w:b/>
                <w:bCs/>
                <w:color w:val="000000"/>
                <w:lang w:val="uk-UA"/>
              </w:rPr>
              <w:t xml:space="preserve">значеннями </w:t>
            </w:r>
            <w:r w:rsidRPr="00B43127">
              <w:rPr>
                <w:rFonts w:ascii="Times New Roman" w:hAnsi="Times New Roman"/>
                <w:b/>
                <w:bCs/>
                <w:color w:val="000000"/>
                <w:lang w:val="uk-UA"/>
              </w:rPr>
              <w:t>дани</w:t>
            </w:r>
            <w:r w:rsidR="00E231C9" w:rsidRPr="00B43127">
              <w:rPr>
                <w:rFonts w:ascii="Times New Roman" w:hAnsi="Times New Roman"/>
                <w:b/>
                <w:bCs/>
                <w:color w:val="000000"/>
                <w:lang w:val="uk-UA"/>
              </w:rPr>
              <w:t>х</w:t>
            </w:r>
            <w:r w:rsidRPr="00B43127">
              <w:rPr>
                <w:rFonts w:ascii="Times New Roman" w:hAnsi="Times New Roman"/>
                <w:b/>
                <w:bCs/>
                <w:color w:val="000000"/>
                <w:lang w:val="uk-UA"/>
              </w:rPr>
              <w:t xml:space="preserve"> наростаючим підсумком та відповідними фактичними </w:t>
            </w:r>
            <w:r w:rsidR="00E231C9" w:rsidRPr="00B43127">
              <w:rPr>
                <w:rFonts w:ascii="Times New Roman" w:hAnsi="Times New Roman"/>
                <w:b/>
                <w:bCs/>
                <w:color w:val="000000"/>
                <w:lang w:val="uk-UA"/>
              </w:rPr>
              <w:t xml:space="preserve">значеннями </w:t>
            </w:r>
            <w:r w:rsidRPr="00B43127">
              <w:rPr>
                <w:rFonts w:ascii="Times New Roman" w:hAnsi="Times New Roman"/>
                <w:b/>
                <w:bCs/>
                <w:color w:val="000000"/>
                <w:lang w:val="uk-UA"/>
              </w:rPr>
              <w:t>дани</w:t>
            </w:r>
            <w:r w:rsidR="00E231C9" w:rsidRPr="00B43127">
              <w:rPr>
                <w:rFonts w:ascii="Times New Roman" w:hAnsi="Times New Roman"/>
                <w:b/>
                <w:bCs/>
                <w:color w:val="000000"/>
                <w:lang w:val="uk-UA"/>
              </w:rPr>
              <w:t>х</w:t>
            </w:r>
            <w:r w:rsidRPr="00B43127">
              <w:rPr>
                <w:rFonts w:ascii="Times New Roman" w:hAnsi="Times New Roman"/>
                <w:b/>
                <w:bCs/>
                <w:color w:val="000000"/>
                <w:lang w:val="uk-UA"/>
              </w:rPr>
              <w:t xml:space="preserve"> по кожній площадці вимірювання групи «а» споживача, отриманими на кінець кожно</w:t>
            </w:r>
            <w:r w:rsidR="001B3F7B" w:rsidRPr="00B43127">
              <w:rPr>
                <w:rFonts w:ascii="Times New Roman" w:hAnsi="Times New Roman"/>
                <w:b/>
                <w:bCs/>
                <w:color w:val="000000"/>
                <w:lang w:val="uk-UA"/>
              </w:rPr>
              <w:t>ї доби</w:t>
            </w:r>
            <w:r w:rsidRPr="00B43127">
              <w:rPr>
                <w:rFonts w:ascii="Times New Roman" w:hAnsi="Times New Roman"/>
                <w:b/>
                <w:bCs/>
                <w:color w:val="000000"/>
                <w:lang w:val="uk-UA"/>
              </w:rPr>
              <w:t xml:space="preserve"> розрахункового місяця та/або на момент кожного зчитування фактичних даних з лічильників за цей період.»</w:t>
            </w:r>
          </w:p>
        </w:tc>
      </w:tr>
    </w:tbl>
    <w:p w:rsidR="0085003C" w:rsidRPr="008F6F03" w:rsidRDefault="0085003C" w:rsidP="00370E5C">
      <w:pPr>
        <w:rPr>
          <w:rFonts w:ascii="Times New Roman" w:hAnsi="Times New Roman"/>
          <w:lang w:val="uk-UA"/>
        </w:rPr>
      </w:pPr>
      <w:bookmarkStart w:id="1" w:name="n2167"/>
      <w:bookmarkEnd w:id="1"/>
    </w:p>
    <w:sectPr w:rsidR="0085003C" w:rsidRPr="008F6F03" w:rsidSect="00D660B1">
      <w:pgSz w:w="15840" w:h="12240" w:orient="landscape"/>
      <w:pgMar w:top="568" w:right="1381" w:bottom="426" w:left="850" w:header="708" w:footer="70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Noto Sans CJK SC">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5C"/>
    <w:rsid w:val="00003868"/>
    <w:rsid w:val="00013A37"/>
    <w:rsid w:val="0004323D"/>
    <w:rsid w:val="00046B78"/>
    <w:rsid w:val="00080D31"/>
    <w:rsid w:val="0009456D"/>
    <w:rsid w:val="000D365F"/>
    <w:rsid w:val="001159AB"/>
    <w:rsid w:val="00165E92"/>
    <w:rsid w:val="001878AA"/>
    <w:rsid w:val="001B3F7B"/>
    <w:rsid w:val="001B72F8"/>
    <w:rsid w:val="001C1BD4"/>
    <w:rsid w:val="001E3919"/>
    <w:rsid w:val="002668F3"/>
    <w:rsid w:val="002724D3"/>
    <w:rsid w:val="00286317"/>
    <w:rsid w:val="002958C0"/>
    <w:rsid w:val="002E3914"/>
    <w:rsid w:val="002F1218"/>
    <w:rsid w:val="002F4232"/>
    <w:rsid w:val="00335B96"/>
    <w:rsid w:val="00350147"/>
    <w:rsid w:val="00350155"/>
    <w:rsid w:val="00360F81"/>
    <w:rsid w:val="00370E5C"/>
    <w:rsid w:val="0039274D"/>
    <w:rsid w:val="003E2C98"/>
    <w:rsid w:val="00401F2B"/>
    <w:rsid w:val="00425E1C"/>
    <w:rsid w:val="0044208C"/>
    <w:rsid w:val="004667EA"/>
    <w:rsid w:val="00487DF0"/>
    <w:rsid w:val="00495BCD"/>
    <w:rsid w:val="004A035E"/>
    <w:rsid w:val="004F04D6"/>
    <w:rsid w:val="004F08EB"/>
    <w:rsid w:val="004F55CE"/>
    <w:rsid w:val="005534A9"/>
    <w:rsid w:val="00555219"/>
    <w:rsid w:val="00564DE2"/>
    <w:rsid w:val="005A4CF4"/>
    <w:rsid w:val="005A7387"/>
    <w:rsid w:val="005B04FD"/>
    <w:rsid w:val="005F10E8"/>
    <w:rsid w:val="00665310"/>
    <w:rsid w:val="00690FA7"/>
    <w:rsid w:val="006A47F8"/>
    <w:rsid w:val="006C1584"/>
    <w:rsid w:val="006C66F8"/>
    <w:rsid w:val="006E0A4B"/>
    <w:rsid w:val="006F1390"/>
    <w:rsid w:val="00752A3F"/>
    <w:rsid w:val="00771CAE"/>
    <w:rsid w:val="00784499"/>
    <w:rsid w:val="007844E6"/>
    <w:rsid w:val="007938C7"/>
    <w:rsid w:val="007A3F8D"/>
    <w:rsid w:val="007E6620"/>
    <w:rsid w:val="007F42F6"/>
    <w:rsid w:val="00823534"/>
    <w:rsid w:val="008375A5"/>
    <w:rsid w:val="00847C7D"/>
    <w:rsid w:val="0085003C"/>
    <w:rsid w:val="00870B6C"/>
    <w:rsid w:val="00884B1C"/>
    <w:rsid w:val="008879BD"/>
    <w:rsid w:val="00887CDE"/>
    <w:rsid w:val="008C469F"/>
    <w:rsid w:val="008E0E9D"/>
    <w:rsid w:val="008F6F03"/>
    <w:rsid w:val="009314A2"/>
    <w:rsid w:val="0094211A"/>
    <w:rsid w:val="009A3735"/>
    <w:rsid w:val="00A05397"/>
    <w:rsid w:val="00A44F4A"/>
    <w:rsid w:val="00A632BE"/>
    <w:rsid w:val="00A6631E"/>
    <w:rsid w:val="00A7356F"/>
    <w:rsid w:val="00A74871"/>
    <w:rsid w:val="00AB1590"/>
    <w:rsid w:val="00AD3654"/>
    <w:rsid w:val="00AF023A"/>
    <w:rsid w:val="00B05263"/>
    <w:rsid w:val="00B21D47"/>
    <w:rsid w:val="00B40E54"/>
    <w:rsid w:val="00B43127"/>
    <w:rsid w:val="00B80E61"/>
    <w:rsid w:val="00B901C8"/>
    <w:rsid w:val="00BA2BDE"/>
    <w:rsid w:val="00BB2D67"/>
    <w:rsid w:val="00BE35F0"/>
    <w:rsid w:val="00C025B2"/>
    <w:rsid w:val="00C0566C"/>
    <w:rsid w:val="00C227FF"/>
    <w:rsid w:val="00C41947"/>
    <w:rsid w:val="00C900A1"/>
    <w:rsid w:val="00C94A5F"/>
    <w:rsid w:val="00CA5AA1"/>
    <w:rsid w:val="00CD2C5B"/>
    <w:rsid w:val="00CD5DB0"/>
    <w:rsid w:val="00D660B1"/>
    <w:rsid w:val="00D70FD7"/>
    <w:rsid w:val="00D733C3"/>
    <w:rsid w:val="00D85699"/>
    <w:rsid w:val="00D901E7"/>
    <w:rsid w:val="00D934EF"/>
    <w:rsid w:val="00DD0F7F"/>
    <w:rsid w:val="00DD576C"/>
    <w:rsid w:val="00DD753A"/>
    <w:rsid w:val="00DE4009"/>
    <w:rsid w:val="00E06B53"/>
    <w:rsid w:val="00E231C9"/>
    <w:rsid w:val="00E25EEC"/>
    <w:rsid w:val="00E417B8"/>
    <w:rsid w:val="00E42890"/>
    <w:rsid w:val="00E50F30"/>
    <w:rsid w:val="00EA240C"/>
    <w:rsid w:val="00EC5737"/>
    <w:rsid w:val="00F77220"/>
    <w:rsid w:val="00FD45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00F8D"/>
  <w15:chartTrackingRefBased/>
  <w15:docId w15:val="{471AA171-CF4E-4E13-BB95-A1AE14A3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4D6"/>
    <w:pPr>
      <w:spacing w:after="200" w:line="276"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370E5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3">
    <w:name w:val="Balloon Text"/>
    <w:basedOn w:val="a"/>
    <w:link w:val="a4"/>
    <w:uiPriority w:val="99"/>
    <w:semiHidden/>
    <w:unhideWhenUsed/>
    <w:rsid w:val="00C227F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C227FF"/>
    <w:rPr>
      <w:rFonts w:ascii="Segoe UI" w:eastAsia="Calibri" w:hAnsi="Segoe UI" w:cs="Segoe UI"/>
      <w:sz w:val="18"/>
      <w:szCs w:val="18"/>
      <w:lang w:val="ru-RU"/>
    </w:rPr>
  </w:style>
  <w:style w:type="character" w:customStyle="1" w:styleId="fontstyle01">
    <w:name w:val="fontstyle01"/>
    <w:basedOn w:val="a0"/>
    <w:rsid w:val="00E50F30"/>
    <w:rPr>
      <w:rFonts w:ascii="TimesNewRomanPSMT" w:hAnsi="TimesNewRomanPSMT" w:hint="default"/>
      <w:b w:val="0"/>
      <w:bCs w:val="0"/>
      <w:i w:val="0"/>
      <w:iCs w:val="0"/>
      <w:color w:val="000000"/>
      <w:sz w:val="28"/>
      <w:szCs w:val="28"/>
    </w:rPr>
  </w:style>
  <w:style w:type="character" w:customStyle="1" w:styleId="hard-blue-color">
    <w:name w:val="hard-blue-color"/>
    <w:basedOn w:val="a0"/>
    <w:rsid w:val="00CA5AA1"/>
  </w:style>
  <w:style w:type="paragraph" w:customStyle="1" w:styleId="a5">
    <w:name w:val="Содержимое таблицы"/>
    <w:basedOn w:val="a"/>
    <w:qFormat/>
    <w:rsid w:val="00BA2BDE"/>
    <w:pPr>
      <w:suppressLineNumbers/>
      <w:suppressAutoHyphens/>
      <w:spacing w:after="0" w:line="240" w:lineRule="auto"/>
    </w:pPr>
    <w:rPr>
      <w:rFonts w:ascii="Liberation Serif;Times New Roma" w:eastAsia="Noto Sans CJK SC" w:hAnsi="Liberation Serif;Times New Roma" w:cs="Lohit Devanagari;Times New Roma"/>
      <w:kern w:val="2"/>
      <w:sz w:val="24"/>
      <w:szCs w:val="24"/>
      <w:lang w:val="uk-UA" w:eastAsia="zh-CN" w:bidi="hi-IN"/>
    </w:rPr>
  </w:style>
  <w:style w:type="paragraph" w:styleId="a6">
    <w:name w:val="List Paragraph"/>
    <w:basedOn w:val="a"/>
    <w:uiPriority w:val="34"/>
    <w:qFormat/>
    <w:rsid w:val="007E6620"/>
    <w:pPr>
      <w:ind w:left="720"/>
      <w:contextualSpacing/>
    </w:pPr>
  </w:style>
  <w:style w:type="character" w:styleId="a7">
    <w:name w:val="Hyperlink"/>
    <w:basedOn w:val="a0"/>
    <w:uiPriority w:val="99"/>
    <w:unhideWhenUsed/>
    <w:rsid w:val="00C025B2"/>
    <w:rPr>
      <w:color w:val="0563C1" w:themeColor="hyperlink"/>
      <w:u w:val="single"/>
    </w:rPr>
  </w:style>
  <w:style w:type="character" w:customStyle="1" w:styleId="UnresolvedMention">
    <w:name w:val="Unresolved Mention"/>
    <w:basedOn w:val="a0"/>
    <w:uiPriority w:val="99"/>
    <w:semiHidden/>
    <w:unhideWhenUsed/>
    <w:rsid w:val="00C025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10997">
      <w:bodyDiv w:val="1"/>
      <w:marLeft w:val="0"/>
      <w:marRight w:val="0"/>
      <w:marTop w:val="0"/>
      <w:marBottom w:val="0"/>
      <w:divBdr>
        <w:top w:val="none" w:sz="0" w:space="0" w:color="auto"/>
        <w:left w:val="none" w:sz="0" w:space="0" w:color="auto"/>
        <w:bottom w:val="none" w:sz="0" w:space="0" w:color="auto"/>
        <w:right w:val="none" w:sz="0" w:space="0" w:color="auto"/>
      </w:divBdr>
      <w:divsChild>
        <w:div w:id="1997148410">
          <w:marLeft w:val="0"/>
          <w:marRight w:val="0"/>
          <w:marTop w:val="0"/>
          <w:marBottom w:val="0"/>
          <w:divBdr>
            <w:top w:val="none" w:sz="0" w:space="0" w:color="auto"/>
            <w:left w:val="none" w:sz="0" w:space="0" w:color="auto"/>
            <w:bottom w:val="none" w:sz="0" w:space="0" w:color="auto"/>
            <w:right w:val="none" w:sz="0" w:space="0" w:color="auto"/>
          </w:divBdr>
        </w:div>
        <w:div w:id="1549995029">
          <w:marLeft w:val="0"/>
          <w:marRight w:val="0"/>
          <w:marTop w:val="0"/>
          <w:marBottom w:val="0"/>
          <w:divBdr>
            <w:top w:val="none" w:sz="0" w:space="0" w:color="auto"/>
            <w:left w:val="none" w:sz="0" w:space="0" w:color="auto"/>
            <w:bottom w:val="none" w:sz="0" w:space="0" w:color="auto"/>
            <w:right w:val="none" w:sz="0" w:space="0" w:color="auto"/>
          </w:divBdr>
        </w:div>
      </w:divsChild>
    </w:div>
    <w:div w:id="217132078">
      <w:bodyDiv w:val="1"/>
      <w:marLeft w:val="0"/>
      <w:marRight w:val="0"/>
      <w:marTop w:val="0"/>
      <w:marBottom w:val="0"/>
      <w:divBdr>
        <w:top w:val="none" w:sz="0" w:space="0" w:color="auto"/>
        <w:left w:val="none" w:sz="0" w:space="0" w:color="auto"/>
        <w:bottom w:val="none" w:sz="0" w:space="0" w:color="auto"/>
        <w:right w:val="none" w:sz="0" w:space="0" w:color="auto"/>
      </w:divBdr>
    </w:div>
    <w:div w:id="239220068">
      <w:bodyDiv w:val="1"/>
      <w:marLeft w:val="0"/>
      <w:marRight w:val="0"/>
      <w:marTop w:val="0"/>
      <w:marBottom w:val="0"/>
      <w:divBdr>
        <w:top w:val="none" w:sz="0" w:space="0" w:color="auto"/>
        <w:left w:val="none" w:sz="0" w:space="0" w:color="auto"/>
        <w:bottom w:val="none" w:sz="0" w:space="0" w:color="auto"/>
        <w:right w:val="none" w:sz="0" w:space="0" w:color="auto"/>
      </w:divBdr>
    </w:div>
    <w:div w:id="276371396">
      <w:bodyDiv w:val="1"/>
      <w:marLeft w:val="0"/>
      <w:marRight w:val="0"/>
      <w:marTop w:val="0"/>
      <w:marBottom w:val="0"/>
      <w:divBdr>
        <w:top w:val="none" w:sz="0" w:space="0" w:color="auto"/>
        <w:left w:val="none" w:sz="0" w:space="0" w:color="auto"/>
        <w:bottom w:val="none" w:sz="0" w:space="0" w:color="auto"/>
        <w:right w:val="none" w:sz="0" w:space="0" w:color="auto"/>
      </w:divBdr>
      <w:divsChild>
        <w:div w:id="1771312792">
          <w:marLeft w:val="0"/>
          <w:marRight w:val="0"/>
          <w:marTop w:val="0"/>
          <w:marBottom w:val="0"/>
          <w:divBdr>
            <w:top w:val="none" w:sz="0" w:space="0" w:color="auto"/>
            <w:left w:val="none" w:sz="0" w:space="0" w:color="auto"/>
            <w:bottom w:val="none" w:sz="0" w:space="0" w:color="auto"/>
            <w:right w:val="none" w:sz="0" w:space="0" w:color="auto"/>
          </w:divBdr>
        </w:div>
      </w:divsChild>
    </w:div>
    <w:div w:id="943732401">
      <w:bodyDiv w:val="1"/>
      <w:marLeft w:val="0"/>
      <w:marRight w:val="0"/>
      <w:marTop w:val="0"/>
      <w:marBottom w:val="0"/>
      <w:divBdr>
        <w:top w:val="none" w:sz="0" w:space="0" w:color="auto"/>
        <w:left w:val="none" w:sz="0" w:space="0" w:color="auto"/>
        <w:bottom w:val="none" w:sz="0" w:space="0" w:color="auto"/>
        <w:right w:val="none" w:sz="0" w:space="0" w:color="auto"/>
      </w:divBdr>
    </w:div>
    <w:div w:id="1538858899">
      <w:bodyDiv w:val="1"/>
      <w:marLeft w:val="0"/>
      <w:marRight w:val="0"/>
      <w:marTop w:val="0"/>
      <w:marBottom w:val="0"/>
      <w:divBdr>
        <w:top w:val="none" w:sz="0" w:space="0" w:color="auto"/>
        <w:left w:val="none" w:sz="0" w:space="0" w:color="auto"/>
        <w:bottom w:val="none" w:sz="0" w:space="0" w:color="auto"/>
        <w:right w:val="none" w:sz="0" w:space="0" w:color="auto"/>
      </w:divBdr>
      <w:divsChild>
        <w:div w:id="893007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5785</Words>
  <Characters>3298</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Riabova.TV@ua.energy</dc:creator>
  <cp:keywords/>
  <dc:description/>
  <cp:lastModifiedBy>Юлія Печеновська</cp:lastModifiedBy>
  <cp:revision>3</cp:revision>
  <cp:lastPrinted>2025-11-11T09:06:00Z</cp:lastPrinted>
  <dcterms:created xsi:type="dcterms:W3CDTF">2025-11-25T10:35:00Z</dcterms:created>
  <dcterms:modified xsi:type="dcterms:W3CDTF">2025-11-25T10:44:00Z</dcterms:modified>
</cp:coreProperties>
</file>