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74B" w:rsidRPr="00BD5C4C" w:rsidRDefault="0049474B" w:rsidP="0049474B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Обґрунтування</w:t>
      </w:r>
    </w:p>
    <w:p w:rsidR="0049474B" w:rsidRPr="0049474B" w:rsidRDefault="0049474B" w:rsidP="0077410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акта, – постанови НКРЕКП «Про затвердження Змін до </w:t>
      </w:r>
      <w:r w:rsidR="001C627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Правил ринку</w:t>
      </w: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CA42DB" w:rsidRPr="00A6501A" w:rsidRDefault="00CA42DB" w:rsidP="00774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12A5" w:rsidRDefault="008A12A5" w:rsidP="00B16BF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1 Закону</w:t>
      </w:r>
      <w:r w:rsidRPr="008A1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BD5C4C">
        <w:rPr>
          <w:sz w:val="28"/>
          <w:szCs w:val="28"/>
        </w:rPr>
        <w:t>«Про ринок електричної енергії»</w:t>
      </w:r>
      <w:r>
        <w:rPr>
          <w:sz w:val="28"/>
          <w:szCs w:val="28"/>
        </w:rPr>
        <w:t xml:space="preserve"> (далі – Закон) під </w:t>
      </w:r>
      <w:r w:rsidRPr="008A12A5">
        <w:rPr>
          <w:sz w:val="28"/>
          <w:szCs w:val="28"/>
        </w:rPr>
        <w:t>агрегаці</w:t>
      </w:r>
      <w:r>
        <w:rPr>
          <w:sz w:val="28"/>
          <w:szCs w:val="28"/>
        </w:rPr>
        <w:t xml:space="preserve">єю розуміється </w:t>
      </w:r>
      <w:r w:rsidRPr="008A12A5">
        <w:rPr>
          <w:sz w:val="28"/>
          <w:szCs w:val="28"/>
        </w:rPr>
        <w:t>діяльність на ринку електричної енергії, що здійснює суб’єкт господарювання,</w:t>
      </w:r>
      <w:r>
        <w:rPr>
          <w:sz w:val="28"/>
          <w:szCs w:val="28"/>
        </w:rPr>
        <w:t xml:space="preserve"> яка</w:t>
      </w:r>
      <w:r w:rsidRPr="008A12A5">
        <w:rPr>
          <w:sz w:val="28"/>
          <w:szCs w:val="28"/>
        </w:rPr>
        <w:t xml:space="preserve"> пов’язана з об’єднанням електроустановок, призначених для виробництва та/або споживання, та/або зберігання електричної енергії з метою купівлі-продажу електричної енергії, надання допоміжних послуг та/або послуг з балансування на ринку електричної енергії</w:t>
      </w:r>
      <w:r>
        <w:rPr>
          <w:sz w:val="28"/>
          <w:szCs w:val="28"/>
        </w:rPr>
        <w:t>.</w:t>
      </w:r>
    </w:p>
    <w:p w:rsidR="00B16BF9" w:rsidRPr="00B16BF9" w:rsidRDefault="00B16BF9" w:rsidP="00B16BF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Частинами другою, четвертою та дев’ятою статті 30</w:t>
      </w:r>
      <w:r w:rsidRPr="00B16BF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Закону визначено, що в</w:t>
      </w:r>
      <w:r w:rsidRPr="00B16BF9">
        <w:rPr>
          <w:sz w:val="28"/>
          <w:szCs w:val="28"/>
        </w:rPr>
        <w:t>ідносини між агрегатором та іншими учасниками агрегованої групи регулюються договором про участь в агрегованій групі. Істотні умови договору про участь в агрегованій групі визначаються правилами ринку.</w:t>
      </w:r>
    </w:p>
    <w:p w:rsidR="00B16BF9" w:rsidRPr="00B16BF9" w:rsidRDefault="00B16BF9" w:rsidP="00B16BF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n3052"/>
      <w:bookmarkStart w:id="1" w:name="n3053"/>
      <w:bookmarkEnd w:id="0"/>
      <w:bookmarkEnd w:id="1"/>
      <w:r w:rsidRPr="00B16BF9">
        <w:rPr>
          <w:sz w:val="28"/>
          <w:szCs w:val="28"/>
        </w:rPr>
        <w:t>Агрегатор є стороною, відповідальною за баланс усіх електроустановок, що входять до складу його одиниці агрегації, за виключенням електроустановок, призначених для споживання споживачів, які купують електроенергію в іншого учасника ринку, що здійснює діяльність з постачання електроенергії споживачу.</w:t>
      </w:r>
    </w:p>
    <w:p w:rsidR="00B16BF9" w:rsidRPr="00B16BF9" w:rsidRDefault="00B16BF9" w:rsidP="00B16BF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n3054"/>
      <w:bookmarkStart w:id="3" w:name="n3055"/>
      <w:bookmarkEnd w:id="2"/>
      <w:bookmarkEnd w:id="3"/>
      <w:r w:rsidRPr="00B16BF9">
        <w:rPr>
          <w:sz w:val="28"/>
          <w:szCs w:val="28"/>
        </w:rPr>
        <w:t>Агрегатор надає послуги з балансування та/або допоміжні послуги</w:t>
      </w:r>
      <w:r w:rsidR="00777DA0">
        <w:rPr>
          <w:sz w:val="28"/>
          <w:szCs w:val="28"/>
        </w:rPr>
        <w:t xml:space="preserve"> </w:t>
      </w:r>
      <w:r w:rsidR="00777DA0">
        <w:rPr>
          <w:sz w:val="28"/>
          <w:szCs w:val="28"/>
        </w:rPr>
        <w:t>(далі – ДП)</w:t>
      </w:r>
      <w:r w:rsidRPr="00B16BF9">
        <w:rPr>
          <w:sz w:val="28"/>
          <w:szCs w:val="28"/>
        </w:rPr>
        <w:t xml:space="preserve"> відповідно до положень Закону та правил ринку.</w:t>
      </w:r>
    </w:p>
    <w:p w:rsidR="00B16BF9" w:rsidRPr="00B16BF9" w:rsidRDefault="00B16BF9" w:rsidP="00B16BF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BF9">
        <w:rPr>
          <w:sz w:val="28"/>
          <w:szCs w:val="28"/>
        </w:rPr>
        <w:t>Одиниця агрегації функціонує на ринку електричної енергії як єдина електроустановка з інтегрованими технічними параметрами.</w:t>
      </w:r>
    </w:p>
    <w:p w:rsidR="00B16BF9" w:rsidRPr="00B16BF9" w:rsidRDefault="00B16BF9" w:rsidP="00B16BF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n3081"/>
      <w:bookmarkEnd w:id="4"/>
      <w:r w:rsidRPr="00B16BF9">
        <w:rPr>
          <w:sz w:val="28"/>
          <w:szCs w:val="28"/>
        </w:rPr>
        <w:t>Агрегатор управляє та несе відповідальність перед оператором системи передачі за виконання графіка та команд оператора системи передачі щодо його одиниці агрегації.</w:t>
      </w:r>
    </w:p>
    <w:p w:rsidR="00B16BF9" w:rsidRDefault="009D0F69" w:rsidP="001657D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Разом з цим, </w:t>
      </w:r>
      <w:r w:rsidR="00CE1AE9">
        <w:rPr>
          <w:sz w:val="28"/>
          <w:szCs w:val="28"/>
        </w:rPr>
        <w:t>ТОВ</w:t>
      </w:r>
      <w:r w:rsidR="00CE1AE9">
        <w:rPr>
          <w:lang w:val="en-US"/>
        </w:rPr>
        <w:t> </w:t>
      </w:r>
      <w:r w:rsidR="00CE1AE9">
        <w:rPr>
          <w:sz w:val="28"/>
          <w:szCs w:val="28"/>
        </w:rPr>
        <w:t xml:space="preserve">«ГС-ТРЕЙДИНГ» </w:t>
      </w:r>
      <w:r w:rsidR="00B16BF9" w:rsidRPr="00B72C59">
        <w:rPr>
          <w:sz w:val="28"/>
          <w:szCs w:val="28"/>
        </w:rPr>
        <w:t>лист</w:t>
      </w:r>
      <w:r w:rsidR="00D703FF">
        <w:rPr>
          <w:sz w:val="28"/>
          <w:szCs w:val="28"/>
        </w:rPr>
        <w:t>ами</w:t>
      </w:r>
      <w:r w:rsidR="00B16BF9" w:rsidRPr="00B72C59">
        <w:rPr>
          <w:sz w:val="28"/>
          <w:szCs w:val="28"/>
        </w:rPr>
        <w:t xml:space="preserve"> від </w:t>
      </w:r>
      <w:r w:rsidR="00B16BF9">
        <w:rPr>
          <w:sz w:val="28"/>
          <w:szCs w:val="28"/>
        </w:rPr>
        <w:t>19</w:t>
      </w:r>
      <w:r w:rsidR="00B16BF9" w:rsidRPr="00B72C59">
        <w:rPr>
          <w:sz w:val="28"/>
          <w:szCs w:val="28"/>
        </w:rPr>
        <w:t>.0</w:t>
      </w:r>
      <w:r w:rsidR="00B16BF9">
        <w:rPr>
          <w:sz w:val="28"/>
          <w:szCs w:val="28"/>
        </w:rPr>
        <w:t>3</w:t>
      </w:r>
      <w:r w:rsidR="00B16BF9" w:rsidRPr="00B72C59">
        <w:rPr>
          <w:sz w:val="28"/>
          <w:szCs w:val="28"/>
        </w:rPr>
        <w:t xml:space="preserve">.2025 </w:t>
      </w:r>
      <w:r w:rsidR="00CE1AE9">
        <w:rPr>
          <w:sz w:val="28"/>
          <w:szCs w:val="28"/>
        </w:rPr>
        <w:t xml:space="preserve">                          </w:t>
      </w:r>
      <w:r w:rsidR="00B16BF9" w:rsidRPr="00B72C59">
        <w:rPr>
          <w:sz w:val="28"/>
          <w:szCs w:val="28"/>
        </w:rPr>
        <w:t>№</w:t>
      </w:r>
      <w:r w:rsidR="00B16BF9">
        <w:rPr>
          <w:sz w:val="28"/>
          <w:szCs w:val="28"/>
        </w:rPr>
        <w:t> </w:t>
      </w:r>
      <w:r w:rsidR="00B16BF9" w:rsidRPr="00B72C59">
        <w:rPr>
          <w:sz w:val="28"/>
          <w:szCs w:val="28"/>
        </w:rPr>
        <w:t>01</w:t>
      </w:r>
      <w:r w:rsidR="00B16BF9">
        <w:rPr>
          <w:sz w:val="28"/>
          <w:szCs w:val="28"/>
        </w:rPr>
        <w:t>-19/03/25</w:t>
      </w:r>
      <w:r w:rsidR="00B16BF9" w:rsidRPr="00B72C59">
        <w:rPr>
          <w:sz w:val="28"/>
          <w:szCs w:val="28"/>
        </w:rPr>
        <w:t xml:space="preserve"> </w:t>
      </w:r>
      <w:r w:rsidR="00D703FF">
        <w:rPr>
          <w:sz w:val="28"/>
          <w:szCs w:val="28"/>
        </w:rPr>
        <w:t xml:space="preserve">та </w:t>
      </w:r>
      <w:r w:rsidR="00775B05">
        <w:rPr>
          <w:sz w:val="28"/>
          <w:szCs w:val="28"/>
        </w:rPr>
        <w:t xml:space="preserve">від 29.10.2025 № 1/10 </w:t>
      </w:r>
      <w:r w:rsidR="00CE1AE9">
        <w:rPr>
          <w:sz w:val="28"/>
          <w:szCs w:val="28"/>
        </w:rPr>
        <w:t xml:space="preserve">надано пропозиції </w:t>
      </w:r>
      <w:r w:rsidR="00B16BF9">
        <w:rPr>
          <w:sz w:val="28"/>
          <w:szCs w:val="28"/>
        </w:rPr>
        <w:t>щодо</w:t>
      </w:r>
      <w:r w:rsidR="00CE1AE9">
        <w:rPr>
          <w:sz w:val="28"/>
          <w:szCs w:val="28"/>
        </w:rPr>
        <w:t xml:space="preserve"> внесення змін до</w:t>
      </w:r>
      <w:r w:rsidR="00B16BF9">
        <w:rPr>
          <w:sz w:val="28"/>
          <w:szCs w:val="28"/>
        </w:rPr>
        <w:t xml:space="preserve"> </w:t>
      </w:r>
      <w:r w:rsidR="00CE1AE9">
        <w:rPr>
          <w:sz w:val="28"/>
          <w:szCs w:val="28"/>
        </w:rPr>
        <w:t xml:space="preserve">Правил ринку, </w:t>
      </w:r>
      <w:r w:rsidR="00CE1AE9" w:rsidRPr="003B68A3">
        <w:rPr>
          <w:sz w:val="28"/>
          <w:szCs w:val="28"/>
        </w:rPr>
        <w:t xml:space="preserve">затверджених </w:t>
      </w:r>
      <w:r w:rsidR="00CE1AE9">
        <w:rPr>
          <w:sz w:val="28"/>
          <w:szCs w:val="28"/>
        </w:rPr>
        <w:t xml:space="preserve">Постановою НКРЕКП від 14.03.2018 № 307 (далі – Правила ринку), що передбачають удосконалення положень стосовно </w:t>
      </w:r>
      <w:r w:rsidR="00B16BF9">
        <w:rPr>
          <w:sz w:val="28"/>
          <w:szCs w:val="28"/>
        </w:rPr>
        <w:t xml:space="preserve">діяльності </w:t>
      </w:r>
      <w:proofErr w:type="spellStart"/>
      <w:r w:rsidR="00B16BF9">
        <w:rPr>
          <w:sz w:val="28"/>
          <w:szCs w:val="28"/>
        </w:rPr>
        <w:t>агрегатора</w:t>
      </w:r>
      <w:proofErr w:type="spellEnd"/>
      <w:r w:rsidR="00B16BF9">
        <w:rPr>
          <w:sz w:val="28"/>
          <w:szCs w:val="28"/>
        </w:rPr>
        <w:t>.</w:t>
      </w:r>
    </w:p>
    <w:p w:rsidR="008A12A5" w:rsidRPr="008A12A5" w:rsidRDefault="00CE1AE9" w:rsidP="008A12A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Крім того, ураховуючи положення правил ринку, що набирають чинності з 01.12.2025 та передбачають можливість передачі прав надання ДП іншим </w:t>
      </w:r>
      <w:r w:rsidR="009A4515">
        <w:rPr>
          <w:sz w:val="28"/>
          <w:szCs w:val="28"/>
        </w:rPr>
        <w:t xml:space="preserve">постачальникам допоміжних послуг (далі – </w:t>
      </w:r>
      <w:r w:rsidR="009A4515" w:rsidRPr="005B5147">
        <w:rPr>
          <w:sz w:val="28"/>
          <w:szCs w:val="28"/>
        </w:rPr>
        <w:t>ПДП</w:t>
      </w:r>
      <w:r w:rsidR="009A4515">
        <w:rPr>
          <w:sz w:val="28"/>
          <w:szCs w:val="28"/>
        </w:rPr>
        <w:t>)</w:t>
      </w:r>
      <w:bookmarkStart w:id="5" w:name="_GoBack"/>
      <w:bookmarkEnd w:id="5"/>
      <w:r>
        <w:rPr>
          <w:sz w:val="28"/>
          <w:szCs w:val="28"/>
        </w:rPr>
        <w:t xml:space="preserve">, результати спеціальних аукціонів на ДП, а також з урахуванням питань, озвучених учасниками ринку на робочих зустрічах, визнано за доцільне удосконалити  положення Правил ринку в частині функціонування ринку допоміжних послуг, а також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низку редакційних змін та уточнень до Правил ринку. </w:t>
      </w:r>
    </w:p>
    <w:p w:rsidR="00B16BF9" w:rsidRPr="0049474B" w:rsidRDefault="00C973F8" w:rsidP="0049474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</w:t>
      </w:r>
      <w:r w:rsidR="0049474B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викладен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</w:t>
      </w:r>
      <w:r w:rsidR="0049474B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Департаментом енергоринку</w:t>
      </w:r>
      <w:r w:rsidR="008A12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були опрацьовані надані пропозиції змін та</w:t>
      </w:r>
      <w:r w:rsidR="0049474B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розроблено проєкт постанови НКРЕКП «Про затвердження Змін до </w:t>
      </w:r>
      <w:r w:rsidR="001C62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Правил ринку</w:t>
      </w:r>
      <w:r w:rsidR="0049474B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», яким </w:t>
      </w:r>
      <w:r w:rsidR="00B52C5B" w:rsidRPr="00B52C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передбачено внесення змін</w:t>
      </w:r>
      <w:r w:rsidR="001C62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16BF9" w:rsidRPr="00B52C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B16B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Правил ринку</w:t>
      </w:r>
      <w:r w:rsidR="008A12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B16B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частині </w:t>
      </w:r>
      <w:r w:rsidR="00B16BF9" w:rsidRPr="00B16B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особливостей</w:t>
      </w:r>
      <w:r w:rsidR="008A12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здійснення агрегації,</w:t>
      </w:r>
      <w:r w:rsidR="00B16BF9" w:rsidRPr="00B16B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надання </w:t>
      </w:r>
      <w:r w:rsidR="008A12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ДП,</w:t>
      </w:r>
      <w:r w:rsidR="001C62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16BF9" w:rsidRPr="00B16B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послуг з балансування учасниками ринку, генеруючі одиниці яких входять до складу одиниць агрегації</w:t>
      </w:r>
      <w:r w:rsidR="003F69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уточнення прав та зобов’язань </w:t>
      </w:r>
      <w:r w:rsidR="008A12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виробників, що </w:t>
      </w:r>
      <w:r w:rsidR="008A12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здійснюються виробництво електричної енергії з альтернативних джерел,</w:t>
      </w:r>
      <w:r w:rsidR="003F69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36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щодо подання пропозицій </w:t>
      </w:r>
      <w:r w:rsidR="00C36FC2" w:rsidRPr="00C36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балансуючу електричну енергію</w:t>
      </w:r>
      <w:r w:rsidR="00C36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розвантаження та завантаження </w:t>
      </w:r>
      <w:r w:rsidR="003F69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балансуючому ринку, та </w:t>
      </w:r>
      <w:r w:rsidR="001D68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внесення </w:t>
      </w:r>
      <w:r w:rsidR="003F69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інших редакційних змін</w:t>
      </w:r>
      <w:r w:rsidR="00B16B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49474B" w:rsidRPr="0049474B" w:rsidRDefault="0049474B" w:rsidP="0049474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Ураховуючи зазначене, Департамент енергоринку пропонує: </w:t>
      </w:r>
    </w:p>
    <w:p w:rsidR="0049474B" w:rsidRPr="0049474B" w:rsidRDefault="0049474B" w:rsidP="0049474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Схвалити проєкт постанови НКРЕКП «</w:t>
      </w:r>
      <w:r w:rsidR="00A57F8A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Змін до </w:t>
      </w:r>
      <w:r w:rsidR="001C62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Правил ринку</w:t>
      </w: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 що має ознаки регуляторного акта.</w:t>
      </w:r>
    </w:p>
    <w:p w:rsidR="0049474B" w:rsidRPr="0049474B" w:rsidRDefault="0049474B" w:rsidP="0049474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Оприлюднити проєкт постанови НКРЕКП «</w:t>
      </w:r>
      <w:r w:rsidR="00A57F8A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Змін до </w:t>
      </w:r>
      <w:r w:rsidR="001C62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Правил ринку</w:t>
      </w: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</w:t>
      </w:r>
      <w:proofErr w:type="spellStart"/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НКРЕКП (http://nerc.gov.ua) з метою одержання зауважень і пропозицій.</w:t>
      </w:r>
    </w:p>
    <w:p w:rsidR="006B0B97" w:rsidRDefault="006B0B97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55C1" w:rsidRDefault="008655C1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201D" w:rsidRPr="00A6501A" w:rsidRDefault="00D153DB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E3DA3" w:rsidRPr="00A6501A">
        <w:rPr>
          <w:rFonts w:ascii="Times New Roman" w:hAnsi="Times New Roman" w:cs="Times New Roman"/>
          <w:b/>
          <w:sz w:val="28"/>
          <w:szCs w:val="28"/>
          <w:lang w:val="uk-UA"/>
        </w:rPr>
        <w:t>иректор</w:t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E3DA3" w:rsidRPr="00A6501A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55E" w:rsidRPr="00A6501A">
        <w:rPr>
          <w:rFonts w:ascii="Times New Roman" w:hAnsi="Times New Roman" w:cs="Times New Roman"/>
          <w:b/>
          <w:sz w:val="28"/>
          <w:szCs w:val="28"/>
          <w:lang w:val="uk-UA"/>
        </w:rPr>
        <w:t>енергоринку</w:t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1F201D"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E549C1" w:rsidRPr="00A6501A">
        <w:rPr>
          <w:rFonts w:ascii="Times New Roman" w:hAnsi="Times New Roman" w:cs="Times New Roman"/>
          <w:b/>
          <w:sz w:val="28"/>
          <w:szCs w:val="28"/>
          <w:lang w:val="uk-UA"/>
        </w:rPr>
        <w:t>Ілля СІДОРОВ</w:t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1E3DA3" w:rsidRPr="00A6501A" w:rsidSect="00C74FA6">
      <w:headerReference w:type="default" r:id="rId7"/>
      <w:pgSz w:w="11906" w:h="16838"/>
      <w:pgMar w:top="70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69C" w:rsidRDefault="00FC569C" w:rsidP="002433DF">
      <w:pPr>
        <w:spacing w:after="0" w:line="240" w:lineRule="auto"/>
      </w:pPr>
      <w:r>
        <w:separator/>
      </w:r>
    </w:p>
  </w:endnote>
  <w:endnote w:type="continuationSeparator" w:id="0">
    <w:p w:rsidR="00FC569C" w:rsidRDefault="00FC569C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69C" w:rsidRDefault="00FC569C" w:rsidP="002433DF">
      <w:pPr>
        <w:spacing w:after="0" w:line="240" w:lineRule="auto"/>
      </w:pPr>
      <w:r>
        <w:separator/>
      </w:r>
    </w:p>
  </w:footnote>
  <w:footnote w:type="continuationSeparator" w:id="0">
    <w:p w:rsidR="00FC569C" w:rsidRDefault="00FC569C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077230"/>
      <w:docPartObj>
        <w:docPartGallery w:val="Page Numbers (Top of Page)"/>
        <w:docPartUnique/>
      </w:docPartObj>
    </w:sdtPr>
    <w:sdtEndPr/>
    <w:sdtContent>
      <w:p w:rsidR="002433DF" w:rsidRDefault="002433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91B" w:rsidRPr="0031191B">
          <w:rPr>
            <w:noProof/>
            <w:lang w:val="uk-UA"/>
          </w:rPr>
          <w:t>2</w:t>
        </w:r>
        <w:r>
          <w:fldChar w:fldCharType="end"/>
        </w:r>
      </w:p>
    </w:sdtContent>
  </w:sdt>
  <w:p w:rsidR="002433DF" w:rsidRDefault="002433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093"/>
    <w:rsid w:val="0004572A"/>
    <w:rsid w:val="000825A9"/>
    <w:rsid w:val="0008648B"/>
    <w:rsid w:val="000A5593"/>
    <w:rsid w:val="000B348B"/>
    <w:rsid w:val="000B73AC"/>
    <w:rsid w:val="000D3F0D"/>
    <w:rsid w:val="000D519E"/>
    <w:rsid w:val="000E4B5D"/>
    <w:rsid w:val="000F4E55"/>
    <w:rsid w:val="000F63F7"/>
    <w:rsid w:val="001145F3"/>
    <w:rsid w:val="00121B33"/>
    <w:rsid w:val="001420EB"/>
    <w:rsid w:val="0014613A"/>
    <w:rsid w:val="00152141"/>
    <w:rsid w:val="001657D5"/>
    <w:rsid w:val="00173B82"/>
    <w:rsid w:val="001C6279"/>
    <w:rsid w:val="001D6800"/>
    <w:rsid w:val="001D7507"/>
    <w:rsid w:val="001E3DA3"/>
    <w:rsid w:val="001F098A"/>
    <w:rsid w:val="001F201D"/>
    <w:rsid w:val="00201619"/>
    <w:rsid w:val="00201D42"/>
    <w:rsid w:val="00210115"/>
    <w:rsid w:val="00211057"/>
    <w:rsid w:val="002278FA"/>
    <w:rsid w:val="00234E7E"/>
    <w:rsid w:val="002433DF"/>
    <w:rsid w:val="002446AD"/>
    <w:rsid w:val="00295DD1"/>
    <w:rsid w:val="00297850"/>
    <w:rsid w:val="002A1A2B"/>
    <w:rsid w:val="002C063E"/>
    <w:rsid w:val="002C1C3E"/>
    <w:rsid w:val="002C29E7"/>
    <w:rsid w:val="002F25B1"/>
    <w:rsid w:val="00303A2F"/>
    <w:rsid w:val="0031191B"/>
    <w:rsid w:val="00345E88"/>
    <w:rsid w:val="003843B6"/>
    <w:rsid w:val="003A5E10"/>
    <w:rsid w:val="003B68A3"/>
    <w:rsid w:val="003E0798"/>
    <w:rsid w:val="003F3EDF"/>
    <w:rsid w:val="003F4995"/>
    <w:rsid w:val="003F69DF"/>
    <w:rsid w:val="003F6AA7"/>
    <w:rsid w:val="004477F0"/>
    <w:rsid w:val="00447CD3"/>
    <w:rsid w:val="00485BF6"/>
    <w:rsid w:val="0049474B"/>
    <w:rsid w:val="004949DB"/>
    <w:rsid w:val="004C3D6C"/>
    <w:rsid w:val="004D2098"/>
    <w:rsid w:val="004E4720"/>
    <w:rsid w:val="004E5F96"/>
    <w:rsid w:val="005056DB"/>
    <w:rsid w:val="00507ED4"/>
    <w:rsid w:val="00510572"/>
    <w:rsid w:val="00533F1A"/>
    <w:rsid w:val="00564D6B"/>
    <w:rsid w:val="005777EA"/>
    <w:rsid w:val="0058360C"/>
    <w:rsid w:val="00585186"/>
    <w:rsid w:val="00592255"/>
    <w:rsid w:val="005B50E1"/>
    <w:rsid w:val="005B5A63"/>
    <w:rsid w:val="005E6702"/>
    <w:rsid w:val="00603A23"/>
    <w:rsid w:val="00615705"/>
    <w:rsid w:val="00624FBB"/>
    <w:rsid w:val="006652B8"/>
    <w:rsid w:val="0069025D"/>
    <w:rsid w:val="006A6C4B"/>
    <w:rsid w:val="006B0B97"/>
    <w:rsid w:val="006B4833"/>
    <w:rsid w:val="006C5B83"/>
    <w:rsid w:val="006E4A43"/>
    <w:rsid w:val="006F482C"/>
    <w:rsid w:val="00701E4F"/>
    <w:rsid w:val="007059AA"/>
    <w:rsid w:val="00723778"/>
    <w:rsid w:val="007248DB"/>
    <w:rsid w:val="00732FDC"/>
    <w:rsid w:val="00745D76"/>
    <w:rsid w:val="00755FF2"/>
    <w:rsid w:val="007572D2"/>
    <w:rsid w:val="00766EC1"/>
    <w:rsid w:val="0077410C"/>
    <w:rsid w:val="00775B05"/>
    <w:rsid w:val="00777DA0"/>
    <w:rsid w:val="007A30B6"/>
    <w:rsid w:val="007B5943"/>
    <w:rsid w:val="007C3678"/>
    <w:rsid w:val="007E4019"/>
    <w:rsid w:val="007E7EB6"/>
    <w:rsid w:val="007F5D4B"/>
    <w:rsid w:val="0080055E"/>
    <w:rsid w:val="00826048"/>
    <w:rsid w:val="00844601"/>
    <w:rsid w:val="008447E4"/>
    <w:rsid w:val="0085237E"/>
    <w:rsid w:val="008655C1"/>
    <w:rsid w:val="00873202"/>
    <w:rsid w:val="00880540"/>
    <w:rsid w:val="00885996"/>
    <w:rsid w:val="008A12A5"/>
    <w:rsid w:val="008A2FCC"/>
    <w:rsid w:val="008E711B"/>
    <w:rsid w:val="008F44ED"/>
    <w:rsid w:val="00903013"/>
    <w:rsid w:val="00933B11"/>
    <w:rsid w:val="0096475D"/>
    <w:rsid w:val="009A4515"/>
    <w:rsid w:val="009B7C4C"/>
    <w:rsid w:val="009C073C"/>
    <w:rsid w:val="009D0BFC"/>
    <w:rsid w:val="009D0F69"/>
    <w:rsid w:val="009F5D8B"/>
    <w:rsid w:val="00A03F7C"/>
    <w:rsid w:val="00A05417"/>
    <w:rsid w:val="00A57F8A"/>
    <w:rsid w:val="00A60DB8"/>
    <w:rsid w:val="00A6501A"/>
    <w:rsid w:val="00A6624A"/>
    <w:rsid w:val="00A94732"/>
    <w:rsid w:val="00AA6AD9"/>
    <w:rsid w:val="00AC0052"/>
    <w:rsid w:val="00AD2093"/>
    <w:rsid w:val="00AE1BE4"/>
    <w:rsid w:val="00B01A4E"/>
    <w:rsid w:val="00B13EA1"/>
    <w:rsid w:val="00B16BF9"/>
    <w:rsid w:val="00B23991"/>
    <w:rsid w:val="00B4142D"/>
    <w:rsid w:val="00B449B7"/>
    <w:rsid w:val="00B50454"/>
    <w:rsid w:val="00B52C5B"/>
    <w:rsid w:val="00B549DF"/>
    <w:rsid w:val="00B7008A"/>
    <w:rsid w:val="00B71D70"/>
    <w:rsid w:val="00B75546"/>
    <w:rsid w:val="00B76EAB"/>
    <w:rsid w:val="00B97982"/>
    <w:rsid w:val="00BC1843"/>
    <w:rsid w:val="00BC4361"/>
    <w:rsid w:val="00BD590F"/>
    <w:rsid w:val="00BD7E0E"/>
    <w:rsid w:val="00BF74B1"/>
    <w:rsid w:val="00C142B6"/>
    <w:rsid w:val="00C36FC2"/>
    <w:rsid w:val="00C64363"/>
    <w:rsid w:val="00C74FA6"/>
    <w:rsid w:val="00C81211"/>
    <w:rsid w:val="00C82A05"/>
    <w:rsid w:val="00C973F8"/>
    <w:rsid w:val="00CA42DB"/>
    <w:rsid w:val="00CD0231"/>
    <w:rsid w:val="00CD0DC0"/>
    <w:rsid w:val="00CE1AE9"/>
    <w:rsid w:val="00CF550C"/>
    <w:rsid w:val="00D04EA2"/>
    <w:rsid w:val="00D05D0F"/>
    <w:rsid w:val="00D153DB"/>
    <w:rsid w:val="00D30A0E"/>
    <w:rsid w:val="00D55312"/>
    <w:rsid w:val="00D649C4"/>
    <w:rsid w:val="00D703FF"/>
    <w:rsid w:val="00D7301D"/>
    <w:rsid w:val="00DA64C9"/>
    <w:rsid w:val="00DE6F2D"/>
    <w:rsid w:val="00DF2168"/>
    <w:rsid w:val="00E01928"/>
    <w:rsid w:val="00E01CE3"/>
    <w:rsid w:val="00E31F86"/>
    <w:rsid w:val="00E45F3E"/>
    <w:rsid w:val="00E466D8"/>
    <w:rsid w:val="00E53CDC"/>
    <w:rsid w:val="00E549C1"/>
    <w:rsid w:val="00E85EB4"/>
    <w:rsid w:val="00E87EED"/>
    <w:rsid w:val="00EB1DFC"/>
    <w:rsid w:val="00EF5EEC"/>
    <w:rsid w:val="00F062AE"/>
    <w:rsid w:val="00F12606"/>
    <w:rsid w:val="00F215C2"/>
    <w:rsid w:val="00F61278"/>
    <w:rsid w:val="00F615AB"/>
    <w:rsid w:val="00F819F8"/>
    <w:rsid w:val="00F94114"/>
    <w:rsid w:val="00F95603"/>
    <w:rsid w:val="00F96F3E"/>
    <w:rsid w:val="00F96F72"/>
    <w:rsid w:val="00FA3869"/>
    <w:rsid w:val="00FC569C"/>
    <w:rsid w:val="00FE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95225"/>
  <w15:docId w15:val="{C266572A-06A9-47C7-8F29-199D7212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6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33DF"/>
  </w:style>
  <w:style w:type="paragraph" w:styleId="a7">
    <w:name w:val="Body Text Indent"/>
    <w:basedOn w:val="a"/>
    <w:link w:val="a8"/>
    <w:uiPriority w:val="99"/>
    <w:rsid w:val="00B2399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B23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7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07ED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EB1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Hyperlink"/>
    <w:basedOn w:val="a0"/>
    <w:uiPriority w:val="99"/>
    <w:unhideWhenUsed/>
    <w:rsid w:val="007248DB"/>
    <w:rPr>
      <w:color w:val="0000FF" w:themeColor="hyperlink"/>
      <w:u w:val="single"/>
    </w:rPr>
  </w:style>
  <w:style w:type="paragraph" w:customStyle="1" w:styleId="rvps2">
    <w:name w:val="rvps2"/>
    <w:basedOn w:val="a"/>
    <w:rsid w:val="0057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CC367-E041-437D-A0BC-1B6E7BDB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Оксана Литвин</cp:lastModifiedBy>
  <cp:revision>38</cp:revision>
  <cp:lastPrinted>2022-02-23T07:20:00Z</cp:lastPrinted>
  <dcterms:created xsi:type="dcterms:W3CDTF">2025-02-10T14:31:00Z</dcterms:created>
  <dcterms:modified xsi:type="dcterms:W3CDTF">2025-11-20T08:45:00Z</dcterms:modified>
</cp:coreProperties>
</file>