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9EE" w:rsidRPr="009E1E81" w:rsidRDefault="005B59EE" w:rsidP="009E1E81">
      <w:pPr>
        <w:jc w:val="center"/>
        <w:rPr>
          <w:rFonts w:ascii="Times New Roman" w:hAnsi="Times New Roman"/>
          <w:b/>
          <w:sz w:val="28"/>
          <w:szCs w:val="28"/>
          <w:lang w:val="uk-UA"/>
        </w:rPr>
      </w:pPr>
      <w:proofErr w:type="spellStart"/>
      <w:r w:rsidRPr="009E1E81">
        <w:rPr>
          <w:rFonts w:ascii="Times New Roman" w:hAnsi="Times New Roman"/>
          <w:b/>
          <w:sz w:val="28"/>
          <w:szCs w:val="28"/>
        </w:rPr>
        <w:t>Порівняльна</w:t>
      </w:r>
      <w:proofErr w:type="spellEnd"/>
      <w:r w:rsidRPr="009E1E81">
        <w:rPr>
          <w:rFonts w:ascii="Times New Roman" w:hAnsi="Times New Roman"/>
          <w:b/>
          <w:sz w:val="28"/>
          <w:szCs w:val="28"/>
        </w:rPr>
        <w:t xml:space="preserve"> </w:t>
      </w:r>
      <w:proofErr w:type="spellStart"/>
      <w:r w:rsidRPr="009E1E81">
        <w:rPr>
          <w:rFonts w:ascii="Times New Roman" w:hAnsi="Times New Roman"/>
          <w:b/>
          <w:sz w:val="28"/>
          <w:szCs w:val="28"/>
        </w:rPr>
        <w:t>таблиця</w:t>
      </w:r>
      <w:proofErr w:type="spellEnd"/>
      <w:r w:rsidRPr="009E1E81">
        <w:rPr>
          <w:rFonts w:ascii="Times New Roman" w:hAnsi="Times New Roman"/>
          <w:b/>
          <w:sz w:val="28"/>
          <w:szCs w:val="28"/>
        </w:rPr>
        <w:t xml:space="preserve"> до проєкту постанови НКРЕКП «Про </w:t>
      </w:r>
      <w:r w:rsidR="00A9773F">
        <w:rPr>
          <w:rFonts w:ascii="Times New Roman" w:hAnsi="Times New Roman"/>
          <w:b/>
          <w:sz w:val="28"/>
          <w:szCs w:val="28"/>
          <w:lang w:val="uk-UA"/>
        </w:rPr>
        <w:t>внесення</w:t>
      </w:r>
      <w:r w:rsidRPr="009E1E81">
        <w:rPr>
          <w:rFonts w:ascii="Times New Roman" w:hAnsi="Times New Roman"/>
          <w:b/>
          <w:sz w:val="28"/>
          <w:szCs w:val="28"/>
        </w:rPr>
        <w:t xml:space="preserve"> </w:t>
      </w:r>
      <w:proofErr w:type="spellStart"/>
      <w:r w:rsidRPr="009E1E81">
        <w:rPr>
          <w:rFonts w:ascii="Times New Roman" w:hAnsi="Times New Roman"/>
          <w:b/>
          <w:sz w:val="28"/>
          <w:szCs w:val="28"/>
        </w:rPr>
        <w:t>змін</w:t>
      </w:r>
      <w:proofErr w:type="spellEnd"/>
      <w:r w:rsidRPr="009E1E81">
        <w:rPr>
          <w:rFonts w:ascii="Times New Roman" w:hAnsi="Times New Roman"/>
          <w:b/>
          <w:sz w:val="28"/>
          <w:szCs w:val="28"/>
        </w:rPr>
        <w:t xml:space="preserve"> до </w:t>
      </w:r>
      <w:r w:rsidR="009E1E81" w:rsidRPr="009E1E81">
        <w:rPr>
          <w:rFonts w:ascii="Times New Roman" w:hAnsi="Times New Roman"/>
          <w:b/>
          <w:sz w:val="28"/>
          <w:szCs w:val="28"/>
          <w:lang w:val="uk-UA"/>
        </w:rPr>
        <w:t>деяких постанов НКРЕКП»</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7654"/>
      </w:tblGrid>
      <w:tr w:rsidR="00FF6DC1" w:rsidRPr="004143BA" w:rsidTr="009009D2">
        <w:tc>
          <w:tcPr>
            <w:tcW w:w="7655" w:type="dxa"/>
          </w:tcPr>
          <w:p w:rsidR="00FF6DC1" w:rsidRPr="00357768" w:rsidRDefault="00FF6DC1" w:rsidP="009E1E81">
            <w:pPr>
              <w:spacing w:after="0" w:line="240" w:lineRule="auto"/>
              <w:jc w:val="center"/>
              <w:rPr>
                <w:rFonts w:ascii="Times New Roman" w:hAnsi="Times New Roman"/>
                <w:b/>
                <w:sz w:val="26"/>
                <w:szCs w:val="26"/>
                <w:lang w:val="uk-UA"/>
              </w:rPr>
            </w:pPr>
            <w:r w:rsidRPr="00357768">
              <w:rPr>
                <w:rFonts w:ascii="Times New Roman" w:hAnsi="Times New Roman"/>
                <w:b/>
                <w:sz w:val="26"/>
                <w:szCs w:val="26"/>
                <w:lang w:val="uk-UA"/>
              </w:rPr>
              <w:t>Д</w:t>
            </w:r>
            <w:r w:rsidR="00D659C4" w:rsidRPr="00357768">
              <w:rPr>
                <w:rFonts w:ascii="Times New Roman" w:hAnsi="Times New Roman"/>
                <w:b/>
                <w:sz w:val="26"/>
                <w:szCs w:val="26"/>
                <w:lang w:val="uk-UA"/>
              </w:rPr>
              <w:t>іюча редакція</w:t>
            </w:r>
          </w:p>
        </w:tc>
        <w:tc>
          <w:tcPr>
            <w:tcW w:w="7654" w:type="dxa"/>
            <w:shd w:val="clear" w:color="auto" w:fill="auto"/>
          </w:tcPr>
          <w:p w:rsidR="00FF6DC1" w:rsidRPr="00357768" w:rsidRDefault="00FF6DC1" w:rsidP="009E1E81">
            <w:pPr>
              <w:spacing w:after="0" w:line="240" w:lineRule="auto"/>
              <w:jc w:val="center"/>
              <w:rPr>
                <w:rFonts w:ascii="Times New Roman" w:hAnsi="Times New Roman"/>
                <w:b/>
                <w:sz w:val="26"/>
                <w:szCs w:val="26"/>
                <w:lang w:val="uk-UA"/>
              </w:rPr>
            </w:pPr>
            <w:r w:rsidRPr="00357768">
              <w:rPr>
                <w:rFonts w:ascii="Times New Roman" w:hAnsi="Times New Roman"/>
                <w:b/>
                <w:sz w:val="26"/>
                <w:szCs w:val="26"/>
                <w:lang w:val="uk-UA"/>
              </w:rPr>
              <w:t>П</w:t>
            </w:r>
            <w:r w:rsidR="008B0955" w:rsidRPr="00357768">
              <w:rPr>
                <w:rFonts w:ascii="Times New Roman" w:hAnsi="Times New Roman"/>
                <w:b/>
                <w:sz w:val="26"/>
                <w:szCs w:val="26"/>
                <w:lang w:val="uk-UA"/>
              </w:rPr>
              <w:t>роєкт</w:t>
            </w:r>
          </w:p>
        </w:tc>
      </w:tr>
      <w:tr w:rsidR="008B0955" w:rsidRPr="004143BA" w:rsidTr="00C52839">
        <w:tc>
          <w:tcPr>
            <w:tcW w:w="15309" w:type="dxa"/>
            <w:gridSpan w:val="2"/>
          </w:tcPr>
          <w:p w:rsidR="008B0955" w:rsidRPr="008B0955" w:rsidRDefault="008B0955" w:rsidP="009E1E81">
            <w:pPr>
              <w:spacing w:after="0" w:line="240" w:lineRule="auto"/>
              <w:jc w:val="center"/>
              <w:rPr>
                <w:rFonts w:ascii="Times New Roman" w:hAnsi="Times New Roman"/>
                <w:b/>
                <w:i/>
                <w:sz w:val="24"/>
                <w:szCs w:val="24"/>
                <w:lang w:val="uk-UA"/>
              </w:rPr>
            </w:pPr>
            <w:r w:rsidRPr="008B0955">
              <w:rPr>
                <w:rFonts w:ascii="Times New Roman" w:hAnsi="Times New Roman"/>
                <w:b/>
                <w:i/>
                <w:sz w:val="24"/>
                <w:szCs w:val="24"/>
                <w:lang w:val="uk-UA"/>
              </w:rPr>
              <w:t>Проєкт  змін до  Кодексу газотранспортної системи</w:t>
            </w:r>
          </w:p>
        </w:tc>
      </w:tr>
      <w:tr w:rsidR="00EC0D13" w:rsidRPr="004652FB" w:rsidTr="00CA0171">
        <w:tc>
          <w:tcPr>
            <w:tcW w:w="7655" w:type="dxa"/>
          </w:tcPr>
          <w:p w:rsidR="00884DD6" w:rsidRPr="00EC0D13" w:rsidRDefault="00884DD6" w:rsidP="00884DD6">
            <w:pPr>
              <w:spacing w:after="0" w:line="240" w:lineRule="auto"/>
              <w:jc w:val="center"/>
              <w:rPr>
                <w:rFonts w:ascii="Times New Roman" w:hAnsi="Times New Roman"/>
                <w:lang w:val="uk-UA"/>
              </w:rPr>
            </w:pPr>
            <w:r w:rsidRPr="00884DD6">
              <w:rPr>
                <w:rFonts w:ascii="Times New Roman" w:hAnsi="Times New Roman"/>
                <w:b/>
                <w:lang w:val="uk-UA"/>
              </w:rPr>
              <w:t>V. Умови надійної та безпечної експлуатації газотранспортної системи, основні правила технічної експлуатації газотранспортної системи, планування розвитку газотранспортної системи</w:t>
            </w:r>
          </w:p>
          <w:p w:rsidR="00884DD6" w:rsidRDefault="00884DD6" w:rsidP="00884DD6">
            <w:pPr>
              <w:spacing w:after="0" w:line="240" w:lineRule="auto"/>
              <w:jc w:val="center"/>
              <w:rPr>
                <w:rFonts w:ascii="Times New Roman" w:hAnsi="Times New Roman"/>
                <w:b/>
                <w:lang w:val="uk-UA"/>
              </w:rPr>
            </w:pPr>
          </w:p>
          <w:p w:rsidR="00884DD6" w:rsidRPr="00EC0D13" w:rsidRDefault="00884DD6" w:rsidP="00884DD6">
            <w:pPr>
              <w:spacing w:after="0" w:line="240" w:lineRule="auto"/>
              <w:rPr>
                <w:rFonts w:ascii="Times New Roman" w:hAnsi="Times New Roman"/>
                <w:lang w:val="uk-UA"/>
              </w:rPr>
            </w:pPr>
            <w:r>
              <w:rPr>
                <w:rFonts w:ascii="Times New Roman" w:hAnsi="Times New Roman"/>
                <w:lang w:val="uk-UA"/>
              </w:rPr>
              <w:t>…….</w:t>
            </w:r>
          </w:p>
          <w:p w:rsidR="00884DD6" w:rsidRPr="00EC0D13" w:rsidRDefault="00884DD6" w:rsidP="00884DD6">
            <w:pPr>
              <w:spacing w:after="0" w:line="240" w:lineRule="auto"/>
              <w:jc w:val="center"/>
              <w:rPr>
                <w:rFonts w:ascii="Times New Roman" w:hAnsi="Times New Roman"/>
                <w:lang w:val="uk-UA"/>
              </w:rPr>
            </w:pPr>
            <w:r w:rsidRPr="00884DD6">
              <w:rPr>
                <w:rFonts w:ascii="Times New Roman" w:hAnsi="Times New Roman"/>
                <w:b/>
                <w:lang w:val="uk-UA"/>
              </w:rPr>
              <w:t>4. Порядок подання, розгляду та затвердження плану розвитку</w:t>
            </w:r>
          </w:p>
          <w:p w:rsidR="00884DD6" w:rsidRPr="00EC0D13" w:rsidRDefault="00884DD6" w:rsidP="00884DD6">
            <w:pPr>
              <w:spacing w:after="0" w:line="240" w:lineRule="auto"/>
              <w:rPr>
                <w:rFonts w:ascii="Times New Roman" w:hAnsi="Times New Roman"/>
                <w:lang w:val="uk-UA"/>
              </w:rPr>
            </w:pPr>
            <w:r>
              <w:rPr>
                <w:rFonts w:ascii="Times New Roman" w:hAnsi="Times New Roman"/>
                <w:lang w:val="uk-UA"/>
              </w:rPr>
              <w:t>…….</w:t>
            </w:r>
          </w:p>
          <w:p w:rsidR="00884DD6" w:rsidRDefault="00884DD6" w:rsidP="00884DD6">
            <w:pPr>
              <w:spacing w:after="0" w:line="240" w:lineRule="auto"/>
              <w:jc w:val="both"/>
              <w:rPr>
                <w:rFonts w:ascii="Times New Roman" w:hAnsi="Times New Roman"/>
                <w:lang w:val="uk-UA"/>
              </w:rPr>
            </w:pPr>
          </w:p>
          <w:p w:rsidR="00EC0D13" w:rsidRPr="004652FB" w:rsidRDefault="004652FB" w:rsidP="00884DD6">
            <w:pPr>
              <w:spacing w:after="0" w:line="240" w:lineRule="auto"/>
              <w:jc w:val="both"/>
              <w:rPr>
                <w:rFonts w:ascii="Times New Roman" w:hAnsi="Times New Roman"/>
                <w:b/>
                <w:lang w:val="uk-UA"/>
              </w:rPr>
            </w:pPr>
            <w:r w:rsidRPr="004652FB">
              <w:rPr>
                <w:rFonts w:ascii="Times New Roman" w:hAnsi="Times New Roman"/>
                <w:b/>
                <w:lang w:val="uk-UA"/>
              </w:rPr>
              <w:t>норма відсутня</w:t>
            </w:r>
          </w:p>
        </w:tc>
        <w:tc>
          <w:tcPr>
            <w:tcW w:w="7654" w:type="dxa"/>
          </w:tcPr>
          <w:p w:rsidR="00EC0D13" w:rsidRPr="00EC0D13" w:rsidRDefault="00884DD6" w:rsidP="00884DD6">
            <w:pPr>
              <w:spacing w:after="0" w:line="240" w:lineRule="auto"/>
              <w:jc w:val="center"/>
              <w:rPr>
                <w:rFonts w:ascii="Times New Roman" w:hAnsi="Times New Roman"/>
                <w:lang w:val="uk-UA"/>
              </w:rPr>
            </w:pPr>
            <w:r w:rsidRPr="00884DD6">
              <w:rPr>
                <w:rFonts w:ascii="Times New Roman" w:hAnsi="Times New Roman"/>
                <w:b/>
                <w:lang w:val="uk-UA"/>
              </w:rPr>
              <w:t>V. Умови надійної та безпечної експлуатації газотранспортної системи, основні правила технічної експлуатації газотранспортної системи, планування розвитку газотранспортної системи</w:t>
            </w:r>
          </w:p>
          <w:p w:rsidR="00884DD6" w:rsidRDefault="00884DD6" w:rsidP="00EC0D13">
            <w:pPr>
              <w:spacing w:after="0" w:line="240" w:lineRule="auto"/>
              <w:jc w:val="center"/>
              <w:rPr>
                <w:rFonts w:ascii="Times New Roman" w:hAnsi="Times New Roman"/>
                <w:b/>
                <w:lang w:val="uk-UA"/>
              </w:rPr>
            </w:pPr>
          </w:p>
          <w:p w:rsidR="00884DD6" w:rsidRPr="00EC0D13" w:rsidRDefault="00884DD6" w:rsidP="00884DD6">
            <w:pPr>
              <w:spacing w:after="0" w:line="240" w:lineRule="auto"/>
              <w:rPr>
                <w:rFonts w:ascii="Times New Roman" w:hAnsi="Times New Roman"/>
                <w:lang w:val="uk-UA"/>
              </w:rPr>
            </w:pPr>
            <w:r>
              <w:rPr>
                <w:rFonts w:ascii="Times New Roman" w:hAnsi="Times New Roman"/>
                <w:lang w:val="uk-UA"/>
              </w:rPr>
              <w:t>…….</w:t>
            </w:r>
          </w:p>
          <w:p w:rsidR="00EC0D13" w:rsidRPr="00EC0D13" w:rsidRDefault="00884DD6" w:rsidP="00884DD6">
            <w:pPr>
              <w:spacing w:after="0" w:line="240" w:lineRule="auto"/>
              <w:jc w:val="center"/>
              <w:rPr>
                <w:rFonts w:ascii="Times New Roman" w:hAnsi="Times New Roman"/>
                <w:lang w:val="uk-UA"/>
              </w:rPr>
            </w:pPr>
            <w:r w:rsidRPr="00884DD6">
              <w:rPr>
                <w:rFonts w:ascii="Times New Roman" w:hAnsi="Times New Roman"/>
                <w:b/>
                <w:lang w:val="uk-UA"/>
              </w:rPr>
              <w:t>4. Порядок подання, розгляду та затвердження плану розвитку</w:t>
            </w:r>
          </w:p>
          <w:p w:rsidR="00362624" w:rsidRPr="00EC0D13" w:rsidRDefault="00362624" w:rsidP="00EC0D13">
            <w:pPr>
              <w:spacing w:after="0" w:line="240" w:lineRule="auto"/>
              <w:rPr>
                <w:rFonts w:ascii="Times New Roman" w:hAnsi="Times New Roman"/>
                <w:lang w:val="uk-UA"/>
              </w:rPr>
            </w:pPr>
            <w:r>
              <w:rPr>
                <w:rFonts w:ascii="Times New Roman" w:hAnsi="Times New Roman"/>
                <w:lang w:val="uk-UA"/>
              </w:rPr>
              <w:t>…</w:t>
            </w:r>
            <w:r w:rsidR="002546B9">
              <w:rPr>
                <w:rFonts w:ascii="Times New Roman" w:hAnsi="Times New Roman"/>
                <w:lang w:val="uk-UA"/>
              </w:rPr>
              <w:t>….</w:t>
            </w:r>
          </w:p>
          <w:p w:rsidR="00EC0D13" w:rsidRPr="00EC0D13" w:rsidRDefault="00884DD6" w:rsidP="004652FB">
            <w:pPr>
              <w:tabs>
                <w:tab w:val="left" w:pos="323"/>
              </w:tabs>
              <w:spacing w:after="0" w:line="240" w:lineRule="auto"/>
              <w:jc w:val="both"/>
              <w:rPr>
                <w:rFonts w:ascii="Times New Roman" w:hAnsi="Times New Roman"/>
                <w:lang w:val="uk-UA"/>
              </w:rPr>
            </w:pPr>
            <w:bookmarkStart w:id="0" w:name="_Hlk78893088"/>
            <w:r w:rsidRPr="00884DD6">
              <w:rPr>
                <w:rFonts w:ascii="Times New Roman" w:hAnsi="Times New Roman"/>
                <w:lang w:val="uk-UA"/>
              </w:rPr>
              <w:t xml:space="preserve"> </w:t>
            </w:r>
            <w:bookmarkEnd w:id="0"/>
            <w:r w:rsidR="004652FB" w:rsidRPr="004652FB">
              <w:rPr>
                <w:rFonts w:ascii="Times New Roman" w:hAnsi="Times New Roman"/>
                <w:lang w:val="uk-UA"/>
              </w:rPr>
              <w:t>8. При виникненні особливих обставин, яких оператор газотранспортної системи не міг передбачити (пов'язаних з усуненням наслідків, що виникли в результаті форс-мажорних обставин, необхідністю виконання робіт для забезпечення безпечної експлуатації та підтримання у належному стані газотранспортної системи), оператор газотранспортної системи має право не пізніше 30 вересня планованого періоду звернутися до Регулятора з пропозицією щодо внесення змін до плану розвитку, з наданням відповідних висновків, розрахунків та інших документів, що підтверджують факт виникнення таких обставин, крім випадків виконання рішень НКРЕКП щодо внесення змін до плану розвитку, зокрема за результатами здійснення заходів державного контролю.</w:t>
            </w:r>
          </w:p>
        </w:tc>
      </w:tr>
      <w:tr w:rsidR="00EC0D13" w:rsidRPr="004143BA" w:rsidTr="00C52839">
        <w:tc>
          <w:tcPr>
            <w:tcW w:w="15309" w:type="dxa"/>
            <w:gridSpan w:val="2"/>
          </w:tcPr>
          <w:p w:rsidR="00EC0D13" w:rsidRPr="008B0955" w:rsidRDefault="00884DD6" w:rsidP="00EC0D13">
            <w:pPr>
              <w:spacing w:after="0" w:line="240" w:lineRule="auto"/>
              <w:jc w:val="center"/>
              <w:rPr>
                <w:rFonts w:ascii="Times New Roman" w:hAnsi="Times New Roman"/>
                <w:b/>
                <w:i/>
                <w:sz w:val="24"/>
                <w:szCs w:val="24"/>
                <w:lang w:val="uk-UA"/>
              </w:rPr>
            </w:pPr>
            <w:r w:rsidRPr="008B0955">
              <w:rPr>
                <w:rFonts w:ascii="Times New Roman" w:hAnsi="Times New Roman"/>
                <w:b/>
                <w:i/>
                <w:sz w:val="24"/>
                <w:szCs w:val="24"/>
                <w:lang w:val="uk-UA"/>
              </w:rPr>
              <w:t>Проєкт  змін до  Кодексу газо</w:t>
            </w:r>
            <w:r>
              <w:rPr>
                <w:rFonts w:ascii="Times New Roman" w:hAnsi="Times New Roman"/>
                <w:b/>
                <w:i/>
                <w:sz w:val="24"/>
                <w:szCs w:val="24"/>
                <w:lang w:val="uk-UA"/>
              </w:rPr>
              <w:t>розподільних</w:t>
            </w:r>
            <w:r w:rsidRPr="008B0955">
              <w:rPr>
                <w:rFonts w:ascii="Times New Roman" w:hAnsi="Times New Roman"/>
                <w:b/>
                <w:i/>
                <w:sz w:val="24"/>
                <w:szCs w:val="24"/>
                <w:lang w:val="uk-UA"/>
              </w:rPr>
              <w:t xml:space="preserve"> систем</w:t>
            </w:r>
          </w:p>
        </w:tc>
      </w:tr>
      <w:tr w:rsidR="00884DD6" w:rsidRPr="004652FB" w:rsidTr="00683B96">
        <w:tc>
          <w:tcPr>
            <w:tcW w:w="7655" w:type="dxa"/>
          </w:tcPr>
          <w:p w:rsidR="00884DD6" w:rsidRDefault="00884DD6" w:rsidP="00884DD6">
            <w:pPr>
              <w:spacing w:after="0" w:line="240" w:lineRule="auto"/>
              <w:jc w:val="center"/>
              <w:rPr>
                <w:rFonts w:ascii="Times New Roman" w:hAnsi="Times New Roman"/>
                <w:b/>
                <w:lang w:val="uk-UA"/>
              </w:rPr>
            </w:pPr>
            <w:r w:rsidRPr="00884DD6">
              <w:rPr>
                <w:rFonts w:ascii="Times New Roman" w:hAnsi="Times New Roman"/>
                <w:b/>
                <w:lang w:val="uk-UA"/>
              </w:rPr>
              <w:t>IV. Планування та розвиток газорозподільної системи</w:t>
            </w:r>
          </w:p>
          <w:p w:rsidR="00884DD6" w:rsidRPr="00EC0D13" w:rsidRDefault="00884DD6" w:rsidP="00884DD6">
            <w:pPr>
              <w:spacing w:after="0" w:line="240" w:lineRule="auto"/>
              <w:rPr>
                <w:rFonts w:ascii="Times New Roman" w:hAnsi="Times New Roman"/>
                <w:lang w:val="uk-UA"/>
              </w:rPr>
            </w:pPr>
            <w:r>
              <w:rPr>
                <w:rFonts w:ascii="Times New Roman" w:hAnsi="Times New Roman"/>
                <w:lang w:val="uk-UA"/>
              </w:rPr>
              <w:t>…….</w:t>
            </w:r>
          </w:p>
          <w:p w:rsidR="00884DD6" w:rsidRPr="00EC0D13" w:rsidRDefault="00884DD6" w:rsidP="00884DD6">
            <w:pPr>
              <w:spacing w:after="0" w:line="240" w:lineRule="auto"/>
              <w:jc w:val="center"/>
              <w:rPr>
                <w:rFonts w:ascii="Times New Roman" w:hAnsi="Times New Roman"/>
                <w:lang w:val="uk-UA"/>
              </w:rPr>
            </w:pPr>
            <w:r w:rsidRPr="00884DD6">
              <w:rPr>
                <w:rFonts w:ascii="Times New Roman" w:hAnsi="Times New Roman"/>
                <w:b/>
                <w:lang w:val="uk-UA"/>
              </w:rPr>
              <w:t>4. Порядок подання, розгляду та затвердження плану розвитку</w:t>
            </w:r>
          </w:p>
          <w:p w:rsidR="00884DD6" w:rsidRPr="00EC0D13" w:rsidRDefault="00884DD6" w:rsidP="00884DD6">
            <w:pPr>
              <w:spacing w:after="0" w:line="240" w:lineRule="auto"/>
              <w:rPr>
                <w:rFonts w:ascii="Times New Roman" w:hAnsi="Times New Roman"/>
                <w:lang w:val="uk-UA"/>
              </w:rPr>
            </w:pPr>
            <w:r>
              <w:rPr>
                <w:rFonts w:ascii="Times New Roman" w:hAnsi="Times New Roman"/>
                <w:lang w:val="uk-UA"/>
              </w:rPr>
              <w:t>…….</w:t>
            </w:r>
          </w:p>
          <w:p w:rsidR="00683B96" w:rsidRDefault="00683B96" w:rsidP="00683B96">
            <w:pPr>
              <w:spacing w:after="0" w:line="240" w:lineRule="auto"/>
              <w:jc w:val="both"/>
              <w:rPr>
                <w:rFonts w:ascii="Times New Roman" w:hAnsi="Times New Roman"/>
                <w:sz w:val="24"/>
                <w:szCs w:val="24"/>
                <w:lang w:val="uk-UA"/>
              </w:rPr>
            </w:pPr>
          </w:p>
          <w:p w:rsidR="00683B96" w:rsidRPr="004652FB" w:rsidRDefault="004652FB" w:rsidP="00683B96">
            <w:pPr>
              <w:spacing w:after="0" w:line="240" w:lineRule="auto"/>
              <w:jc w:val="both"/>
              <w:rPr>
                <w:rFonts w:ascii="Times New Roman" w:hAnsi="Times New Roman"/>
                <w:b/>
                <w:sz w:val="24"/>
                <w:szCs w:val="24"/>
                <w:lang w:val="uk-UA"/>
              </w:rPr>
            </w:pPr>
            <w:r w:rsidRPr="004652FB">
              <w:rPr>
                <w:rFonts w:ascii="Times New Roman" w:hAnsi="Times New Roman"/>
                <w:b/>
                <w:sz w:val="24"/>
                <w:szCs w:val="24"/>
                <w:lang w:val="uk-UA"/>
              </w:rPr>
              <w:t>норма відсутня</w:t>
            </w:r>
          </w:p>
          <w:p w:rsidR="00884DD6" w:rsidRPr="008B0955" w:rsidRDefault="00884DD6" w:rsidP="00683B96">
            <w:pPr>
              <w:spacing w:after="0" w:line="240" w:lineRule="auto"/>
              <w:jc w:val="both"/>
              <w:rPr>
                <w:rFonts w:ascii="Times New Roman" w:hAnsi="Times New Roman"/>
                <w:b/>
                <w:i/>
                <w:sz w:val="24"/>
                <w:szCs w:val="24"/>
                <w:lang w:val="uk-UA"/>
              </w:rPr>
            </w:pPr>
          </w:p>
        </w:tc>
        <w:tc>
          <w:tcPr>
            <w:tcW w:w="7654" w:type="dxa"/>
          </w:tcPr>
          <w:p w:rsidR="00683B96" w:rsidRDefault="00683B96" w:rsidP="00683B96">
            <w:pPr>
              <w:spacing w:after="0" w:line="240" w:lineRule="auto"/>
              <w:jc w:val="center"/>
              <w:rPr>
                <w:rFonts w:ascii="Times New Roman" w:hAnsi="Times New Roman"/>
                <w:b/>
                <w:lang w:val="uk-UA"/>
              </w:rPr>
            </w:pPr>
            <w:r w:rsidRPr="00884DD6">
              <w:rPr>
                <w:rFonts w:ascii="Times New Roman" w:hAnsi="Times New Roman"/>
                <w:b/>
                <w:lang w:val="uk-UA"/>
              </w:rPr>
              <w:t>IV. Планування та розвиток газорозподільної системи</w:t>
            </w:r>
          </w:p>
          <w:p w:rsidR="00683B96" w:rsidRPr="00EC0D13" w:rsidRDefault="00683B96" w:rsidP="00683B96">
            <w:pPr>
              <w:spacing w:after="0" w:line="240" w:lineRule="auto"/>
              <w:rPr>
                <w:rFonts w:ascii="Times New Roman" w:hAnsi="Times New Roman"/>
                <w:lang w:val="uk-UA"/>
              </w:rPr>
            </w:pPr>
            <w:r>
              <w:rPr>
                <w:rFonts w:ascii="Times New Roman" w:hAnsi="Times New Roman"/>
                <w:lang w:val="uk-UA"/>
              </w:rPr>
              <w:t>…….</w:t>
            </w:r>
          </w:p>
          <w:p w:rsidR="00683B96" w:rsidRPr="00EC0D13" w:rsidRDefault="00683B96" w:rsidP="00683B96">
            <w:pPr>
              <w:spacing w:after="0" w:line="240" w:lineRule="auto"/>
              <w:jc w:val="center"/>
              <w:rPr>
                <w:rFonts w:ascii="Times New Roman" w:hAnsi="Times New Roman"/>
                <w:lang w:val="uk-UA"/>
              </w:rPr>
            </w:pPr>
            <w:r w:rsidRPr="00884DD6">
              <w:rPr>
                <w:rFonts w:ascii="Times New Roman" w:hAnsi="Times New Roman"/>
                <w:b/>
                <w:lang w:val="uk-UA"/>
              </w:rPr>
              <w:t>4. Порядок подання, розгляду та затвердження плану розвитку</w:t>
            </w:r>
          </w:p>
          <w:p w:rsidR="00683B96" w:rsidRPr="00EC0D13" w:rsidRDefault="00683B96" w:rsidP="00683B96">
            <w:pPr>
              <w:spacing w:after="0" w:line="240" w:lineRule="auto"/>
              <w:rPr>
                <w:rFonts w:ascii="Times New Roman" w:hAnsi="Times New Roman"/>
                <w:lang w:val="uk-UA"/>
              </w:rPr>
            </w:pPr>
            <w:r>
              <w:rPr>
                <w:rFonts w:ascii="Times New Roman" w:hAnsi="Times New Roman"/>
                <w:lang w:val="uk-UA"/>
              </w:rPr>
              <w:t>…….</w:t>
            </w:r>
          </w:p>
          <w:p w:rsidR="00683B96" w:rsidRDefault="004652FB" w:rsidP="004652FB">
            <w:pPr>
              <w:spacing w:after="0" w:line="240" w:lineRule="auto"/>
              <w:jc w:val="both"/>
              <w:rPr>
                <w:rFonts w:ascii="Times New Roman" w:hAnsi="Times New Roman"/>
                <w:sz w:val="24"/>
                <w:szCs w:val="24"/>
                <w:lang w:val="uk-UA"/>
              </w:rPr>
            </w:pPr>
            <w:r w:rsidRPr="004652FB">
              <w:rPr>
                <w:rFonts w:ascii="Times New Roman" w:hAnsi="Times New Roman"/>
                <w:sz w:val="24"/>
                <w:szCs w:val="24"/>
                <w:lang w:val="uk-UA"/>
              </w:rPr>
              <w:t>8. При виникненні особливих обставин, яких Оператор ГРМ не міг передбачити (пов'язаних з усуненням наслідків, що виникли в результаті форс-мажорних обставин, необхідністю виконання робіт для забезпечення безпечної експлуатації та підтримання у належному стані газорозподільної системи), Оператор ГРМ має право не пізніше 30 вересня планованого періоду звернутися до Регулятора з пропозицією щодо внесення змін до плану розвитку, з наданням відповідних висновків, розрахунків та інших документів, що підтверджують факт виникнення таких обставин, крім випадків виконання рішень НКРЕКП щодо внесення змін до плану розвитку, зокрема за результатами здійснення заходів державного контролю.</w:t>
            </w:r>
          </w:p>
          <w:p w:rsidR="00884DD6" w:rsidRPr="00683B96" w:rsidRDefault="00884DD6" w:rsidP="00683B96">
            <w:pPr>
              <w:tabs>
                <w:tab w:val="left" w:pos="346"/>
              </w:tabs>
              <w:spacing w:after="0" w:line="240" w:lineRule="auto"/>
              <w:rPr>
                <w:rFonts w:ascii="Times New Roman" w:hAnsi="Times New Roman"/>
                <w:sz w:val="24"/>
                <w:szCs w:val="24"/>
                <w:lang w:val="uk-UA"/>
              </w:rPr>
            </w:pPr>
          </w:p>
        </w:tc>
      </w:tr>
      <w:tr w:rsidR="00683B96" w:rsidRPr="004143BA" w:rsidTr="008E073C">
        <w:tc>
          <w:tcPr>
            <w:tcW w:w="15309" w:type="dxa"/>
            <w:gridSpan w:val="2"/>
          </w:tcPr>
          <w:p w:rsidR="00683B96" w:rsidRPr="00884DD6" w:rsidRDefault="00683B96" w:rsidP="00683B96">
            <w:pPr>
              <w:spacing w:after="0" w:line="240" w:lineRule="auto"/>
              <w:jc w:val="center"/>
              <w:rPr>
                <w:rFonts w:ascii="Times New Roman" w:hAnsi="Times New Roman"/>
                <w:b/>
                <w:lang w:val="uk-UA"/>
              </w:rPr>
            </w:pPr>
            <w:r w:rsidRPr="008B0955">
              <w:rPr>
                <w:rFonts w:ascii="Times New Roman" w:hAnsi="Times New Roman"/>
                <w:b/>
                <w:i/>
                <w:sz w:val="24"/>
                <w:szCs w:val="24"/>
                <w:lang w:val="uk-UA"/>
              </w:rPr>
              <w:lastRenderedPageBreak/>
              <w:t>Проєкт  змін до  Кодексу</w:t>
            </w:r>
            <w:r>
              <w:rPr>
                <w:rFonts w:ascii="Times New Roman" w:hAnsi="Times New Roman"/>
                <w:b/>
                <w:i/>
                <w:sz w:val="24"/>
                <w:szCs w:val="24"/>
                <w:lang w:val="uk-UA"/>
              </w:rPr>
              <w:t xml:space="preserve"> газосховищ</w:t>
            </w:r>
          </w:p>
        </w:tc>
      </w:tr>
      <w:tr w:rsidR="00683B96" w:rsidRPr="004652FB" w:rsidTr="00683B96">
        <w:tc>
          <w:tcPr>
            <w:tcW w:w="7655" w:type="dxa"/>
          </w:tcPr>
          <w:p w:rsidR="00683B96" w:rsidRDefault="00683B96" w:rsidP="00884DD6">
            <w:pPr>
              <w:spacing w:after="0" w:line="240" w:lineRule="auto"/>
              <w:jc w:val="center"/>
              <w:rPr>
                <w:rFonts w:ascii="Times New Roman" w:hAnsi="Times New Roman"/>
                <w:b/>
                <w:lang w:val="uk-UA"/>
              </w:rPr>
            </w:pPr>
            <w:r w:rsidRPr="00683B96">
              <w:rPr>
                <w:rFonts w:ascii="Times New Roman" w:hAnsi="Times New Roman"/>
                <w:b/>
                <w:lang w:val="uk-UA"/>
              </w:rPr>
              <w:t xml:space="preserve">V. Умови надійної та безпечної експлуатації газосховищ, основні правила технічної експлуатації газосховища, планування, </w:t>
            </w:r>
            <w:proofErr w:type="spellStart"/>
            <w:r w:rsidRPr="00683B96">
              <w:rPr>
                <w:rFonts w:ascii="Times New Roman" w:hAnsi="Times New Roman"/>
                <w:b/>
                <w:lang w:val="uk-UA"/>
              </w:rPr>
              <w:t>оперативно</w:t>
            </w:r>
            <w:proofErr w:type="spellEnd"/>
            <w:r w:rsidRPr="00683B96">
              <w:rPr>
                <w:rFonts w:ascii="Times New Roman" w:hAnsi="Times New Roman"/>
                <w:b/>
                <w:lang w:val="uk-UA"/>
              </w:rPr>
              <w:t>-технологічного управління і розвитку газосховищ</w:t>
            </w:r>
          </w:p>
          <w:p w:rsidR="00683B96" w:rsidRPr="00EC0D13" w:rsidRDefault="00683B96" w:rsidP="00683B96">
            <w:pPr>
              <w:spacing w:after="0" w:line="240" w:lineRule="auto"/>
              <w:rPr>
                <w:rFonts w:ascii="Times New Roman" w:hAnsi="Times New Roman"/>
                <w:lang w:val="uk-UA"/>
              </w:rPr>
            </w:pPr>
            <w:r>
              <w:rPr>
                <w:rFonts w:ascii="Times New Roman" w:hAnsi="Times New Roman"/>
                <w:lang w:val="uk-UA"/>
              </w:rPr>
              <w:t>…….</w:t>
            </w:r>
          </w:p>
          <w:p w:rsidR="00683B96" w:rsidRDefault="00683B96" w:rsidP="00683B96">
            <w:pPr>
              <w:spacing w:after="0" w:line="240" w:lineRule="auto"/>
              <w:rPr>
                <w:rFonts w:ascii="Times New Roman" w:hAnsi="Times New Roman"/>
                <w:b/>
                <w:lang w:val="uk-UA"/>
              </w:rPr>
            </w:pPr>
            <w:r w:rsidRPr="00683B96">
              <w:rPr>
                <w:rFonts w:ascii="Times New Roman" w:hAnsi="Times New Roman"/>
                <w:b/>
                <w:lang w:val="uk-UA"/>
              </w:rPr>
              <w:t>6. Порядок подання, розгляду та затвердження плану розвитку</w:t>
            </w:r>
          </w:p>
          <w:p w:rsidR="00683B96" w:rsidRPr="00EC0D13" w:rsidRDefault="00683B96" w:rsidP="00683B96">
            <w:pPr>
              <w:spacing w:after="0" w:line="240" w:lineRule="auto"/>
              <w:rPr>
                <w:rFonts w:ascii="Times New Roman" w:hAnsi="Times New Roman"/>
                <w:lang w:val="uk-UA"/>
              </w:rPr>
            </w:pPr>
            <w:r>
              <w:rPr>
                <w:rFonts w:ascii="Times New Roman" w:hAnsi="Times New Roman"/>
                <w:lang w:val="uk-UA"/>
              </w:rPr>
              <w:t>…….</w:t>
            </w:r>
          </w:p>
          <w:p w:rsidR="00683B96" w:rsidRPr="00884DD6" w:rsidRDefault="004652FB" w:rsidP="004652FB">
            <w:pPr>
              <w:spacing w:after="0" w:line="240" w:lineRule="auto"/>
              <w:jc w:val="both"/>
              <w:rPr>
                <w:rFonts w:ascii="Times New Roman" w:hAnsi="Times New Roman"/>
                <w:b/>
                <w:lang w:val="uk-UA"/>
              </w:rPr>
            </w:pPr>
            <w:r w:rsidRPr="004652FB">
              <w:rPr>
                <w:rFonts w:ascii="Times New Roman" w:hAnsi="Times New Roman"/>
                <w:b/>
                <w:lang w:val="uk-UA"/>
              </w:rPr>
              <w:t>норма відсутня</w:t>
            </w:r>
          </w:p>
        </w:tc>
        <w:tc>
          <w:tcPr>
            <w:tcW w:w="7654" w:type="dxa"/>
          </w:tcPr>
          <w:p w:rsidR="00683B96" w:rsidRDefault="00683B96" w:rsidP="00683B96">
            <w:pPr>
              <w:spacing w:after="0" w:line="240" w:lineRule="auto"/>
              <w:jc w:val="center"/>
              <w:rPr>
                <w:rFonts w:ascii="Times New Roman" w:hAnsi="Times New Roman"/>
                <w:b/>
                <w:lang w:val="uk-UA"/>
              </w:rPr>
            </w:pPr>
            <w:r w:rsidRPr="00683B96">
              <w:rPr>
                <w:rFonts w:ascii="Times New Roman" w:hAnsi="Times New Roman"/>
                <w:b/>
                <w:lang w:val="uk-UA"/>
              </w:rPr>
              <w:t xml:space="preserve">V. Умови надійної та безпечної експлуатації газосховищ, основні правила технічної експлуатації газосховища, планування, </w:t>
            </w:r>
            <w:proofErr w:type="spellStart"/>
            <w:r w:rsidRPr="00683B96">
              <w:rPr>
                <w:rFonts w:ascii="Times New Roman" w:hAnsi="Times New Roman"/>
                <w:b/>
                <w:lang w:val="uk-UA"/>
              </w:rPr>
              <w:t>оперативно</w:t>
            </w:r>
            <w:proofErr w:type="spellEnd"/>
            <w:r w:rsidRPr="00683B96">
              <w:rPr>
                <w:rFonts w:ascii="Times New Roman" w:hAnsi="Times New Roman"/>
                <w:b/>
                <w:lang w:val="uk-UA"/>
              </w:rPr>
              <w:t>-технологічного управління і розвитку газосховищ</w:t>
            </w:r>
          </w:p>
          <w:p w:rsidR="00683B96" w:rsidRPr="00EC0D13" w:rsidRDefault="00683B96" w:rsidP="00683B96">
            <w:pPr>
              <w:spacing w:after="0" w:line="240" w:lineRule="auto"/>
              <w:rPr>
                <w:rFonts w:ascii="Times New Roman" w:hAnsi="Times New Roman"/>
                <w:lang w:val="uk-UA"/>
              </w:rPr>
            </w:pPr>
            <w:r>
              <w:rPr>
                <w:rFonts w:ascii="Times New Roman" w:hAnsi="Times New Roman"/>
                <w:lang w:val="uk-UA"/>
              </w:rPr>
              <w:t>…….</w:t>
            </w:r>
          </w:p>
          <w:p w:rsidR="00683B96" w:rsidRDefault="00683B96" w:rsidP="00683B96">
            <w:pPr>
              <w:spacing w:after="0" w:line="240" w:lineRule="auto"/>
              <w:rPr>
                <w:rFonts w:ascii="Times New Roman" w:hAnsi="Times New Roman"/>
                <w:b/>
                <w:lang w:val="uk-UA"/>
              </w:rPr>
            </w:pPr>
            <w:r w:rsidRPr="00683B96">
              <w:rPr>
                <w:rFonts w:ascii="Times New Roman" w:hAnsi="Times New Roman"/>
                <w:b/>
                <w:lang w:val="uk-UA"/>
              </w:rPr>
              <w:t>6. Порядок подання, розгляду та затвердження плану розвитку</w:t>
            </w:r>
          </w:p>
          <w:p w:rsidR="00683B96" w:rsidRPr="00EC0D13" w:rsidRDefault="00683B96" w:rsidP="00683B96">
            <w:pPr>
              <w:spacing w:after="0" w:line="240" w:lineRule="auto"/>
              <w:rPr>
                <w:rFonts w:ascii="Times New Roman" w:hAnsi="Times New Roman"/>
                <w:lang w:val="uk-UA"/>
              </w:rPr>
            </w:pPr>
            <w:r>
              <w:rPr>
                <w:rFonts w:ascii="Times New Roman" w:hAnsi="Times New Roman"/>
                <w:lang w:val="uk-UA"/>
              </w:rPr>
              <w:t>…….</w:t>
            </w:r>
          </w:p>
          <w:p w:rsidR="00683B96" w:rsidRPr="004652FB" w:rsidRDefault="004652FB" w:rsidP="00683B96">
            <w:pPr>
              <w:tabs>
                <w:tab w:val="left" w:pos="323"/>
              </w:tabs>
              <w:spacing w:after="0" w:line="240" w:lineRule="auto"/>
              <w:jc w:val="both"/>
              <w:rPr>
                <w:rFonts w:ascii="Times New Roman" w:hAnsi="Times New Roman"/>
                <w:lang w:val="uk-UA"/>
              </w:rPr>
            </w:pPr>
            <w:r w:rsidRPr="004652FB">
              <w:rPr>
                <w:rFonts w:ascii="Times New Roman" w:hAnsi="Times New Roman"/>
                <w:lang w:val="uk-UA"/>
              </w:rPr>
              <w:t>8. При виникненні особливих обставин, яких Оператор газосховищ не міг передбачити (пов'язаних з усуненням наслідків, що виникли в результаті форс-мажорних обставин, необхідністю виконання ро</w:t>
            </w:r>
            <w:bookmarkStart w:id="1" w:name="_GoBack"/>
            <w:bookmarkEnd w:id="1"/>
            <w:r w:rsidRPr="004652FB">
              <w:rPr>
                <w:rFonts w:ascii="Times New Roman" w:hAnsi="Times New Roman"/>
                <w:lang w:val="uk-UA"/>
              </w:rPr>
              <w:t>біт для забезпечення безпечної експлуатації та підтримання у належному стані газосховищ), Оператор газосховищ має право не пізніше 30 вересня планованого періоду звернутися до Регулятора з пропозицією щодо внесення змін до плану розвитку, з наданням відповідних висновків, розрахунків та інших документів, що підтверджують факт виникнення таких обставин, крім випадків виконання рішень НКРЕКП щодо внесення змін до плану розвитку, зокрема за результатами здійснення заходів державного контролю.</w:t>
            </w:r>
          </w:p>
        </w:tc>
      </w:tr>
    </w:tbl>
    <w:p w:rsidR="00F80F48" w:rsidRDefault="00F80F48" w:rsidP="004143BA">
      <w:pPr>
        <w:rPr>
          <w:rFonts w:ascii="Times New Roman" w:hAnsi="Times New Roman"/>
          <w:lang w:val="uk-UA"/>
        </w:rPr>
      </w:pPr>
    </w:p>
    <w:p w:rsidR="00E01951" w:rsidRDefault="00E01951" w:rsidP="004143BA">
      <w:pPr>
        <w:rPr>
          <w:rFonts w:ascii="Times New Roman" w:hAnsi="Times New Roman"/>
          <w:lang w:val="uk-UA"/>
        </w:rPr>
      </w:pPr>
    </w:p>
    <w:sectPr w:rsidR="00E01951" w:rsidSect="000F658A">
      <w:footerReference w:type="default" r:id="rId8"/>
      <w:pgSz w:w="16838" w:h="11906" w:orient="landscape"/>
      <w:pgMar w:top="851" w:right="1134" w:bottom="142" w:left="1134" w:header="5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659E" w:rsidRDefault="00F9659E" w:rsidP="00F80F48">
      <w:pPr>
        <w:spacing w:after="0" w:line="240" w:lineRule="auto"/>
      </w:pPr>
      <w:r>
        <w:separator/>
      </w:r>
    </w:p>
  </w:endnote>
  <w:endnote w:type="continuationSeparator" w:id="0">
    <w:p w:rsidR="00F9659E" w:rsidRDefault="00F9659E" w:rsidP="00F80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658A" w:rsidRDefault="000F658A">
    <w:pPr>
      <w:pStyle w:val="a6"/>
      <w:jc w:val="right"/>
    </w:pPr>
    <w:r>
      <w:fldChar w:fldCharType="begin"/>
    </w:r>
    <w:r>
      <w:instrText>PAGE   \* MERGEFORMAT</w:instrText>
    </w:r>
    <w:r>
      <w:fldChar w:fldCharType="separate"/>
    </w:r>
    <w:r>
      <w:rPr>
        <w:lang w:val="uk-UA"/>
      </w:rPr>
      <w:t>2</w:t>
    </w:r>
    <w:r>
      <w:fldChar w:fldCharType="end"/>
    </w:r>
  </w:p>
  <w:p w:rsidR="000F658A" w:rsidRDefault="000F658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659E" w:rsidRDefault="00F9659E" w:rsidP="00F80F48">
      <w:pPr>
        <w:spacing w:after="0" w:line="240" w:lineRule="auto"/>
      </w:pPr>
      <w:r>
        <w:separator/>
      </w:r>
    </w:p>
  </w:footnote>
  <w:footnote w:type="continuationSeparator" w:id="0">
    <w:p w:rsidR="00F9659E" w:rsidRDefault="00F9659E" w:rsidP="00F80F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00F34"/>
    <w:multiLevelType w:val="hybridMultilevel"/>
    <w:tmpl w:val="99C8370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7B2E5A2D"/>
    <w:multiLevelType w:val="hybridMultilevel"/>
    <w:tmpl w:val="46663E00"/>
    <w:lvl w:ilvl="0" w:tplc="EC66C560">
      <w:start w:val="1"/>
      <w:numFmt w:val="decimal"/>
      <w:lvlText w:val="%1)"/>
      <w:lvlJc w:val="left"/>
      <w:pPr>
        <w:ind w:left="1080" w:hanging="360"/>
      </w:pPr>
      <w:rPr>
        <w:rFonts w:ascii="Times New Roman" w:eastAsia="Calibri" w:hAnsi="Times New Roman" w:cs="Times New Roman"/>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0A4"/>
    <w:rsid w:val="000042EF"/>
    <w:rsid w:val="000166D2"/>
    <w:rsid w:val="0002077B"/>
    <w:rsid w:val="000225B6"/>
    <w:rsid w:val="00023243"/>
    <w:rsid w:val="00031B98"/>
    <w:rsid w:val="00031BAC"/>
    <w:rsid w:val="00043650"/>
    <w:rsid w:val="00045F8E"/>
    <w:rsid w:val="00057273"/>
    <w:rsid w:val="0007085A"/>
    <w:rsid w:val="000710F3"/>
    <w:rsid w:val="000737E1"/>
    <w:rsid w:val="00077460"/>
    <w:rsid w:val="000B2FE5"/>
    <w:rsid w:val="000B352B"/>
    <w:rsid w:val="000B6527"/>
    <w:rsid w:val="000B6A06"/>
    <w:rsid w:val="000C01C1"/>
    <w:rsid w:val="000D01CA"/>
    <w:rsid w:val="000D10F1"/>
    <w:rsid w:val="000D45DA"/>
    <w:rsid w:val="000F3829"/>
    <w:rsid w:val="000F658A"/>
    <w:rsid w:val="00114EF8"/>
    <w:rsid w:val="00117421"/>
    <w:rsid w:val="00120471"/>
    <w:rsid w:val="001210C0"/>
    <w:rsid w:val="001241A1"/>
    <w:rsid w:val="001265E5"/>
    <w:rsid w:val="00130786"/>
    <w:rsid w:val="00146FA9"/>
    <w:rsid w:val="00160CA6"/>
    <w:rsid w:val="0016213F"/>
    <w:rsid w:val="0016523C"/>
    <w:rsid w:val="00174ECD"/>
    <w:rsid w:val="0018604A"/>
    <w:rsid w:val="001978C5"/>
    <w:rsid w:val="001B41E7"/>
    <w:rsid w:val="001B6126"/>
    <w:rsid w:val="001B61A3"/>
    <w:rsid w:val="001C0A15"/>
    <w:rsid w:val="001D496E"/>
    <w:rsid w:val="001E2196"/>
    <w:rsid w:val="001E2966"/>
    <w:rsid w:val="001E6C5A"/>
    <w:rsid w:val="001E6F2A"/>
    <w:rsid w:val="001F69C4"/>
    <w:rsid w:val="00207C9B"/>
    <w:rsid w:val="002102DB"/>
    <w:rsid w:val="0021055E"/>
    <w:rsid w:val="00213442"/>
    <w:rsid w:val="002360C3"/>
    <w:rsid w:val="002412F5"/>
    <w:rsid w:val="002452F6"/>
    <w:rsid w:val="002474A0"/>
    <w:rsid w:val="0025395E"/>
    <w:rsid w:val="0025430C"/>
    <w:rsid w:val="002546B9"/>
    <w:rsid w:val="002561E1"/>
    <w:rsid w:val="0026262C"/>
    <w:rsid w:val="0026544A"/>
    <w:rsid w:val="0027082A"/>
    <w:rsid w:val="002826A3"/>
    <w:rsid w:val="00286B9C"/>
    <w:rsid w:val="00293891"/>
    <w:rsid w:val="00296B61"/>
    <w:rsid w:val="002A6E6F"/>
    <w:rsid w:val="002B0917"/>
    <w:rsid w:val="002B3142"/>
    <w:rsid w:val="002B3198"/>
    <w:rsid w:val="002C52C8"/>
    <w:rsid w:val="002D23C8"/>
    <w:rsid w:val="002D6B33"/>
    <w:rsid w:val="002E0F9A"/>
    <w:rsid w:val="002F1540"/>
    <w:rsid w:val="002F41A3"/>
    <w:rsid w:val="00302A61"/>
    <w:rsid w:val="003036F3"/>
    <w:rsid w:val="00306CC9"/>
    <w:rsid w:val="003208D3"/>
    <w:rsid w:val="00323BA9"/>
    <w:rsid w:val="00336678"/>
    <w:rsid w:val="00337759"/>
    <w:rsid w:val="003430D7"/>
    <w:rsid w:val="0034359D"/>
    <w:rsid w:val="00350D46"/>
    <w:rsid w:val="003515E7"/>
    <w:rsid w:val="00352E6C"/>
    <w:rsid w:val="00352F01"/>
    <w:rsid w:val="0035624D"/>
    <w:rsid w:val="00357768"/>
    <w:rsid w:val="00360382"/>
    <w:rsid w:val="00361C12"/>
    <w:rsid w:val="00362624"/>
    <w:rsid w:val="003632F9"/>
    <w:rsid w:val="0036648A"/>
    <w:rsid w:val="0036788D"/>
    <w:rsid w:val="00380E71"/>
    <w:rsid w:val="003A15E0"/>
    <w:rsid w:val="003A19A5"/>
    <w:rsid w:val="003A1C2D"/>
    <w:rsid w:val="003D1735"/>
    <w:rsid w:val="003E3267"/>
    <w:rsid w:val="003E3BA8"/>
    <w:rsid w:val="003F27D3"/>
    <w:rsid w:val="004143BA"/>
    <w:rsid w:val="0042177E"/>
    <w:rsid w:val="00431408"/>
    <w:rsid w:val="0043574C"/>
    <w:rsid w:val="00452555"/>
    <w:rsid w:val="004652FB"/>
    <w:rsid w:val="00470751"/>
    <w:rsid w:val="00474B3A"/>
    <w:rsid w:val="0048021C"/>
    <w:rsid w:val="00481499"/>
    <w:rsid w:val="004817E6"/>
    <w:rsid w:val="0048236A"/>
    <w:rsid w:val="00484DBA"/>
    <w:rsid w:val="004933AF"/>
    <w:rsid w:val="004A12B6"/>
    <w:rsid w:val="004A259A"/>
    <w:rsid w:val="004B24FD"/>
    <w:rsid w:val="004D54C3"/>
    <w:rsid w:val="004E2437"/>
    <w:rsid w:val="004E40A4"/>
    <w:rsid w:val="004F1901"/>
    <w:rsid w:val="005043D6"/>
    <w:rsid w:val="00511292"/>
    <w:rsid w:val="00532C33"/>
    <w:rsid w:val="00535942"/>
    <w:rsid w:val="00535C49"/>
    <w:rsid w:val="00546262"/>
    <w:rsid w:val="005539D5"/>
    <w:rsid w:val="0055554F"/>
    <w:rsid w:val="0055642A"/>
    <w:rsid w:val="0057161E"/>
    <w:rsid w:val="005800E2"/>
    <w:rsid w:val="00580B7A"/>
    <w:rsid w:val="00585FE3"/>
    <w:rsid w:val="00594506"/>
    <w:rsid w:val="00597DE9"/>
    <w:rsid w:val="005A2F4A"/>
    <w:rsid w:val="005A3803"/>
    <w:rsid w:val="005B59EE"/>
    <w:rsid w:val="005C2788"/>
    <w:rsid w:val="005C3AB7"/>
    <w:rsid w:val="005C4B2C"/>
    <w:rsid w:val="005C7F6B"/>
    <w:rsid w:val="005D1BC1"/>
    <w:rsid w:val="005E765F"/>
    <w:rsid w:val="005F4FD3"/>
    <w:rsid w:val="00603C9B"/>
    <w:rsid w:val="00621C7D"/>
    <w:rsid w:val="0064619F"/>
    <w:rsid w:val="00650CDE"/>
    <w:rsid w:val="00673E0E"/>
    <w:rsid w:val="00683B96"/>
    <w:rsid w:val="00691EAB"/>
    <w:rsid w:val="006A1C13"/>
    <w:rsid w:val="006B0706"/>
    <w:rsid w:val="006B2653"/>
    <w:rsid w:val="006B3046"/>
    <w:rsid w:val="006B38AF"/>
    <w:rsid w:val="006C5E78"/>
    <w:rsid w:val="006D2B4A"/>
    <w:rsid w:val="006D482D"/>
    <w:rsid w:val="006D4B7B"/>
    <w:rsid w:val="006D5D0C"/>
    <w:rsid w:val="006D6B90"/>
    <w:rsid w:val="006E3565"/>
    <w:rsid w:val="006F5BA0"/>
    <w:rsid w:val="0071107C"/>
    <w:rsid w:val="00751562"/>
    <w:rsid w:val="007520B4"/>
    <w:rsid w:val="00752DAF"/>
    <w:rsid w:val="00763F41"/>
    <w:rsid w:val="00766E6F"/>
    <w:rsid w:val="00784AF5"/>
    <w:rsid w:val="00792F35"/>
    <w:rsid w:val="0079361F"/>
    <w:rsid w:val="007A0095"/>
    <w:rsid w:val="007B6691"/>
    <w:rsid w:val="007C4210"/>
    <w:rsid w:val="007C4C46"/>
    <w:rsid w:val="007C7E21"/>
    <w:rsid w:val="007E1AD8"/>
    <w:rsid w:val="007F0E55"/>
    <w:rsid w:val="007F126F"/>
    <w:rsid w:val="007F1E77"/>
    <w:rsid w:val="00801FBF"/>
    <w:rsid w:val="00813453"/>
    <w:rsid w:val="0082075A"/>
    <w:rsid w:val="00821398"/>
    <w:rsid w:val="00831B54"/>
    <w:rsid w:val="008320B3"/>
    <w:rsid w:val="00836117"/>
    <w:rsid w:val="00840CA1"/>
    <w:rsid w:val="00846439"/>
    <w:rsid w:val="00857251"/>
    <w:rsid w:val="00857CD3"/>
    <w:rsid w:val="0086113C"/>
    <w:rsid w:val="00864250"/>
    <w:rsid w:val="008740C2"/>
    <w:rsid w:val="00874121"/>
    <w:rsid w:val="00874973"/>
    <w:rsid w:val="00884DD6"/>
    <w:rsid w:val="008865EA"/>
    <w:rsid w:val="00887680"/>
    <w:rsid w:val="0089453E"/>
    <w:rsid w:val="008967B2"/>
    <w:rsid w:val="008A50F5"/>
    <w:rsid w:val="008A70AF"/>
    <w:rsid w:val="008B0955"/>
    <w:rsid w:val="008B0AAA"/>
    <w:rsid w:val="008B48B1"/>
    <w:rsid w:val="008E4365"/>
    <w:rsid w:val="008E4377"/>
    <w:rsid w:val="008F2E1D"/>
    <w:rsid w:val="009009D2"/>
    <w:rsid w:val="009045F9"/>
    <w:rsid w:val="00912A91"/>
    <w:rsid w:val="0091419F"/>
    <w:rsid w:val="0091440A"/>
    <w:rsid w:val="00926A37"/>
    <w:rsid w:val="00927222"/>
    <w:rsid w:val="00927708"/>
    <w:rsid w:val="00932FBA"/>
    <w:rsid w:val="00936B31"/>
    <w:rsid w:val="00946CC7"/>
    <w:rsid w:val="009501D1"/>
    <w:rsid w:val="009518FF"/>
    <w:rsid w:val="00953E11"/>
    <w:rsid w:val="00955ECC"/>
    <w:rsid w:val="009600ED"/>
    <w:rsid w:val="00967916"/>
    <w:rsid w:val="00970EF4"/>
    <w:rsid w:val="009855FB"/>
    <w:rsid w:val="009975CD"/>
    <w:rsid w:val="009A1A7C"/>
    <w:rsid w:val="009A3D59"/>
    <w:rsid w:val="009A3F8F"/>
    <w:rsid w:val="009C0B32"/>
    <w:rsid w:val="009C101A"/>
    <w:rsid w:val="009D70ED"/>
    <w:rsid w:val="009E1E81"/>
    <w:rsid w:val="009E3B3E"/>
    <w:rsid w:val="009E6D5D"/>
    <w:rsid w:val="009F149D"/>
    <w:rsid w:val="009F1982"/>
    <w:rsid w:val="009F32D7"/>
    <w:rsid w:val="00A14AAC"/>
    <w:rsid w:val="00A21669"/>
    <w:rsid w:val="00A313E8"/>
    <w:rsid w:val="00A31AD6"/>
    <w:rsid w:val="00A33850"/>
    <w:rsid w:val="00A466A4"/>
    <w:rsid w:val="00A4697A"/>
    <w:rsid w:val="00A53357"/>
    <w:rsid w:val="00A578F4"/>
    <w:rsid w:val="00A828E8"/>
    <w:rsid w:val="00A9773F"/>
    <w:rsid w:val="00AA16EC"/>
    <w:rsid w:val="00AA2B5E"/>
    <w:rsid w:val="00AB080E"/>
    <w:rsid w:val="00AE51A8"/>
    <w:rsid w:val="00AF54C0"/>
    <w:rsid w:val="00B20297"/>
    <w:rsid w:val="00B3220C"/>
    <w:rsid w:val="00B37ED2"/>
    <w:rsid w:val="00B60FB9"/>
    <w:rsid w:val="00B65E83"/>
    <w:rsid w:val="00B71452"/>
    <w:rsid w:val="00B81C90"/>
    <w:rsid w:val="00B943F6"/>
    <w:rsid w:val="00B94848"/>
    <w:rsid w:val="00BB2D7D"/>
    <w:rsid w:val="00BC3A09"/>
    <w:rsid w:val="00BD2D58"/>
    <w:rsid w:val="00BD3226"/>
    <w:rsid w:val="00BD5386"/>
    <w:rsid w:val="00BF0169"/>
    <w:rsid w:val="00BF10D7"/>
    <w:rsid w:val="00C26F84"/>
    <w:rsid w:val="00C37FC8"/>
    <w:rsid w:val="00C52664"/>
    <w:rsid w:val="00C52839"/>
    <w:rsid w:val="00C539F8"/>
    <w:rsid w:val="00C64E5E"/>
    <w:rsid w:val="00C6583A"/>
    <w:rsid w:val="00C732A0"/>
    <w:rsid w:val="00C828F5"/>
    <w:rsid w:val="00C93146"/>
    <w:rsid w:val="00C97CEF"/>
    <w:rsid w:val="00CA0171"/>
    <w:rsid w:val="00CA41CA"/>
    <w:rsid w:val="00CB07BC"/>
    <w:rsid w:val="00CB12FB"/>
    <w:rsid w:val="00CB66EA"/>
    <w:rsid w:val="00CC186A"/>
    <w:rsid w:val="00CC39B1"/>
    <w:rsid w:val="00CC58A1"/>
    <w:rsid w:val="00CD3C47"/>
    <w:rsid w:val="00CE0CF5"/>
    <w:rsid w:val="00CF0108"/>
    <w:rsid w:val="00CF0B36"/>
    <w:rsid w:val="00D00644"/>
    <w:rsid w:val="00D17445"/>
    <w:rsid w:val="00D22782"/>
    <w:rsid w:val="00D32807"/>
    <w:rsid w:val="00D33111"/>
    <w:rsid w:val="00D4718F"/>
    <w:rsid w:val="00D52B3A"/>
    <w:rsid w:val="00D635C4"/>
    <w:rsid w:val="00D659C4"/>
    <w:rsid w:val="00D65BC3"/>
    <w:rsid w:val="00D709AF"/>
    <w:rsid w:val="00D70E07"/>
    <w:rsid w:val="00D83EF5"/>
    <w:rsid w:val="00D85B8D"/>
    <w:rsid w:val="00DA4CC0"/>
    <w:rsid w:val="00DA6F5A"/>
    <w:rsid w:val="00DB19AC"/>
    <w:rsid w:val="00DC3300"/>
    <w:rsid w:val="00DD5C4E"/>
    <w:rsid w:val="00E01951"/>
    <w:rsid w:val="00E02B56"/>
    <w:rsid w:val="00E14A92"/>
    <w:rsid w:val="00E16B4D"/>
    <w:rsid w:val="00E215D3"/>
    <w:rsid w:val="00E264B6"/>
    <w:rsid w:val="00E30F75"/>
    <w:rsid w:val="00E31AD5"/>
    <w:rsid w:val="00E338EC"/>
    <w:rsid w:val="00E54606"/>
    <w:rsid w:val="00E60438"/>
    <w:rsid w:val="00E62181"/>
    <w:rsid w:val="00E63836"/>
    <w:rsid w:val="00E7716C"/>
    <w:rsid w:val="00E82214"/>
    <w:rsid w:val="00EA793E"/>
    <w:rsid w:val="00EB2031"/>
    <w:rsid w:val="00EC0D13"/>
    <w:rsid w:val="00EC36A9"/>
    <w:rsid w:val="00EE744E"/>
    <w:rsid w:val="00EF7A52"/>
    <w:rsid w:val="00F04E41"/>
    <w:rsid w:val="00F06C6A"/>
    <w:rsid w:val="00F078DF"/>
    <w:rsid w:val="00F17654"/>
    <w:rsid w:val="00F27572"/>
    <w:rsid w:val="00F369C1"/>
    <w:rsid w:val="00F40ED2"/>
    <w:rsid w:val="00F44319"/>
    <w:rsid w:val="00F47432"/>
    <w:rsid w:val="00F52E5E"/>
    <w:rsid w:val="00F5584A"/>
    <w:rsid w:val="00F61833"/>
    <w:rsid w:val="00F63541"/>
    <w:rsid w:val="00F73EF4"/>
    <w:rsid w:val="00F80F48"/>
    <w:rsid w:val="00F9659E"/>
    <w:rsid w:val="00F967FA"/>
    <w:rsid w:val="00FB33D0"/>
    <w:rsid w:val="00FC52FE"/>
    <w:rsid w:val="00FE3D40"/>
    <w:rsid w:val="00FE52DE"/>
    <w:rsid w:val="00FF6D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2E433"/>
  <w15:chartTrackingRefBased/>
  <w15:docId w15:val="{C1056A98-2E2D-428E-9C28-6948BAD8B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66D2"/>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uiPriority w:val="1"/>
    <w:semiHidden/>
    <w:unhideWhenUsed/>
  </w:style>
  <w:style w:type="paragraph" w:styleId="a4">
    <w:name w:val="header"/>
    <w:basedOn w:val="a"/>
    <w:link w:val="a5"/>
    <w:uiPriority w:val="99"/>
    <w:unhideWhenUsed/>
    <w:rsid w:val="00F80F48"/>
    <w:pPr>
      <w:tabs>
        <w:tab w:val="center" w:pos="4677"/>
        <w:tab w:val="right" w:pos="9355"/>
      </w:tabs>
      <w:spacing w:after="0" w:line="240" w:lineRule="auto"/>
    </w:pPr>
  </w:style>
  <w:style w:type="character" w:customStyle="1" w:styleId="a5">
    <w:name w:val="Верхній колонтитул Знак"/>
    <w:basedOn w:val="a3"/>
    <w:link w:val="a4"/>
    <w:uiPriority w:val="99"/>
    <w:rsid w:val="00F80F48"/>
  </w:style>
  <w:style w:type="paragraph" w:styleId="a6">
    <w:name w:val="footer"/>
    <w:basedOn w:val="a"/>
    <w:link w:val="a7"/>
    <w:uiPriority w:val="99"/>
    <w:unhideWhenUsed/>
    <w:rsid w:val="00F80F48"/>
    <w:pPr>
      <w:tabs>
        <w:tab w:val="center" w:pos="4677"/>
        <w:tab w:val="right" w:pos="9355"/>
      </w:tabs>
      <w:spacing w:after="0" w:line="240" w:lineRule="auto"/>
    </w:pPr>
  </w:style>
  <w:style w:type="character" w:customStyle="1" w:styleId="a7">
    <w:name w:val="Нижній колонтитул Знак"/>
    <w:basedOn w:val="a3"/>
    <w:link w:val="a6"/>
    <w:uiPriority w:val="99"/>
    <w:rsid w:val="00F80F48"/>
  </w:style>
  <w:style w:type="table" w:styleId="a8">
    <w:name w:val="Table Grid"/>
    <w:basedOn w:val="a1"/>
    <w:uiPriority w:val="39"/>
    <w:rsid w:val="00352E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5584A"/>
    <w:pPr>
      <w:spacing w:after="0" w:line="240" w:lineRule="auto"/>
    </w:pPr>
    <w:rPr>
      <w:rFonts w:ascii="Segoe UI" w:hAnsi="Segoe UI" w:cs="Segoe UI"/>
      <w:sz w:val="18"/>
      <w:szCs w:val="18"/>
    </w:rPr>
  </w:style>
  <w:style w:type="character" w:customStyle="1" w:styleId="aa">
    <w:name w:val="Текст у виносці Знак"/>
    <w:link w:val="a9"/>
    <w:uiPriority w:val="99"/>
    <w:semiHidden/>
    <w:rsid w:val="00F5584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9F324-CA66-4E9B-AE81-F04B8E941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2317</Words>
  <Characters>1322</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 Станкевич</dc:creator>
  <cp:keywords/>
  <dc:description/>
  <cp:lastModifiedBy>Борис Пиж</cp:lastModifiedBy>
  <cp:revision>2</cp:revision>
  <cp:lastPrinted>2025-11-18T12:22:00Z</cp:lastPrinted>
  <dcterms:created xsi:type="dcterms:W3CDTF">2025-11-18T16:40:00Z</dcterms:created>
  <dcterms:modified xsi:type="dcterms:W3CDTF">2025-11-18T16:40:00Z</dcterms:modified>
</cp:coreProperties>
</file>