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68C14" w14:textId="77777777" w:rsidR="00CE3B42" w:rsidRPr="00254D81" w:rsidRDefault="00CE3B42" w:rsidP="00CE3B42">
      <w:pPr>
        <w:jc w:val="center"/>
        <w:rPr>
          <w:b/>
          <w:sz w:val="28"/>
          <w:szCs w:val="28"/>
        </w:rPr>
      </w:pPr>
      <w:r w:rsidRPr="00254D81">
        <w:rPr>
          <w:b/>
          <w:sz w:val="28"/>
          <w:szCs w:val="28"/>
        </w:rPr>
        <w:t>ПОРІВНЯЛЬНА ТАБЛИЦЯ</w:t>
      </w:r>
    </w:p>
    <w:p w14:paraId="70B3E065" w14:textId="4C9C9925" w:rsidR="00BA4638" w:rsidRPr="000A5D8B" w:rsidRDefault="00CE3B42" w:rsidP="00BA4638">
      <w:pPr>
        <w:ind w:left="-142"/>
        <w:jc w:val="center"/>
        <w:rPr>
          <w:b/>
          <w:bCs/>
          <w:sz w:val="28"/>
          <w:szCs w:val="28"/>
        </w:rPr>
      </w:pPr>
      <w:r w:rsidRPr="00254D81">
        <w:rPr>
          <w:b/>
          <w:sz w:val="28"/>
          <w:szCs w:val="28"/>
        </w:rPr>
        <w:t xml:space="preserve">до </w:t>
      </w:r>
      <w:r w:rsidR="00BA4638" w:rsidRPr="000A5D8B">
        <w:rPr>
          <w:b/>
          <w:bCs/>
          <w:sz w:val="28"/>
          <w:szCs w:val="28"/>
        </w:rPr>
        <w:t xml:space="preserve">проєкту рішення, що має ознаки регуляторного акта, </w:t>
      </w:r>
      <w:r w:rsidR="00BA4638" w:rsidRPr="000A5D8B">
        <w:rPr>
          <w:sz w:val="28"/>
          <w:szCs w:val="28"/>
        </w:rPr>
        <w:t>–</w:t>
      </w:r>
      <w:r w:rsidR="00BA4638" w:rsidRPr="000A5D8B">
        <w:rPr>
          <w:b/>
          <w:bCs/>
          <w:sz w:val="28"/>
          <w:szCs w:val="28"/>
        </w:rPr>
        <w:t xml:space="preserve"> постанови НКРЕКП </w:t>
      </w:r>
    </w:p>
    <w:p w14:paraId="09201B07" w14:textId="79F134EF" w:rsidR="00095741" w:rsidRDefault="00095741" w:rsidP="00BA4638">
      <w:pPr>
        <w:ind w:left="-142"/>
        <w:jc w:val="center"/>
        <w:rPr>
          <w:b/>
          <w:bCs/>
          <w:sz w:val="28"/>
          <w:szCs w:val="28"/>
        </w:rPr>
      </w:pPr>
      <w:r w:rsidRPr="00095741">
        <w:rPr>
          <w:b/>
          <w:bCs/>
          <w:sz w:val="28"/>
          <w:szCs w:val="28"/>
        </w:rPr>
        <w:t>«Про внесення змін</w:t>
      </w:r>
      <w:r w:rsidR="009A77FC">
        <w:rPr>
          <w:b/>
          <w:bCs/>
          <w:sz w:val="28"/>
          <w:szCs w:val="28"/>
        </w:rPr>
        <w:t>и</w:t>
      </w:r>
      <w:r w:rsidRPr="00095741">
        <w:rPr>
          <w:b/>
          <w:bCs/>
          <w:sz w:val="28"/>
          <w:szCs w:val="28"/>
        </w:rPr>
        <w:t xml:space="preserve"> до Порядку формування ціни, за якою здійснюється постачання електричної енергії </w:t>
      </w:r>
    </w:p>
    <w:p w14:paraId="2FC8C597" w14:textId="5D4A5EB5" w:rsidR="00CE3B42" w:rsidRDefault="00095741" w:rsidP="00BA4638">
      <w:pPr>
        <w:ind w:left="-142"/>
        <w:jc w:val="center"/>
        <w:rPr>
          <w:b/>
          <w:sz w:val="28"/>
          <w:szCs w:val="28"/>
        </w:rPr>
      </w:pPr>
      <w:r w:rsidRPr="00095741">
        <w:rPr>
          <w:b/>
          <w:bCs/>
          <w:sz w:val="28"/>
          <w:szCs w:val="28"/>
        </w:rPr>
        <w:t>споживачам постачальником «останньої надії»</w:t>
      </w:r>
      <w:r w:rsidR="00CE3B42" w:rsidRPr="00254D81">
        <w:rPr>
          <w:b/>
          <w:sz w:val="28"/>
          <w:szCs w:val="28"/>
        </w:rPr>
        <w:t>*</w:t>
      </w:r>
    </w:p>
    <w:p w14:paraId="67B46746" w14:textId="77777777" w:rsidR="000877E1" w:rsidRPr="00F233B2" w:rsidRDefault="000877E1" w:rsidP="00BA4638">
      <w:pPr>
        <w:ind w:left="-142"/>
        <w:jc w:val="center"/>
        <w:rPr>
          <w:b/>
          <w:bCs/>
          <w:sz w:val="24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5"/>
        <w:gridCol w:w="7726"/>
      </w:tblGrid>
      <w:tr w:rsidR="00CE3B42" w:rsidRPr="00254D81" w14:paraId="0E9AB389" w14:textId="77777777" w:rsidTr="005E21FB">
        <w:trPr>
          <w:trHeight w:val="70"/>
        </w:trPr>
        <w:tc>
          <w:tcPr>
            <w:tcW w:w="7725" w:type="dxa"/>
            <w:vAlign w:val="center"/>
          </w:tcPr>
          <w:p w14:paraId="1E94182C" w14:textId="77777777" w:rsidR="00CE3B42" w:rsidRPr="00254D81" w:rsidRDefault="00CE3B42" w:rsidP="005E21FB">
            <w:pPr>
              <w:jc w:val="center"/>
              <w:rPr>
                <w:b/>
                <w:sz w:val="28"/>
                <w:szCs w:val="28"/>
              </w:rPr>
            </w:pPr>
            <w:r w:rsidRPr="00254D81">
              <w:rPr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726" w:type="dxa"/>
            <w:vAlign w:val="center"/>
          </w:tcPr>
          <w:p w14:paraId="327005C9" w14:textId="77777777" w:rsidR="00CE3B42" w:rsidRPr="00254D81" w:rsidRDefault="00CE3B42" w:rsidP="005E21FB">
            <w:pPr>
              <w:jc w:val="center"/>
              <w:rPr>
                <w:b/>
                <w:sz w:val="28"/>
                <w:szCs w:val="28"/>
              </w:rPr>
            </w:pPr>
            <w:r w:rsidRPr="00254D81">
              <w:rPr>
                <w:b/>
                <w:sz w:val="28"/>
                <w:szCs w:val="28"/>
              </w:rPr>
              <w:t>Запропоновані зміни</w:t>
            </w:r>
          </w:p>
        </w:tc>
      </w:tr>
      <w:tr w:rsidR="00095741" w:rsidRPr="00254D81" w14:paraId="79196C31" w14:textId="77777777" w:rsidTr="00F03841">
        <w:trPr>
          <w:trHeight w:val="70"/>
        </w:trPr>
        <w:tc>
          <w:tcPr>
            <w:tcW w:w="15451" w:type="dxa"/>
            <w:gridSpan w:val="2"/>
          </w:tcPr>
          <w:p w14:paraId="605A0908" w14:textId="2C6A03FB" w:rsidR="00095741" w:rsidRPr="00095741" w:rsidRDefault="00095741" w:rsidP="00084A5C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095741">
              <w:rPr>
                <w:b/>
                <w:sz w:val="28"/>
                <w:szCs w:val="28"/>
              </w:rPr>
              <w:t xml:space="preserve">2. Розрахунок цін, за якими здійснюється постачання електричної енергії постачальником </w:t>
            </w:r>
            <w:r>
              <w:rPr>
                <w:b/>
                <w:sz w:val="28"/>
                <w:szCs w:val="28"/>
              </w:rPr>
              <w:t>«</w:t>
            </w:r>
            <w:r w:rsidRPr="00095741">
              <w:rPr>
                <w:b/>
                <w:sz w:val="28"/>
                <w:szCs w:val="28"/>
              </w:rPr>
              <w:t>останньої надії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143BE6" w:rsidRPr="00254D81" w14:paraId="79B6ED70" w14:textId="77777777" w:rsidTr="005E21FB">
        <w:trPr>
          <w:trHeight w:val="70"/>
        </w:trPr>
        <w:tc>
          <w:tcPr>
            <w:tcW w:w="7725" w:type="dxa"/>
          </w:tcPr>
          <w:p w14:paraId="071732AA" w14:textId="12C70BB5" w:rsidR="00143BE6" w:rsidRPr="00746515" w:rsidRDefault="00095741" w:rsidP="00746515">
            <w:pPr>
              <w:ind w:firstLine="626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 xml:space="preserve">2.1. </w:t>
            </w:r>
            <w:r w:rsidR="005336B8" w:rsidRPr="005336B8">
              <w:rPr>
                <w:sz w:val="27"/>
                <w:szCs w:val="27"/>
              </w:rPr>
              <w:t xml:space="preserve">Ціна, за якою здійснюється постачання електричної енергії постачальником "останньої надії", для побутових споживачів та непобутових споживачів, у тому числі малих непобутових споживачів </w:t>
            </w:r>
            <w:hyperlink r:id="rId6" w:tgtFrame="_blank" w:history="1">
              <w:r w:rsidR="005336B8" w:rsidRPr="005336B8">
                <w:rPr>
                  <w:sz w:val="27"/>
                  <w:szCs w:val="27"/>
                </w:rPr>
                <w:t>(крім випадків застосування фіксованих цін на електричну енергію за рішенням Кабінету Міністрів України в рамках покладення спеціальних обов'язків на постачальника "останньої надії")</w:t>
              </w:r>
            </w:hyperlink>
            <w:r w:rsidR="005336B8" w:rsidRPr="005336B8">
              <w:rPr>
                <w:sz w:val="27"/>
                <w:szCs w:val="27"/>
              </w:rPr>
              <w:t>, приєднаних до електричних мереж на території ліцензованої діяльності оператора системи розподілу / МСР, приєднаної до системи розподілу, розраховується за формулою</w:t>
            </w:r>
          </w:p>
          <w:p w14:paraId="578760A8" w14:textId="30506BB2" w:rsidR="00095741" w:rsidRPr="00746515" w:rsidRDefault="009A77FC" w:rsidP="000877E1">
            <w:pPr>
              <w:jc w:val="both"/>
              <w:rPr>
                <w:sz w:val="27"/>
                <w:szCs w:val="27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 xml:space="preserve">ОН 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БР/РДН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7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РДН</m:t>
                  </m:r>
                </m:sup>
              </m:sSub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Пер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 xml:space="preserve">ОН </m:t>
                  </m:r>
                </m:sup>
              </m:sSup>
            </m:oMath>
            <w:r w:rsidR="00095741" w:rsidRPr="00746515">
              <w:rPr>
                <w:sz w:val="27"/>
                <w:szCs w:val="27"/>
              </w:rPr>
              <w:t>, грн/МВт∙год,             (1)</w:t>
            </w:r>
          </w:p>
          <w:p w14:paraId="20E80DF3" w14:textId="63C29019" w:rsidR="00095741" w:rsidRPr="00746515" w:rsidRDefault="00B061E8" w:rsidP="005336B8">
            <w:pPr>
              <w:ind w:firstLine="626"/>
              <w:jc w:val="both"/>
              <w:rPr>
                <w:sz w:val="27"/>
                <w:szCs w:val="27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БР/РДН</m:t>
                  </m:r>
                </m:sup>
              </m:sSup>
            </m:oMath>
            <w:r w:rsidR="00095741" w:rsidRPr="00746515">
              <w:rPr>
                <w:sz w:val="27"/>
                <w:szCs w:val="27"/>
              </w:rPr>
              <w:t xml:space="preserve"> – </w:t>
            </w:r>
            <w:hyperlink r:id="rId7" w:tgtFrame="_blank" w:history="1">
              <w:r w:rsidR="005336B8" w:rsidRPr="005336B8">
                <w:rPr>
                  <w:sz w:val="27"/>
                  <w:szCs w:val="27"/>
                </w:rPr>
                <w:t xml:space="preserve">коефіцієнт, який враховує ризики від коливання цін на балансуючому ринку та ринку "на добу наперед", та становить </w:t>
              </w:r>
              <w:r w:rsidR="005336B8" w:rsidRPr="009A77FC">
                <w:rPr>
                  <w:sz w:val="27"/>
                  <w:szCs w:val="27"/>
                  <w:u w:val="single"/>
                </w:rPr>
                <w:t>1,25</w:t>
              </w:r>
              <w:r w:rsidR="005336B8" w:rsidRPr="005336B8">
                <w:rPr>
                  <w:sz w:val="27"/>
                  <w:szCs w:val="27"/>
                </w:rPr>
                <w:t xml:space="preserve"> відносних одиниць (у період з жовтня по грудень 2024 року (включно) </w:t>
              </w:r>
              <w:r w:rsidR="005336B8" w:rsidRPr="00746515">
                <w:rPr>
                  <w:sz w:val="27"/>
                  <w:szCs w:val="27"/>
                </w:rPr>
                <w:t>–</w:t>
              </w:r>
              <w:r w:rsidR="005336B8">
                <w:rPr>
                  <w:sz w:val="27"/>
                  <w:szCs w:val="27"/>
                </w:rPr>
                <w:t xml:space="preserve"> </w:t>
              </w:r>
              <w:r w:rsidR="005336B8" w:rsidRPr="005336B8">
                <w:rPr>
                  <w:sz w:val="27"/>
                  <w:szCs w:val="27"/>
                </w:rPr>
                <w:t>1,5 відносних одиниць);</w:t>
              </w:r>
            </w:hyperlink>
          </w:p>
          <w:p w14:paraId="1FCDD1A9" w14:textId="520C0426" w:rsidR="00095741" w:rsidRPr="00746515" w:rsidRDefault="00095741" w:rsidP="005336B8">
            <w:pPr>
              <w:ind w:firstLine="626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>…</w:t>
            </w:r>
          </w:p>
        </w:tc>
        <w:tc>
          <w:tcPr>
            <w:tcW w:w="7726" w:type="dxa"/>
          </w:tcPr>
          <w:p w14:paraId="78523346" w14:textId="77777777" w:rsidR="005336B8" w:rsidRPr="00746515" w:rsidRDefault="005336B8" w:rsidP="005336B8">
            <w:pPr>
              <w:ind w:firstLine="626"/>
              <w:jc w:val="both"/>
              <w:rPr>
                <w:sz w:val="27"/>
                <w:szCs w:val="27"/>
              </w:rPr>
            </w:pPr>
            <w:r w:rsidRPr="00746515">
              <w:rPr>
                <w:sz w:val="27"/>
                <w:szCs w:val="27"/>
              </w:rPr>
              <w:t xml:space="preserve">2.1. </w:t>
            </w:r>
            <w:r w:rsidRPr="005336B8">
              <w:rPr>
                <w:sz w:val="27"/>
                <w:szCs w:val="27"/>
              </w:rPr>
              <w:t xml:space="preserve">Ціна, за якою здійснюється постачання електричної енергії постачальником "останньої надії", для побутових споживачів та непобутових споживачів, у тому числі малих непобутових споживачів </w:t>
            </w:r>
            <w:hyperlink r:id="rId8" w:tgtFrame="_blank" w:history="1">
              <w:r w:rsidRPr="005336B8">
                <w:rPr>
                  <w:sz w:val="27"/>
                  <w:szCs w:val="27"/>
                </w:rPr>
                <w:t>(крім випадків застосування фіксованих цін на електричну енергію за рішенням Кабінету Міністрів України в рамках покладення спеціальних обов'язків на постачальника "останньої надії")</w:t>
              </w:r>
            </w:hyperlink>
            <w:r w:rsidRPr="005336B8">
              <w:rPr>
                <w:sz w:val="27"/>
                <w:szCs w:val="27"/>
              </w:rPr>
              <w:t>, приєднаних до електричних мереж на території ліцензованої діяльності оператора системи розподілу / МСР, приєднаної до системи розподілу, розраховується за формулою</w:t>
            </w:r>
            <w:bookmarkStart w:id="0" w:name="_GoBack"/>
            <w:bookmarkEnd w:id="0"/>
          </w:p>
          <w:p w14:paraId="0485F580" w14:textId="7D0E6A1A" w:rsidR="005336B8" w:rsidRPr="00746515" w:rsidRDefault="009A77FC" w:rsidP="005336B8">
            <w:pPr>
              <w:jc w:val="both"/>
              <w:rPr>
                <w:sz w:val="27"/>
                <w:szCs w:val="27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 xml:space="preserve">ОН 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БР/РДН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7"/>
                    </w:rPr>
                    <m:t>ф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РДН</m:t>
                  </m:r>
                </m:sup>
              </m:sSub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Пер</m:t>
                  </m:r>
                </m:sup>
              </m:sSup>
              <m:r>
                <w:rPr>
                  <w:rFonts w:ascii="Cambria Math" w:hAnsi="Cambria Math"/>
                  <w:sz w:val="28"/>
                  <w:szCs w:val="27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 xml:space="preserve">ОН </m:t>
                  </m:r>
                </m:sup>
              </m:sSup>
            </m:oMath>
            <w:r w:rsidR="005336B8" w:rsidRPr="00746515">
              <w:rPr>
                <w:sz w:val="27"/>
                <w:szCs w:val="27"/>
              </w:rPr>
              <w:t>, грн/МВт∙год,             (1)</w:t>
            </w:r>
          </w:p>
          <w:p w14:paraId="2227E6B9" w14:textId="5DFF03B2" w:rsidR="005336B8" w:rsidRPr="00746515" w:rsidRDefault="00B061E8" w:rsidP="005336B8">
            <w:pPr>
              <w:ind w:firstLine="626"/>
              <w:jc w:val="both"/>
              <w:rPr>
                <w:sz w:val="27"/>
                <w:szCs w:val="27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7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7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7"/>
                    </w:rPr>
                    <m:t>БР/РДН</m:t>
                  </m:r>
                </m:sup>
              </m:sSup>
            </m:oMath>
            <w:r w:rsidR="005336B8" w:rsidRPr="00746515">
              <w:rPr>
                <w:sz w:val="27"/>
                <w:szCs w:val="27"/>
              </w:rPr>
              <w:t xml:space="preserve"> – </w:t>
            </w:r>
            <w:hyperlink r:id="rId9" w:tgtFrame="_blank" w:history="1">
              <w:r w:rsidR="005336B8" w:rsidRPr="005336B8">
                <w:rPr>
                  <w:sz w:val="27"/>
                  <w:szCs w:val="27"/>
                </w:rPr>
                <w:t xml:space="preserve">коефіцієнт, який враховує ризики від коливання цін на балансуючому ринку та ринку "на добу наперед", та становить </w:t>
              </w:r>
              <w:r w:rsidR="005336B8" w:rsidRPr="005336B8">
                <w:rPr>
                  <w:b/>
                  <w:sz w:val="27"/>
                  <w:szCs w:val="27"/>
                </w:rPr>
                <w:t xml:space="preserve">1,3 </w:t>
              </w:r>
              <w:r w:rsidR="005336B8" w:rsidRPr="005336B8">
                <w:rPr>
                  <w:sz w:val="27"/>
                  <w:szCs w:val="27"/>
                </w:rPr>
                <w:t xml:space="preserve">відносних одиниць (у період з жовтня по грудень 2024 року (включно) </w:t>
              </w:r>
              <w:r w:rsidR="005336B8" w:rsidRPr="00746515">
                <w:rPr>
                  <w:sz w:val="27"/>
                  <w:szCs w:val="27"/>
                </w:rPr>
                <w:t>–</w:t>
              </w:r>
              <w:r w:rsidR="005336B8">
                <w:rPr>
                  <w:sz w:val="27"/>
                  <w:szCs w:val="27"/>
                </w:rPr>
                <w:t xml:space="preserve"> </w:t>
              </w:r>
              <w:r w:rsidR="005336B8" w:rsidRPr="005336B8">
                <w:rPr>
                  <w:sz w:val="27"/>
                  <w:szCs w:val="27"/>
                </w:rPr>
                <w:t>1,5 відносних одиниць);</w:t>
              </w:r>
            </w:hyperlink>
          </w:p>
          <w:p w14:paraId="35F100C2" w14:textId="067407E2" w:rsidR="004A67B6" w:rsidRPr="00746515" w:rsidRDefault="00746515" w:rsidP="007B6168">
            <w:pPr>
              <w:jc w:val="both"/>
              <w:rPr>
                <w:sz w:val="27"/>
                <w:szCs w:val="27"/>
                <w:lang w:val="en-US"/>
              </w:rPr>
            </w:pPr>
            <w:r w:rsidRPr="00746515">
              <w:rPr>
                <w:sz w:val="27"/>
                <w:szCs w:val="27"/>
                <w:lang w:val="en-US"/>
              </w:rPr>
              <w:t>…</w:t>
            </w:r>
          </w:p>
        </w:tc>
      </w:tr>
    </w:tbl>
    <w:p w14:paraId="258F5915" w14:textId="40FDAFFB" w:rsidR="00191A8C" w:rsidRPr="004D271A" w:rsidRDefault="003B794C" w:rsidP="004D271A">
      <w:pPr>
        <w:pStyle w:val="2"/>
        <w:rPr>
          <w:sz w:val="20"/>
        </w:rPr>
      </w:pPr>
      <w:r w:rsidRPr="00254D81">
        <w:rPr>
          <w:sz w:val="20"/>
        </w:rPr>
        <w:t xml:space="preserve">* – зміни виділені за принципом: те, що підлягає виключенню (зміні) – </w:t>
      </w:r>
      <w:r w:rsidRPr="00254D81">
        <w:rPr>
          <w:sz w:val="20"/>
          <w:u w:val="single"/>
        </w:rPr>
        <w:t>підкреслено</w:t>
      </w:r>
      <w:r w:rsidRPr="00254D81">
        <w:rPr>
          <w:sz w:val="20"/>
        </w:rPr>
        <w:t xml:space="preserve">; новий текст – </w:t>
      </w:r>
      <w:r w:rsidRPr="00254D81">
        <w:rPr>
          <w:b/>
          <w:sz w:val="20"/>
        </w:rPr>
        <w:t>напівжирним шрифтом</w:t>
      </w:r>
      <w:r w:rsidRPr="00254D81">
        <w:rPr>
          <w:sz w:val="20"/>
        </w:rPr>
        <w:t>.</w:t>
      </w:r>
    </w:p>
    <w:sectPr w:rsidR="00191A8C" w:rsidRPr="004D271A" w:rsidSect="007B4952">
      <w:footerReference w:type="default" r:id="rId10"/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CB222" w14:textId="77777777" w:rsidR="00B061E8" w:rsidRDefault="00B061E8" w:rsidP="000877E1">
      <w:r>
        <w:separator/>
      </w:r>
    </w:p>
  </w:endnote>
  <w:endnote w:type="continuationSeparator" w:id="0">
    <w:p w14:paraId="1A8EE828" w14:textId="77777777" w:rsidR="00B061E8" w:rsidRDefault="00B061E8" w:rsidP="0008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3188168"/>
      <w:docPartObj>
        <w:docPartGallery w:val="Page Numbers (Bottom of Page)"/>
        <w:docPartUnique/>
      </w:docPartObj>
    </w:sdtPr>
    <w:sdtEndPr/>
    <w:sdtContent>
      <w:p w14:paraId="39BD3629" w14:textId="147B3B19" w:rsidR="000877E1" w:rsidRDefault="000877E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9CC551" w14:textId="77777777" w:rsidR="000877E1" w:rsidRDefault="000877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1E408" w14:textId="77777777" w:rsidR="00B061E8" w:rsidRDefault="00B061E8" w:rsidP="000877E1">
      <w:r>
        <w:separator/>
      </w:r>
    </w:p>
  </w:footnote>
  <w:footnote w:type="continuationSeparator" w:id="0">
    <w:p w14:paraId="6E41146B" w14:textId="77777777" w:rsidR="00B061E8" w:rsidRDefault="00B061E8" w:rsidP="0008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8CB"/>
    <w:rsid w:val="0000133A"/>
    <w:rsid w:val="00025287"/>
    <w:rsid w:val="00035232"/>
    <w:rsid w:val="00044335"/>
    <w:rsid w:val="00055F74"/>
    <w:rsid w:val="00084A5C"/>
    <w:rsid w:val="000877E1"/>
    <w:rsid w:val="00095741"/>
    <w:rsid w:val="000D1AFC"/>
    <w:rsid w:val="00131FDD"/>
    <w:rsid w:val="001356E7"/>
    <w:rsid w:val="00143BE6"/>
    <w:rsid w:val="001549ED"/>
    <w:rsid w:val="00191A8C"/>
    <w:rsid w:val="001A3C93"/>
    <w:rsid w:val="001A7369"/>
    <w:rsid w:val="001C6DE0"/>
    <w:rsid w:val="0022184C"/>
    <w:rsid w:val="00232FB6"/>
    <w:rsid w:val="0023556E"/>
    <w:rsid w:val="002526E4"/>
    <w:rsid w:val="00255425"/>
    <w:rsid w:val="0029689C"/>
    <w:rsid w:val="002A29E3"/>
    <w:rsid w:val="002C4263"/>
    <w:rsid w:val="002E76C2"/>
    <w:rsid w:val="002F1C4C"/>
    <w:rsid w:val="003172BB"/>
    <w:rsid w:val="00363114"/>
    <w:rsid w:val="003B794C"/>
    <w:rsid w:val="003C21B8"/>
    <w:rsid w:val="003D0470"/>
    <w:rsid w:val="003D37D2"/>
    <w:rsid w:val="003E10E7"/>
    <w:rsid w:val="003E14B5"/>
    <w:rsid w:val="003F2F2F"/>
    <w:rsid w:val="004009B5"/>
    <w:rsid w:val="00402666"/>
    <w:rsid w:val="00462A67"/>
    <w:rsid w:val="004A26B4"/>
    <w:rsid w:val="004A67B6"/>
    <w:rsid w:val="004D271A"/>
    <w:rsid w:val="00524F33"/>
    <w:rsid w:val="00533343"/>
    <w:rsid w:val="005336B8"/>
    <w:rsid w:val="00553B4C"/>
    <w:rsid w:val="00583BB6"/>
    <w:rsid w:val="005908CB"/>
    <w:rsid w:val="00597D0B"/>
    <w:rsid w:val="005C5E80"/>
    <w:rsid w:val="005D646C"/>
    <w:rsid w:val="005E21FB"/>
    <w:rsid w:val="0060619F"/>
    <w:rsid w:val="00610693"/>
    <w:rsid w:val="00623C55"/>
    <w:rsid w:val="006A15E4"/>
    <w:rsid w:val="006B77F9"/>
    <w:rsid w:val="006E55BB"/>
    <w:rsid w:val="007160C1"/>
    <w:rsid w:val="00744D45"/>
    <w:rsid w:val="00746515"/>
    <w:rsid w:val="00793156"/>
    <w:rsid w:val="007B34B7"/>
    <w:rsid w:val="007B4615"/>
    <w:rsid w:val="007B4952"/>
    <w:rsid w:val="007B6168"/>
    <w:rsid w:val="007E05BF"/>
    <w:rsid w:val="007E4CAE"/>
    <w:rsid w:val="007F2C68"/>
    <w:rsid w:val="00825D95"/>
    <w:rsid w:val="00875529"/>
    <w:rsid w:val="0089093E"/>
    <w:rsid w:val="00894343"/>
    <w:rsid w:val="008C5989"/>
    <w:rsid w:val="008C5AFD"/>
    <w:rsid w:val="009108C4"/>
    <w:rsid w:val="009235B3"/>
    <w:rsid w:val="00927178"/>
    <w:rsid w:val="00936592"/>
    <w:rsid w:val="0094426A"/>
    <w:rsid w:val="0096088A"/>
    <w:rsid w:val="00970D5E"/>
    <w:rsid w:val="009779C6"/>
    <w:rsid w:val="00993F4F"/>
    <w:rsid w:val="009A77FC"/>
    <w:rsid w:val="009E28F2"/>
    <w:rsid w:val="009E6239"/>
    <w:rsid w:val="009F3954"/>
    <w:rsid w:val="00A20B6C"/>
    <w:rsid w:val="00A23D82"/>
    <w:rsid w:val="00A30160"/>
    <w:rsid w:val="00A37D76"/>
    <w:rsid w:val="00A436E4"/>
    <w:rsid w:val="00A91A46"/>
    <w:rsid w:val="00AA21E8"/>
    <w:rsid w:val="00AB6E73"/>
    <w:rsid w:val="00AD3095"/>
    <w:rsid w:val="00B00996"/>
    <w:rsid w:val="00B051A5"/>
    <w:rsid w:val="00B061E8"/>
    <w:rsid w:val="00B160DC"/>
    <w:rsid w:val="00B21B46"/>
    <w:rsid w:val="00B25DCE"/>
    <w:rsid w:val="00B56D47"/>
    <w:rsid w:val="00B653AB"/>
    <w:rsid w:val="00BA4638"/>
    <w:rsid w:val="00BC3280"/>
    <w:rsid w:val="00BC6950"/>
    <w:rsid w:val="00BD3162"/>
    <w:rsid w:val="00BD3EDE"/>
    <w:rsid w:val="00BE00A4"/>
    <w:rsid w:val="00C00C70"/>
    <w:rsid w:val="00C17356"/>
    <w:rsid w:val="00C45830"/>
    <w:rsid w:val="00C54F1C"/>
    <w:rsid w:val="00C670A1"/>
    <w:rsid w:val="00C950AA"/>
    <w:rsid w:val="00CB0A9B"/>
    <w:rsid w:val="00CB461A"/>
    <w:rsid w:val="00CB6DB1"/>
    <w:rsid w:val="00CE3B42"/>
    <w:rsid w:val="00D1320D"/>
    <w:rsid w:val="00D178EA"/>
    <w:rsid w:val="00D863CB"/>
    <w:rsid w:val="00DE5658"/>
    <w:rsid w:val="00E245ED"/>
    <w:rsid w:val="00EA2D44"/>
    <w:rsid w:val="00EA56DD"/>
    <w:rsid w:val="00EA6DCB"/>
    <w:rsid w:val="00F0555E"/>
    <w:rsid w:val="00F233B2"/>
    <w:rsid w:val="00F64FAB"/>
    <w:rsid w:val="00F733D8"/>
    <w:rsid w:val="00FA00C9"/>
    <w:rsid w:val="00FC476D"/>
    <w:rsid w:val="00FD12A7"/>
    <w:rsid w:val="00FF33A4"/>
    <w:rsid w:val="00FF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2B9D"/>
  <w15:chartTrackingRefBased/>
  <w15:docId w15:val="{50EC48CF-C86F-46A9-9460-32F14FAA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A15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57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15E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1C6DE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6DE0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3B794C"/>
    <w:pPr>
      <w:jc w:val="both"/>
    </w:pPr>
    <w:rPr>
      <w:sz w:val="28"/>
    </w:rPr>
  </w:style>
  <w:style w:type="character" w:customStyle="1" w:styleId="20">
    <w:name w:val="Основний текст 2 Знак"/>
    <w:basedOn w:val="a0"/>
    <w:link w:val="2"/>
    <w:rsid w:val="003B79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ий текст"/>
    <w:basedOn w:val="a"/>
    <w:rsid w:val="004A67B6"/>
    <w:pPr>
      <w:spacing w:before="120"/>
      <w:ind w:firstLine="567"/>
      <w:jc w:val="both"/>
    </w:pPr>
    <w:rPr>
      <w:rFonts w:ascii="Antiqua" w:hAnsi="Antiqua"/>
      <w:sz w:val="26"/>
    </w:rPr>
  </w:style>
  <w:style w:type="paragraph" w:styleId="a6">
    <w:name w:val="List Paragraph"/>
    <w:basedOn w:val="a"/>
    <w:uiPriority w:val="34"/>
    <w:qFormat/>
    <w:rsid w:val="002A29E3"/>
    <w:pPr>
      <w:ind w:left="720"/>
      <w:contextualSpacing/>
    </w:pPr>
    <w:rPr>
      <w:sz w:val="28"/>
      <w:lang w:val="ru-RU"/>
    </w:rPr>
  </w:style>
  <w:style w:type="paragraph" w:styleId="a7">
    <w:name w:val="header"/>
    <w:basedOn w:val="a"/>
    <w:link w:val="a8"/>
    <w:uiPriority w:val="99"/>
    <w:unhideWhenUsed/>
    <w:rsid w:val="000877E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877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877E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877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957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6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-pro.ligazakon.net/document/GK49776?ed=2021_10_20&amp;an=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-pro.ligazakon.net/document/GK57321?ed=2024_09_24&amp;an=1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-pro.ligazakon.net/document/GK49776?ed=2021_10_20&amp;an=2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zakon-pro.ligazakon.net/document/GK57321?ed=2024_09_24&amp;an=1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Анна Біленко</cp:lastModifiedBy>
  <cp:revision>104</cp:revision>
  <cp:lastPrinted>2021-10-12T12:54:00Z</cp:lastPrinted>
  <dcterms:created xsi:type="dcterms:W3CDTF">2021-06-18T08:10:00Z</dcterms:created>
  <dcterms:modified xsi:type="dcterms:W3CDTF">2025-11-19T13:35:00Z</dcterms:modified>
</cp:coreProperties>
</file>