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B08647" w14:textId="77777777" w:rsidR="00643FEA" w:rsidRPr="00F052C2" w:rsidRDefault="00643FEA" w:rsidP="00643FEA">
      <w:pPr>
        <w:jc w:val="right"/>
        <w:rPr>
          <w:szCs w:val="28"/>
          <w:lang w:val="uk-UA"/>
        </w:rPr>
      </w:pPr>
      <w:r w:rsidRPr="00F052C2">
        <w:rPr>
          <w:noProof/>
          <w:szCs w:val="28"/>
          <w:lang w:val="uk-UA"/>
        </w:rPr>
        <w:drawing>
          <wp:anchor distT="0" distB="0" distL="114300" distR="114300" simplePos="0" relativeHeight="251659264" behindDoc="0" locked="0" layoutInCell="1" allowOverlap="1" wp14:anchorId="69019616" wp14:editId="785E4B4A">
            <wp:simplePos x="0" y="0"/>
            <wp:positionH relativeFrom="column">
              <wp:posOffset>2809875</wp:posOffset>
            </wp:positionH>
            <wp:positionV relativeFrom="page">
              <wp:posOffset>716280</wp:posOffset>
            </wp:positionV>
            <wp:extent cx="439200" cy="612000"/>
            <wp:effectExtent l="0" t="0" r="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2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052C2">
        <w:rPr>
          <w:szCs w:val="28"/>
          <w:lang w:val="uk-UA"/>
        </w:rPr>
        <w:t xml:space="preserve">  </w:t>
      </w:r>
    </w:p>
    <w:p w14:paraId="381C2676" w14:textId="77777777" w:rsidR="00643FEA" w:rsidRPr="00F052C2" w:rsidRDefault="00643FEA" w:rsidP="00643FEA">
      <w:pPr>
        <w:jc w:val="right"/>
        <w:rPr>
          <w:szCs w:val="28"/>
          <w:lang w:val="uk-UA"/>
        </w:rPr>
      </w:pPr>
      <w:r w:rsidRPr="00F052C2">
        <w:rPr>
          <w:szCs w:val="28"/>
          <w:lang w:val="uk-UA"/>
        </w:rPr>
        <w:br w:type="textWrapping" w:clear="all"/>
      </w:r>
    </w:p>
    <w:p w14:paraId="5EF2E8CA" w14:textId="77777777" w:rsidR="00643FEA" w:rsidRPr="00F052C2" w:rsidRDefault="00643FEA" w:rsidP="00643FEA">
      <w:pPr>
        <w:jc w:val="center"/>
        <w:rPr>
          <w:rFonts w:eastAsia="Calibri"/>
          <w:b/>
          <w:caps/>
          <w:color w:val="000000"/>
          <w:szCs w:val="28"/>
          <w:lang w:val="uk-UA"/>
        </w:rPr>
      </w:pPr>
      <w:r w:rsidRPr="00F052C2">
        <w:rPr>
          <w:rFonts w:eastAsia="Calibri"/>
          <w:b/>
          <w:caps/>
          <w:color w:val="000000"/>
          <w:szCs w:val="28"/>
          <w:lang w:val="uk-UA"/>
        </w:rPr>
        <w:t>Національна комісія, ЩО ЗДІЙСНЮЄ</w:t>
      </w:r>
    </w:p>
    <w:p w14:paraId="27D9856B" w14:textId="0427B413" w:rsidR="00643FEA" w:rsidRPr="00F052C2" w:rsidRDefault="00643FEA" w:rsidP="00643FEA">
      <w:pPr>
        <w:jc w:val="center"/>
        <w:rPr>
          <w:rFonts w:eastAsia="Calibri"/>
          <w:b/>
          <w:caps/>
          <w:color w:val="000000"/>
          <w:szCs w:val="28"/>
          <w:lang w:val="uk-UA"/>
        </w:rPr>
      </w:pPr>
      <w:r w:rsidRPr="00F052C2">
        <w:rPr>
          <w:rFonts w:eastAsia="Calibri"/>
          <w:b/>
          <w:caps/>
          <w:color w:val="000000"/>
          <w:szCs w:val="28"/>
          <w:lang w:val="uk-UA"/>
        </w:rPr>
        <w:t xml:space="preserve">ДЕРЖАВНЕ РЕГУЛЮВАННЯ У сФЕРАХ ЕНЕРГЕТИКИ </w:t>
      </w:r>
    </w:p>
    <w:p w14:paraId="5EE03342" w14:textId="77777777" w:rsidR="00643FEA" w:rsidRPr="00F052C2" w:rsidRDefault="00643FEA" w:rsidP="00643FEA">
      <w:pPr>
        <w:jc w:val="center"/>
        <w:rPr>
          <w:rFonts w:eastAsia="Calibri"/>
          <w:b/>
          <w:caps/>
          <w:color w:val="000000"/>
          <w:szCs w:val="28"/>
          <w:lang w:val="uk-UA"/>
        </w:rPr>
      </w:pPr>
      <w:r w:rsidRPr="00F052C2">
        <w:rPr>
          <w:rFonts w:eastAsia="Calibri"/>
          <w:b/>
          <w:caps/>
          <w:color w:val="000000"/>
          <w:szCs w:val="28"/>
          <w:lang w:val="uk-UA"/>
        </w:rPr>
        <w:t>ТА КОМУНАЛЬНИХ ПОСЛУГ</w:t>
      </w:r>
    </w:p>
    <w:p w14:paraId="5A1B5F90" w14:textId="77777777" w:rsidR="00643FEA" w:rsidRPr="00F052C2" w:rsidRDefault="00643FEA" w:rsidP="00643FEA">
      <w:pPr>
        <w:ind w:right="-6"/>
        <w:jc w:val="center"/>
        <w:rPr>
          <w:b/>
          <w:color w:val="000000"/>
          <w:szCs w:val="28"/>
          <w:lang w:val="uk-UA" w:eastAsia="uk-UA"/>
        </w:rPr>
      </w:pPr>
      <w:r w:rsidRPr="00F052C2">
        <w:rPr>
          <w:b/>
          <w:color w:val="000000"/>
          <w:szCs w:val="28"/>
          <w:lang w:val="uk-UA" w:eastAsia="uk-UA"/>
        </w:rPr>
        <w:t>(НКРЕКП)</w:t>
      </w:r>
    </w:p>
    <w:p w14:paraId="79246373" w14:textId="77777777" w:rsidR="00643FEA" w:rsidRPr="00643FEA" w:rsidRDefault="00643FEA" w:rsidP="00643FEA">
      <w:pPr>
        <w:jc w:val="center"/>
        <w:rPr>
          <w:b/>
          <w:szCs w:val="28"/>
          <w:lang w:val="uk-UA"/>
        </w:rPr>
      </w:pPr>
    </w:p>
    <w:p w14:paraId="04083408" w14:textId="77777777" w:rsidR="00643FEA" w:rsidRPr="00643FEA" w:rsidRDefault="00643FEA" w:rsidP="00643FEA">
      <w:pPr>
        <w:jc w:val="center"/>
        <w:rPr>
          <w:b/>
          <w:szCs w:val="28"/>
          <w:lang w:val="uk-UA"/>
        </w:rPr>
      </w:pPr>
      <w:r w:rsidRPr="00643FEA">
        <w:rPr>
          <w:b/>
          <w:szCs w:val="28"/>
          <w:lang w:val="uk-UA"/>
        </w:rPr>
        <w:t>ПОСТАНОВА</w:t>
      </w:r>
    </w:p>
    <w:p w14:paraId="49C0D71F" w14:textId="77777777" w:rsidR="00643FEA" w:rsidRPr="00643FEA" w:rsidRDefault="00643FEA" w:rsidP="00643FEA">
      <w:pPr>
        <w:jc w:val="center"/>
        <w:rPr>
          <w:b/>
          <w:szCs w:val="28"/>
          <w:lang w:val="uk-UA"/>
        </w:rPr>
      </w:pPr>
    </w:p>
    <w:p w14:paraId="06098D4B" w14:textId="77777777" w:rsidR="00643FEA" w:rsidRPr="00643FEA" w:rsidRDefault="00643FEA" w:rsidP="00643FEA">
      <w:pPr>
        <w:jc w:val="center"/>
        <w:rPr>
          <w:bCs/>
          <w:szCs w:val="28"/>
          <w:lang w:val="uk-UA"/>
        </w:rPr>
      </w:pPr>
      <w:r w:rsidRPr="00643FEA">
        <w:rPr>
          <w:bCs/>
          <w:szCs w:val="28"/>
          <w:lang w:val="uk-UA"/>
        </w:rPr>
        <w:t xml:space="preserve">________________ </w:t>
      </w:r>
      <w:r w:rsidRPr="00643FEA">
        <w:rPr>
          <w:bCs/>
          <w:szCs w:val="28"/>
          <w:lang w:val="uk-UA"/>
        </w:rPr>
        <w:tab/>
      </w:r>
      <w:r w:rsidRPr="00643FEA">
        <w:rPr>
          <w:bCs/>
          <w:szCs w:val="28"/>
          <w:lang w:val="uk-UA"/>
        </w:rPr>
        <w:tab/>
      </w:r>
      <w:r w:rsidRPr="00D759E2">
        <w:rPr>
          <w:bCs/>
          <w:sz w:val="24"/>
          <w:szCs w:val="24"/>
          <w:lang w:val="uk-UA"/>
        </w:rPr>
        <w:t>Київ</w:t>
      </w:r>
      <w:r w:rsidRPr="00643FEA">
        <w:rPr>
          <w:bCs/>
          <w:szCs w:val="28"/>
          <w:lang w:val="uk-UA"/>
        </w:rPr>
        <w:tab/>
      </w:r>
      <w:r w:rsidRPr="00643FEA">
        <w:rPr>
          <w:bCs/>
          <w:szCs w:val="28"/>
          <w:lang w:val="uk-UA"/>
        </w:rPr>
        <w:tab/>
        <w:t>№ ________________</w:t>
      </w:r>
    </w:p>
    <w:p w14:paraId="4995D03A" w14:textId="77777777" w:rsidR="00643FEA" w:rsidRPr="00F052C2" w:rsidRDefault="00643FEA" w:rsidP="00643FEA">
      <w:pPr>
        <w:jc w:val="center"/>
        <w:rPr>
          <w:spacing w:val="40"/>
          <w:szCs w:val="28"/>
          <w:lang w:val="uk-UA"/>
        </w:rPr>
      </w:pPr>
    </w:p>
    <w:p w14:paraId="7F3A4494" w14:textId="77777777" w:rsidR="00643FEA" w:rsidRPr="00F052C2" w:rsidRDefault="00643FEA" w:rsidP="00643FEA">
      <w:pPr>
        <w:jc w:val="center"/>
        <w:rPr>
          <w:spacing w:val="40"/>
          <w:szCs w:val="28"/>
          <w:lang w:val="uk-UA"/>
        </w:rPr>
      </w:pPr>
    </w:p>
    <w:p w14:paraId="366A05E9" w14:textId="0BE643F4" w:rsidR="00643FEA" w:rsidRPr="00F052C2" w:rsidRDefault="00643FEA" w:rsidP="007E2EF0">
      <w:pPr>
        <w:ind w:right="4676"/>
        <w:jc w:val="both"/>
        <w:rPr>
          <w:b/>
          <w:bCs/>
          <w:szCs w:val="28"/>
          <w:lang w:val="uk-UA"/>
        </w:rPr>
      </w:pPr>
      <w:bookmarkStart w:id="0" w:name="_Hlk213249868"/>
      <w:bookmarkStart w:id="1" w:name="_Hlk172126266"/>
      <w:r w:rsidRPr="00F052C2">
        <w:rPr>
          <w:rStyle w:val="ae"/>
          <w:rFonts w:eastAsiaTheme="majorEastAsia"/>
          <w:b w:val="0"/>
          <w:bCs w:val="0"/>
          <w:shd w:val="clear" w:color="auto" w:fill="FFFFFF"/>
          <w:lang w:val="uk-UA"/>
        </w:rPr>
        <w:t xml:space="preserve">Про затвердження </w:t>
      </w:r>
      <w:bookmarkStart w:id="2" w:name="_Hlk213249852"/>
      <w:r w:rsidRPr="00F052C2">
        <w:rPr>
          <w:rStyle w:val="ae"/>
          <w:rFonts w:eastAsiaTheme="majorEastAsia"/>
          <w:b w:val="0"/>
          <w:bCs w:val="0"/>
          <w:shd w:val="clear" w:color="auto" w:fill="FFFFFF"/>
          <w:lang w:val="uk-UA"/>
        </w:rPr>
        <w:t xml:space="preserve">Змін </w:t>
      </w:r>
      <w:r w:rsidR="007E2EF0" w:rsidRPr="00F052C2">
        <w:rPr>
          <w:rStyle w:val="ae"/>
          <w:rFonts w:eastAsiaTheme="majorEastAsia"/>
          <w:b w:val="0"/>
          <w:bCs w:val="0"/>
          <w:shd w:val="clear" w:color="auto" w:fill="FFFFFF"/>
          <w:lang w:val="uk-UA"/>
        </w:rPr>
        <w:t>до Вимог щодо забезпечення доброчесності та прозорості на оптовому енергетичному ринку</w:t>
      </w:r>
      <w:bookmarkEnd w:id="0"/>
      <w:bookmarkEnd w:id="2"/>
    </w:p>
    <w:bookmarkEnd w:id="1"/>
    <w:p w14:paraId="1C7195B6" w14:textId="77777777" w:rsidR="00643FEA" w:rsidRPr="00F052C2" w:rsidRDefault="00643FEA" w:rsidP="00643FEA">
      <w:pPr>
        <w:tabs>
          <w:tab w:val="left" w:pos="4680"/>
        </w:tabs>
        <w:ind w:right="5061"/>
        <w:jc w:val="both"/>
        <w:rPr>
          <w:rFonts w:eastAsia="MS Mincho"/>
          <w:bCs/>
          <w:iCs/>
          <w:szCs w:val="28"/>
          <w:lang w:val="uk-UA" w:eastAsia="ja-JP"/>
        </w:rPr>
      </w:pPr>
    </w:p>
    <w:p w14:paraId="4C892755" w14:textId="77777777" w:rsidR="00643FEA" w:rsidRPr="00F052C2" w:rsidRDefault="00643FEA" w:rsidP="00643FEA">
      <w:pPr>
        <w:tabs>
          <w:tab w:val="left" w:pos="4680"/>
        </w:tabs>
        <w:ind w:right="5061"/>
        <w:jc w:val="both"/>
        <w:rPr>
          <w:rFonts w:eastAsia="MS Mincho"/>
          <w:bCs/>
          <w:iCs/>
          <w:szCs w:val="28"/>
          <w:lang w:val="uk-UA" w:eastAsia="ja-JP"/>
        </w:rPr>
      </w:pPr>
    </w:p>
    <w:p w14:paraId="44B6B4E8" w14:textId="77777777" w:rsidR="00643FEA" w:rsidRPr="00F052C2" w:rsidRDefault="00643FEA" w:rsidP="00643FEA">
      <w:pPr>
        <w:keepNext/>
        <w:ind w:firstLine="709"/>
        <w:jc w:val="both"/>
        <w:outlineLvl w:val="2"/>
        <w:rPr>
          <w:rFonts w:eastAsia="MS Mincho"/>
          <w:bCs/>
          <w:iCs/>
          <w:szCs w:val="28"/>
          <w:lang w:val="uk-UA" w:eastAsia="ja-JP"/>
        </w:rPr>
      </w:pPr>
      <w:r w:rsidRPr="00F052C2">
        <w:rPr>
          <w:szCs w:val="28"/>
          <w:shd w:val="clear" w:color="auto" w:fill="FFFFFF"/>
          <w:lang w:val="uk-UA"/>
        </w:rPr>
        <w:t xml:space="preserve">Відповідно до законів України «Про Національну комісію, що здійснює державне регулювання у сферах енергетики та комунальних послуг», «Про ринок електричної енергії» та «Про ринок природного газу» Національна комісія, що здійснює державне регулювання у сферах енергетики та комунальних послуг, </w:t>
      </w:r>
    </w:p>
    <w:p w14:paraId="3046F7A2" w14:textId="77777777" w:rsidR="00643FEA" w:rsidRPr="00F052C2" w:rsidRDefault="00643FEA" w:rsidP="00643FEA">
      <w:pPr>
        <w:jc w:val="both"/>
        <w:rPr>
          <w:szCs w:val="28"/>
          <w:lang w:val="uk-UA"/>
        </w:rPr>
      </w:pPr>
    </w:p>
    <w:p w14:paraId="2D96C30A" w14:textId="77777777" w:rsidR="00643FEA" w:rsidRPr="00F052C2" w:rsidRDefault="00643FEA" w:rsidP="00643FEA">
      <w:pPr>
        <w:jc w:val="both"/>
        <w:rPr>
          <w:b/>
          <w:szCs w:val="28"/>
          <w:lang w:val="uk-UA"/>
        </w:rPr>
      </w:pPr>
      <w:r w:rsidRPr="00F052C2">
        <w:rPr>
          <w:b/>
          <w:szCs w:val="28"/>
          <w:lang w:val="uk-UA"/>
        </w:rPr>
        <w:t>ПОСТАНОВЛЯЄ:</w:t>
      </w:r>
    </w:p>
    <w:p w14:paraId="0BC53186" w14:textId="77777777" w:rsidR="00643FEA" w:rsidRPr="00F052C2" w:rsidRDefault="00643FEA" w:rsidP="00643FEA">
      <w:pPr>
        <w:jc w:val="both"/>
        <w:rPr>
          <w:szCs w:val="28"/>
          <w:lang w:val="uk-UA"/>
        </w:rPr>
      </w:pPr>
    </w:p>
    <w:p w14:paraId="2709A1D2" w14:textId="6D394458" w:rsidR="00643FEA" w:rsidRPr="00F052C2" w:rsidRDefault="00643FEA" w:rsidP="00643FEA">
      <w:pPr>
        <w:ind w:firstLine="709"/>
        <w:jc w:val="both"/>
        <w:rPr>
          <w:szCs w:val="28"/>
          <w:lang w:val="uk-UA" w:eastAsia="uk-UA"/>
        </w:rPr>
      </w:pPr>
      <w:r w:rsidRPr="00F052C2">
        <w:rPr>
          <w:szCs w:val="28"/>
          <w:lang w:val="uk-UA" w:eastAsia="uk-UA"/>
        </w:rPr>
        <w:t xml:space="preserve">1. Затвердити </w:t>
      </w:r>
      <w:r w:rsidR="007E2EF0" w:rsidRPr="00F052C2">
        <w:rPr>
          <w:szCs w:val="28"/>
          <w:lang w:val="uk-UA" w:eastAsia="uk-UA"/>
        </w:rPr>
        <w:t>Зміни до Вимог щодо забезпечення доброчесності та прозорості на оптовому енергетичному ринку, затверджених постановою Національної комісії, що здійснює державне регулювання у сферах енергетики та комунальних послуг, від 27 березня 2024 року № 614</w:t>
      </w:r>
      <w:r w:rsidRPr="00F052C2">
        <w:rPr>
          <w:szCs w:val="28"/>
          <w:lang w:val="uk-UA" w:eastAsia="uk-UA"/>
        </w:rPr>
        <w:t>, що додаються.</w:t>
      </w:r>
    </w:p>
    <w:p w14:paraId="3791BB59" w14:textId="77777777" w:rsidR="00643FEA" w:rsidRPr="00F052C2" w:rsidRDefault="00643FEA" w:rsidP="00643FEA">
      <w:pPr>
        <w:ind w:firstLine="709"/>
        <w:jc w:val="both"/>
        <w:rPr>
          <w:szCs w:val="28"/>
          <w:lang w:val="uk-UA" w:eastAsia="uk-UA"/>
        </w:rPr>
      </w:pPr>
    </w:p>
    <w:p w14:paraId="6CCD18CD" w14:textId="77777777" w:rsidR="00643FEA" w:rsidRPr="00F052C2" w:rsidRDefault="00643FEA" w:rsidP="00643FEA">
      <w:pPr>
        <w:ind w:firstLine="709"/>
        <w:jc w:val="both"/>
        <w:rPr>
          <w:szCs w:val="28"/>
          <w:lang w:val="uk-UA" w:eastAsia="uk-UA"/>
        </w:rPr>
      </w:pPr>
      <w:r w:rsidRPr="00F052C2">
        <w:rPr>
          <w:szCs w:val="28"/>
          <w:lang w:val="uk-UA" w:eastAsia="uk-UA"/>
        </w:rPr>
        <w:t xml:space="preserve">2. Ця постанова набирає чинності з дня, наступного за днем її оприлюднення на офіційному </w:t>
      </w:r>
      <w:proofErr w:type="spellStart"/>
      <w:r w:rsidRPr="00F052C2">
        <w:rPr>
          <w:szCs w:val="28"/>
          <w:lang w:val="uk-UA" w:eastAsia="uk-UA"/>
        </w:rPr>
        <w:t>вебсайті</w:t>
      </w:r>
      <w:proofErr w:type="spellEnd"/>
      <w:r w:rsidRPr="00F052C2">
        <w:rPr>
          <w:szCs w:val="28"/>
          <w:lang w:val="uk-UA" w:eastAsia="uk-UA"/>
        </w:rPr>
        <w:t xml:space="preserve"> Національної комісії, що здійснює державне регулювання у сферах енергетики та комунальних послуг.</w:t>
      </w:r>
    </w:p>
    <w:p w14:paraId="133D57A7" w14:textId="77777777" w:rsidR="00643FEA" w:rsidRPr="00F052C2" w:rsidRDefault="00643FEA" w:rsidP="00643FEA">
      <w:pPr>
        <w:tabs>
          <w:tab w:val="left" w:pos="1080"/>
        </w:tabs>
        <w:ind w:firstLine="709"/>
        <w:jc w:val="both"/>
        <w:rPr>
          <w:rFonts w:eastAsia="MS Mincho"/>
          <w:bCs/>
          <w:iCs/>
          <w:szCs w:val="28"/>
          <w:lang w:val="uk-UA" w:eastAsia="ja-JP"/>
        </w:rPr>
      </w:pPr>
    </w:p>
    <w:p w14:paraId="335859CA" w14:textId="77777777" w:rsidR="00643FEA" w:rsidRPr="00F052C2" w:rsidRDefault="00643FEA" w:rsidP="00643FEA">
      <w:pPr>
        <w:widowControl w:val="0"/>
        <w:spacing w:before="100" w:beforeAutospacing="1" w:after="100" w:afterAutospacing="1"/>
        <w:ind w:right="-81"/>
        <w:jc w:val="both"/>
        <w:rPr>
          <w:rFonts w:eastAsia="MS Mincho"/>
          <w:bCs/>
          <w:iCs/>
          <w:szCs w:val="28"/>
          <w:lang w:val="uk-UA" w:eastAsia="ja-JP"/>
        </w:rPr>
        <w:sectPr w:rsidR="00643FEA" w:rsidRPr="00F052C2" w:rsidSect="00643FEA">
          <w:headerReference w:type="even" r:id="rId7"/>
          <w:headerReference w:type="default" r:id="rId8"/>
          <w:headerReference w:type="first" r:id="rId9"/>
          <w:pgSz w:w="11906" w:h="16838"/>
          <w:pgMar w:top="1134" w:right="567" w:bottom="1560" w:left="1701" w:header="709" w:footer="709" w:gutter="0"/>
          <w:pgNumType w:start="1"/>
          <w:cols w:space="708"/>
          <w:titlePg/>
          <w:docGrid w:linePitch="360"/>
        </w:sectPr>
      </w:pPr>
      <w:r w:rsidRPr="00F052C2">
        <w:rPr>
          <w:rFonts w:eastAsia="MS Mincho"/>
          <w:bCs/>
          <w:iCs/>
          <w:szCs w:val="28"/>
          <w:lang w:val="uk-UA" w:eastAsia="ja-JP"/>
        </w:rPr>
        <w:t>Голова НКРЕКП</w:t>
      </w:r>
      <w:r w:rsidRPr="00F052C2">
        <w:rPr>
          <w:rFonts w:eastAsia="MS Mincho"/>
          <w:bCs/>
          <w:iCs/>
          <w:szCs w:val="28"/>
          <w:lang w:val="uk-UA" w:eastAsia="ja-JP"/>
        </w:rPr>
        <w:tab/>
      </w:r>
      <w:r w:rsidRPr="00F052C2">
        <w:rPr>
          <w:rFonts w:eastAsia="MS Mincho"/>
          <w:bCs/>
          <w:iCs/>
          <w:szCs w:val="28"/>
          <w:lang w:val="uk-UA" w:eastAsia="ja-JP"/>
        </w:rPr>
        <w:tab/>
      </w:r>
      <w:r w:rsidRPr="00F052C2">
        <w:rPr>
          <w:rFonts w:eastAsia="MS Mincho"/>
          <w:bCs/>
          <w:iCs/>
          <w:szCs w:val="28"/>
          <w:lang w:val="uk-UA" w:eastAsia="ja-JP"/>
        </w:rPr>
        <w:tab/>
      </w:r>
      <w:r w:rsidRPr="00F052C2">
        <w:rPr>
          <w:rFonts w:eastAsia="MS Mincho"/>
          <w:bCs/>
          <w:iCs/>
          <w:szCs w:val="28"/>
          <w:lang w:val="uk-UA" w:eastAsia="ja-JP"/>
        </w:rPr>
        <w:tab/>
      </w:r>
      <w:r w:rsidRPr="00F052C2">
        <w:rPr>
          <w:rFonts w:eastAsia="MS Mincho"/>
          <w:bCs/>
          <w:iCs/>
          <w:szCs w:val="28"/>
          <w:lang w:val="uk-UA" w:eastAsia="ja-JP"/>
        </w:rPr>
        <w:tab/>
      </w:r>
      <w:r w:rsidRPr="00F052C2">
        <w:rPr>
          <w:rFonts w:eastAsia="MS Mincho"/>
          <w:bCs/>
          <w:iCs/>
          <w:szCs w:val="28"/>
          <w:lang w:val="uk-UA" w:eastAsia="ja-JP"/>
        </w:rPr>
        <w:tab/>
        <w:t xml:space="preserve">                       Юрій ВЛАСЕНКО</w:t>
      </w:r>
    </w:p>
    <w:p w14:paraId="5F797618" w14:textId="77777777" w:rsidR="00643FEA" w:rsidRPr="00F052C2" w:rsidRDefault="00643FEA" w:rsidP="00643FEA">
      <w:pPr>
        <w:ind w:left="5812"/>
        <w:rPr>
          <w:szCs w:val="28"/>
          <w:lang w:val="uk-UA"/>
        </w:rPr>
      </w:pPr>
      <w:r w:rsidRPr="00F052C2">
        <w:rPr>
          <w:szCs w:val="28"/>
          <w:lang w:val="uk-UA"/>
        </w:rPr>
        <w:lastRenderedPageBreak/>
        <w:t xml:space="preserve">ЗАТВЕРДЖЕНО </w:t>
      </w:r>
    </w:p>
    <w:p w14:paraId="51B45D25" w14:textId="77777777" w:rsidR="00643FEA" w:rsidRPr="00F052C2" w:rsidRDefault="00643FEA" w:rsidP="00643FEA">
      <w:pPr>
        <w:ind w:left="5812"/>
        <w:rPr>
          <w:szCs w:val="28"/>
          <w:lang w:val="uk-UA"/>
        </w:rPr>
      </w:pPr>
      <w:r w:rsidRPr="00F052C2">
        <w:rPr>
          <w:szCs w:val="28"/>
          <w:lang w:val="uk-UA"/>
        </w:rPr>
        <w:t>Постанова Національної комісії, що здійснює державне регулювання у сферах енергетики та комунальних послуг</w:t>
      </w:r>
    </w:p>
    <w:p w14:paraId="0F6639E6" w14:textId="77777777" w:rsidR="00643FEA" w:rsidRPr="00F052C2" w:rsidRDefault="00643FEA" w:rsidP="00643FEA">
      <w:pPr>
        <w:ind w:left="5812"/>
        <w:rPr>
          <w:szCs w:val="28"/>
          <w:lang w:val="uk-UA"/>
        </w:rPr>
      </w:pPr>
      <w:r w:rsidRPr="00F052C2">
        <w:rPr>
          <w:szCs w:val="28"/>
          <w:lang w:val="uk-UA"/>
        </w:rPr>
        <w:t>_____________ № ________</w:t>
      </w:r>
    </w:p>
    <w:p w14:paraId="5FC7DDC8" w14:textId="77777777" w:rsidR="00643FEA" w:rsidRPr="00F052C2" w:rsidRDefault="00643FEA" w:rsidP="00643FEA">
      <w:pPr>
        <w:tabs>
          <w:tab w:val="left" w:pos="1134"/>
        </w:tabs>
        <w:spacing w:after="60"/>
        <w:ind w:firstLine="709"/>
        <w:jc w:val="center"/>
        <w:rPr>
          <w:b/>
          <w:szCs w:val="28"/>
          <w:lang w:val="uk-UA"/>
        </w:rPr>
      </w:pPr>
    </w:p>
    <w:p w14:paraId="11942876" w14:textId="77777777" w:rsidR="00643FEA" w:rsidRPr="00F052C2" w:rsidRDefault="00643FEA" w:rsidP="00643FEA">
      <w:pPr>
        <w:ind w:firstLine="709"/>
        <w:jc w:val="center"/>
        <w:rPr>
          <w:b/>
          <w:szCs w:val="28"/>
          <w:lang w:val="uk-UA"/>
        </w:rPr>
      </w:pPr>
      <w:r w:rsidRPr="00F052C2">
        <w:rPr>
          <w:b/>
          <w:szCs w:val="28"/>
          <w:lang w:val="uk-UA"/>
        </w:rPr>
        <w:t>ЗМІНИ</w:t>
      </w:r>
    </w:p>
    <w:p w14:paraId="7BE0F26F" w14:textId="2C962C68" w:rsidR="00643FEA" w:rsidRPr="00F052C2" w:rsidRDefault="007E2EF0" w:rsidP="00643FEA">
      <w:pPr>
        <w:ind w:firstLine="709"/>
        <w:jc w:val="center"/>
        <w:rPr>
          <w:b/>
          <w:szCs w:val="28"/>
          <w:lang w:val="uk-UA"/>
        </w:rPr>
      </w:pPr>
      <w:r w:rsidRPr="00F052C2">
        <w:rPr>
          <w:b/>
          <w:szCs w:val="28"/>
          <w:lang w:val="uk-UA"/>
        </w:rPr>
        <w:t>до Вимог щодо забезпечення доброчесності та прозорості на оптовому енергетичному ринку</w:t>
      </w:r>
    </w:p>
    <w:p w14:paraId="7FC175AB" w14:textId="77777777" w:rsidR="00643FEA" w:rsidRPr="00F052C2" w:rsidRDefault="00643FEA" w:rsidP="00643FEA">
      <w:pPr>
        <w:ind w:firstLine="709"/>
        <w:jc w:val="center"/>
        <w:rPr>
          <w:szCs w:val="28"/>
          <w:lang w:val="uk-UA" w:eastAsia="uk-UA"/>
        </w:rPr>
      </w:pPr>
    </w:p>
    <w:p w14:paraId="155CEC7D" w14:textId="492E9E89" w:rsidR="00643FEA" w:rsidRPr="00F052C2" w:rsidRDefault="00643FEA" w:rsidP="00643FEA">
      <w:pPr>
        <w:tabs>
          <w:tab w:val="left" w:pos="1134"/>
        </w:tabs>
        <w:ind w:firstLine="851"/>
        <w:jc w:val="both"/>
        <w:rPr>
          <w:lang w:val="uk-UA"/>
        </w:rPr>
      </w:pPr>
      <w:r w:rsidRPr="00F052C2">
        <w:rPr>
          <w:szCs w:val="28"/>
          <w:lang w:val="uk-UA"/>
        </w:rPr>
        <w:t>1. </w:t>
      </w:r>
      <w:r w:rsidR="000C7892" w:rsidRPr="00F052C2">
        <w:rPr>
          <w:szCs w:val="28"/>
          <w:lang w:val="uk-UA"/>
        </w:rPr>
        <w:t>П</w:t>
      </w:r>
      <w:r w:rsidRPr="00F052C2">
        <w:rPr>
          <w:szCs w:val="28"/>
          <w:lang w:val="uk-UA"/>
        </w:rPr>
        <w:t xml:space="preserve">ункт 2.5 глави 2 доповнити новим підпунктом </w:t>
      </w:r>
      <w:r w:rsidRPr="00F052C2">
        <w:rPr>
          <w:lang w:val="uk-UA"/>
        </w:rPr>
        <w:t>такого змісту:</w:t>
      </w:r>
    </w:p>
    <w:p w14:paraId="4E7C92F5" w14:textId="1C84BDB8" w:rsidR="00643FEA" w:rsidRPr="00F052C2" w:rsidRDefault="00643FEA" w:rsidP="00643FEA">
      <w:pPr>
        <w:tabs>
          <w:tab w:val="left" w:pos="1134"/>
        </w:tabs>
        <w:ind w:firstLine="851"/>
        <w:jc w:val="both"/>
        <w:rPr>
          <w:szCs w:val="28"/>
          <w:lang w:val="uk-UA"/>
        </w:rPr>
      </w:pPr>
      <w:r w:rsidRPr="00F052C2">
        <w:rPr>
          <w:szCs w:val="28"/>
          <w:lang w:val="uk-UA"/>
        </w:rPr>
        <w:t>«</w:t>
      </w:r>
      <w:r w:rsidR="008A665A">
        <w:rPr>
          <w:szCs w:val="28"/>
          <w:lang w:val="uk-UA"/>
        </w:rPr>
        <w:t xml:space="preserve">21) </w:t>
      </w:r>
      <w:r w:rsidRPr="00F052C2">
        <w:rPr>
          <w:szCs w:val="28"/>
          <w:lang w:val="uk-UA"/>
        </w:rPr>
        <w:t xml:space="preserve">торгівля повітрям – подання заявок (пропозицій) на продаж або укладання угод з продажу відповідно до оптового енергетичного продукту на відповідний розрахунковий період, обсяг якого не був забезпечений наявними </w:t>
      </w:r>
      <w:proofErr w:type="spellStart"/>
      <w:r w:rsidRPr="00F052C2">
        <w:rPr>
          <w:szCs w:val="28"/>
          <w:lang w:val="uk-UA"/>
        </w:rPr>
        <w:t>потужностями</w:t>
      </w:r>
      <w:proofErr w:type="spellEnd"/>
      <w:r w:rsidRPr="00F052C2">
        <w:rPr>
          <w:szCs w:val="28"/>
          <w:lang w:val="uk-UA"/>
        </w:rPr>
        <w:t xml:space="preserve"> власного виробництва/видобутку/зберігання, та/або обсягами купівлі електричної енергії/природного газу на оптовому енергетичному ринку, у тому числі імпортованими.»</w:t>
      </w:r>
      <w:r w:rsidR="00C4092F">
        <w:rPr>
          <w:szCs w:val="28"/>
          <w:lang w:val="uk-UA"/>
        </w:rPr>
        <w:t>.</w:t>
      </w:r>
    </w:p>
    <w:p w14:paraId="1C1EAC3B" w14:textId="77777777" w:rsidR="00643FEA" w:rsidRPr="00F052C2" w:rsidRDefault="00643FEA" w:rsidP="00643FEA">
      <w:pPr>
        <w:tabs>
          <w:tab w:val="left" w:pos="1134"/>
        </w:tabs>
        <w:ind w:firstLine="851"/>
        <w:jc w:val="both"/>
        <w:rPr>
          <w:szCs w:val="28"/>
          <w:lang w:val="uk-UA"/>
        </w:rPr>
      </w:pPr>
    </w:p>
    <w:p w14:paraId="056302B6" w14:textId="6EE84516" w:rsidR="0038509C" w:rsidRPr="00F052C2" w:rsidRDefault="000C7892" w:rsidP="00643FEA">
      <w:pPr>
        <w:tabs>
          <w:tab w:val="left" w:pos="1134"/>
        </w:tabs>
        <w:ind w:firstLine="851"/>
        <w:jc w:val="both"/>
        <w:rPr>
          <w:szCs w:val="28"/>
          <w:lang w:val="uk-UA"/>
        </w:rPr>
      </w:pPr>
      <w:r w:rsidRPr="00F052C2">
        <w:rPr>
          <w:szCs w:val="28"/>
          <w:lang w:val="uk-UA"/>
        </w:rPr>
        <w:t>2.</w:t>
      </w:r>
      <w:r w:rsidR="00643FEA" w:rsidRPr="00F052C2">
        <w:rPr>
          <w:szCs w:val="28"/>
          <w:lang w:val="uk-UA"/>
        </w:rPr>
        <w:t> </w:t>
      </w:r>
      <w:r w:rsidRPr="00F052C2">
        <w:rPr>
          <w:szCs w:val="28"/>
          <w:lang w:val="uk-UA"/>
        </w:rPr>
        <w:t>У</w:t>
      </w:r>
      <w:r w:rsidR="0038509C" w:rsidRPr="00F052C2">
        <w:rPr>
          <w:szCs w:val="28"/>
          <w:lang w:val="uk-UA"/>
        </w:rPr>
        <w:t xml:space="preserve"> главі 5:</w:t>
      </w:r>
    </w:p>
    <w:p w14:paraId="387BC1C9" w14:textId="77777777" w:rsidR="00E9454D" w:rsidRDefault="00E9454D" w:rsidP="00643FEA">
      <w:pPr>
        <w:tabs>
          <w:tab w:val="left" w:pos="1134"/>
        </w:tabs>
        <w:ind w:firstLine="851"/>
        <w:jc w:val="both"/>
        <w:rPr>
          <w:szCs w:val="28"/>
          <w:lang w:val="uk-UA"/>
        </w:rPr>
      </w:pPr>
    </w:p>
    <w:p w14:paraId="5FC20423" w14:textId="55BC6BAD" w:rsidR="00643FEA" w:rsidRPr="00F052C2" w:rsidRDefault="000C7892" w:rsidP="00643FEA">
      <w:pPr>
        <w:tabs>
          <w:tab w:val="left" w:pos="1134"/>
        </w:tabs>
        <w:ind w:firstLine="851"/>
        <w:jc w:val="both"/>
        <w:rPr>
          <w:szCs w:val="28"/>
          <w:lang w:val="uk-UA"/>
        </w:rPr>
      </w:pPr>
      <w:r w:rsidRPr="00F052C2">
        <w:rPr>
          <w:szCs w:val="28"/>
          <w:lang w:val="uk-UA"/>
        </w:rPr>
        <w:t>1) </w:t>
      </w:r>
      <w:r w:rsidR="0038509C" w:rsidRPr="00F052C2">
        <w:rPr>
          <w:szCs w:val="28"/>
          <w:lang w:val="uk-UA"/>
        </w:rPr>
        <w:t>пункт 5.2 викласти в такій редакції:</w:t>
      </w:r>
    </w:p>
    <w:p w14:paraId="20447E9F" w14:textId="77777777" w:rsidR="00E0442A" w:rsidRDefault="0038509C" w:rsidP="003571EB">
      <w:pPr>
        <w:tabs>
          <w:tab w:val="left" w:pos="1134"/>
        </w:tabs>
        <w:ind w:firstLine="851"/>
        <w:jc w:val="both"/>
        <w:rPr>
          <w:szCs w:val="28"/>
          <w:lang w:val="uk-UA"/>
        </w:rPr>
      </w:pPr>
      <w:r w:rsidRPr="00F052C2">
        <w:rPr>
          <w:szCs w:val="28"/>
          <w:lang w:val="uk-UA"/>
        </w:rPr>
        <w:t>«</w:t>
      </w:r>
      <w:r w:rsidR="000F5FB8">
        <w:rPr>
          <w:szCs w:val="28"/>
          <w:lang w:val="uk-UA"/>
        </w:rPr>
        <w:t xml:space="preserve">5.2. </w:t>
      </w:r>
      <w:r w:rsidR="003571EB" w:rsidRPr="003571EB">
        <w:rPr>
          <w:szCs w:val="28"/>
          <w:lang w:val="uk-UA"/>
        </w:rPr>
        <w:t>Система спостереження повинна базуватись на затвердженій стратегії спостереження, розробленої ОПООП з урахуванням оцінки ризиків. Така стратегія спостереження має охоплювати, зокрема:</w:t>
      </w:r>
    </w:p>
    <w:p w14:paraId="4834B291" w14:textId="5E88D8CA" w:rsidR="003571EB" w:rsidRDefault="003571EB" w:rsidP="003571EB">
      <w:pPr>
        <w:tabs>
          <w:tab w:val="left" w:pos="1134"/>
        </w:tabs>
        <w:ind w:firstLine="851"/>
        <w:jc w:val="both"/>
        <w:rPr>
          <w:szCs w:val="28"/>
          <w:lang w:val="uk-UA"/>
        </w:rPr>
      </w:pPr>
      <w:r w:rsidRPr="003571EB">
        <w:rPr>
          <w:szCs w:val="28"/>
          <w:lang w:val="uk-UA"/>
        </w:rPr>
        <w:t>правила розроблення та оновлення сповіщень, а також засоби виявлення підозрілої поведінки;</w:t>
      </w:r>
    </w:p>
    <w:p w14:paraId="28B3469C" w14:textId="42F1A6E2" w:rsidR="003571EB" w:rsidRDefault="003571EB" w:rsidP="003571EB">
      <w:pPr>
        <w:tabs>
          <w:tab w:val="left" w:pos="1134"/>
        </w:tabs>
        <w:ind w:firstLine="851"/>
        <w:jc w:val="both"/>
        <w:rPr>
          <w:szCs w:val="28"/>
          <w:lang w:val="uk-UA"/>
        </w:rPr>
      </w:pPr>
      <w:r w:rsidRPr="003571EB">
        <w:rPr>
          <w:szCs w:val="28"/>
          <w:lang w:val="uk-UA"/>
        </w:rPr>
        <w:t>порогові значення сповіщень, що визначають критерії підозрілої поведінки;</w:t>
      </w:r>
    </w:p>
    <w:p w14:paraId="00A891A9" w14:textId="4B9BFC59" w:rsidR="003571EB" w:rsidRDefault="003571EB" w:rsidP="003571EB">
      <w:pPr>
        <w:tabs>
          <w:tab w:val="left" w:pos="1134"/>
        </w:tabs>
        <w:ind w:firstLine="851"/>
        <w:jc w:val="both"/>
        <w:rPr>
          <w:szCs w:val="28"/>
          <w:lang w:val="uk-UA"/>
        </w:rPr>
      </w:pPr>
      <w:r w:rsidRPr="003571EB">
        <w:rPr>
          <w:szCs w:val="28"/>
          <w:lang w:val="uk-UA"/>
        </w:rPr>
        <w:t>процес ідентифікації різних типів зловживань на оптовому енергетичному ринку;</w:t>
      </w:r>
    </w:p>
    <w:p w14:paraId="5DE8C2B4" w14:textId="3A2CD0C7" w:rsidR="003571EB" w:rsidRDefault="003571EB" w:rsidP="003571EB">
      <w:pPr>
        <w:tabs>
          <w:tab w:val="left" w:pos="1134"/>
        </w:tabs>
        <w:ind w:firstLine="851"/>
        <w:jc w:val="both"/>
        <w:rPr>
          <w:szCs w:val="28"/>
          <w:lang w:val="uk-UA"/>
        </w:rPr>
      </w:pPr>
      <w:r w:rsidRPr="003571EB">
        <w:rPr>
          <w:szCs w:val="28"/>
          <w:lang w:val="uk-UA"/>
        </w:rPr>
        <w:t>критерії та порядок, що визначають необхідність закриття або проведення додаткового аналізу отриманих сповіщень;</w:t>
      </w:r>
    </w:p>
    <w:p w14:paraId="45826A14" w14:textId="4058875A" w:rsidR="003571EB" w:rsidRDefault="003571EB" w:rsidP="003571EB">
      <w:pPr>
        <w:tabs>
          <w:tab w:val="left" w:pos="1134"/>
        </w:tabs>
        <w:ind w:firstLine="851"/>
        <w:jc w:val="both"/>
        <w:rPr>
          <w:szCs w:val="28"/>
          <w:lang w:val="uk-UA"/>
        </w:rPr>
      </w:pPr>
      <w:r w:rsidRPr="003571EB">
        <w:rPr>
          <w:szCs w:val="28"/>
          <w:lang w:val="uk-UA"/>
        </w:rPr>
        <w:t>дії, які зобов’язані вживати ОПООП для подальшої оцінки аномальних подій або потенційної підозрілої поведінки;</w:t>
      </w:r>
    </w:p>
    <w:p w14:paraId="372C5BC8" w14:textId="1F4D7039" w:rsidR="003571EB" w:rsidRPr="003571EB" w:rsidRDefault="003571EB" w:rsidP="003571EB">
      <w:pPr>
        <w:tabs>
          <w:tab w:val="left" w:pos="1134"/>
        </w:tabs>
        <w:ind w:firstLine="851"/>
        <w:jc w:val="both"/>
        <w:rPr>
          <w:szCs w:val="28"/>
          <w:lang w:val="uk-UA"/>
        </w:rPr>
      </w:pPr>
      <w:r w:rsidRPr="003571EB">
        <w:rPr>
          <w:szCs w:val="28"/>
          <w:lang w:val="uk-UA"/>
        </w:rPr>
        <w:t>процес прийняття рішень ОПООП щодо подання НКРЕКП повідомлення (заяви) про можливе зловживання на оптовому енергетичному ринку.</w:t>
      </w:r>
    </w:p>
    <w:p w14:paraId="4789BD17" w14:textId="45D2215E" w:rsidR="003571EB" w:rsidRPr="003571EB" w:rsidRDefault="003571EB" w:rsidP="003571EB">
      <w:pPr>
        <w:tabs>
          <w:tab w:val="left" w:pos="1134"/>
        </w:tabs>
        <w:ind w:firstLine="851"/>
        <w:jc w:val="both"/>
        <w:rPr>
          <w:szCs w:val="28"/>
          <w:lang w:val="uk-UA"/>
        </w:rPr>
      </w:pPr>
      <w:r w:rsidRPr="003571EB">
        <w:rPr>
          <w:szCs w:val="28"/>
          <w:lang w:val="uk-UA"/>
        </w:rPr>
        <w:t>Оцінка ризиків, зокрема, повинна включати ідентифікацію різних типів зловживань, у тому числі практик маніпулювання ринком, визначених главою 2 цих Вимог</w:t>
      </w:r>
      <w:r w:rsidR="007C04B8">
        <w:rPr>
          <w:szCs w:val="28"/>
          <w:lang w:val="uk-UA"/>
        </w:rPr>
        <w:t>,</w:t>
      </w:r>
      <w:r w:rsidRPr="003571EB">
        <w:rPr>
          <w:szCs w:val="28"/>
          <w:lang w:val="uk-UA"/>
        </w:rPr>
        <w:t xml:space="preserve"> на основі очікуваного ризику виникнення на організованих сегментах ринку, аукціонах, організованих торговельних майданчиках, товарних біржах, електронних торговельних майданчиках, торгових платформах тощо </w:t>
      </w:r>
      <w:r w:rsidRPr="003571EB">
        <w:rPr>
          <w:szCs w:val="28"/>
          <w:lang w:val="uk-UA"/>
        </w:rPr>
        <w:lastRenderedPageBreak/>
        <w:t>ОПООП, а також критерії щодо періодичності та методології перегляду процедур сповіщення та пов’язаних параметрів.</w:t>
      </w:r>
    </w:p>
    <w:p w14:paraId="38BA1F10" w14:textId="04CECFC9" w:rsidR="003571EB" w:rsidRPr="003571EB" w:rsidRDefault="003571EB" w:rsidP="003571EB">
      <w:pPr>
        <w:tabs>
          <w:tab w:val="left" w:pos="1134"/>
        </w:tabs>
        <w:ind w:firstLine="851"/>
        <w:jc w:val="both"/>
        <w:rPr>
          <w:szCs w:val="28"/>
          <w:lang w:val="uk-UA"/>
        </w:rPr>
      </w:pPr>
      <w:r w:rsidRPr="003571EB">
        <w:rPr>
          <w:szCs w:val="28"/>
          <w:lang w:val="uk-UA"/>
        </w:rPr>
        <w:t>ОПООП зобов’язана здійснювати регулярний перегляд стратегії спостереження та оцінки ризиків, зокрема у разі виявлення недоліків чинної стратегії, наявності обґрунтованих підстав вважати, що чинна стратегія не забезпечує належного охоплення ризиків або не дозволяє виявити окремі потенційні маніпулювання або спроби маніпулювання, а також у разі суттєвих змін у нормативно-правовій базі функціонування оптового енергетичного ринку або ринкових умов</w:t>
      </w:r>
      <w:r w:rsidR="005C5D10">
        <w:rPr>
          <w:szCs w:val="28"/>
          <w:lang w:val="uk-UA"/>
        </w:rPr>
        <w:t>,</w:t>
      </w:r>
      <w:r w:rsidRPr="003571EB">
        <w:rPr>
          <w:szCs w:val="28"/>
          <w:lang w:val="uk-UA"/>
        </w:rPr>
        <w:t xml:space="preserve"> або поведінки учасників оптового енергетичного ринку.</w:t>
      </w:r>
    </w:p>
    <w:p w14:paraId="45EF9F46" w14:textId="77777777" w:rsidR="003571EB" w:rsidRPr="003571EB" w:rsidRDefault="003571EB" w:rsidP="003571EB">
      <w:pPr>
        <w:tabs>
          <w:tab w:val="left" w:pos="1134"/>
        </w:tabs>
        <w:ind w:firstLine="851"/>
        <w:jc w:val="both"/>
        <w:rPr>
          <w:szCs w:val="28"/>
          <w:lang w:val="uk-UA"/>
        </w:rPr>
      </w:pPr>
      <w:r w:rsidRPr="003571EB">
        <w:rPr>
          <w:szCs w:val="28"/>
          <w:lang w:val="uk-UA"/>
        </w:rPr>
        <w:t>Система спостереження ОПООП враховує положення пункту 6.1 глави 6 цих Вимог та повинна мати можливість, зокрема:</w:t>
      </w:r>
    </w:p>
    <w:p w14:paraId="14BE0FEE" w14:textId="78D6FD17" w:rsidR="003571EB" w:rsidRPr="003571EB" w:rsidRDefault="003571EB" w:rsidP="003571EB">
      <w:pPr>
        <w:tabs>
          <w:tab w:val="left" w:pos="1134"/>
        </w:tabs>
        <w:ind w:firstLine="851"/>
        <w:jc w:val="both"/>
        <w:rPr>
          <w:szCs w:val="28"/>
          <w:lang w:val="uk-UA"/>
        </w:rPr>
      </w:pPr>
      <w:r w:rsidRPr="003571EB">
        <w:rPr>
          <w:szCs w:val="28"/>
          <w:lang w:val="uk-UA"/>
        </w:rPr>
        <w:t>аналізувати дії учасників оптового енергетичного ринку в розрізі кожної виконаної/невиконаної операції та розміщених, змінених, скасованих або відхилених заявок (пропозицій) на відповідному оптовому енергетичному ринку з метою виявлення підозрілої поведінки в розрізі типів зловживань;</w:t>
      </w:r>
    </w:p>
    <w:p w14:paraId="5A75EC95" w14:textId="3D3B9318" w:rsidR="003571EB" w:rsidRPr="003571EB" w:rsidRDefault="003571EB" w:rsidP="003571EB">
      <w:pPr>
        <w:tabs>
          <w:tab w:val="left" w:pos="1134"/>
        </w:tabs>
        <w:ind w:firstLine="851"/>
        <w:jc w:val="both"/>
        <w:rPr>
          <w:szCs w:val="28"/>
          <w:lang w:val="uk-UA"/>
        </w:rPr>
      </w:pPr>
      <w:r w:rsidRPr="003571EB">
        <w:rPr>
          <w:szCs w:val="28"/>
          <w:lang w:val="uk-UA"/>
        </w:rPr>
        <w:t xml:space="preserve">підтримувати механізми побудови історичних ланцюгів подій </w:t>
      </w:r>
      <w:r w:rsidR="005C5D10">
        <w:rPr>
          <w:szCs w:val="28"/>
          <w:lang w:val="uk-UA"/>
        </w:rPr>
        <w:t>у</w:t>
      </w:r>
      <w:r w:rsidR="005C5D10" w:rsidRPr="003571EB">
        <w:rPr>
          <w:szCs w:val="28"/>
          <w:lang w:val="uk-UA"/>
        </w:rPr>
        <w:t xml:space="preserve"> </w:t>
      </w:r>
      <w:r w:rsidRPr="003571EB">
        <w:rPr>
          <w:szCs w:val="28"/>
          <w:lang w:val="uk-UA"/>
        </w:rPr>
        <w:t>розрізі кожного учасника оптового енергетичного ринку та торгової сесії з метою виявлення нетипових торгових стратегій (відхилень від звичайної історичної поведінки) та потенційно підозрілої поведінки;</w:t>
      </w:r>
    </w:p>
    <w:p w14:paraId="79020923" w14:textId="3186D2BE" w:rsidR="003571EB" w:rsidRPr="003571EB" w:rsidRDefault="003571EB" w:rsidP="003571EB">
      <w:pPr>
        <w:tabs>
          <w:tab w:val="left" w:pos="1134"/>
        </w:tabs>
        <w:ind w:firstLine="851"/>
        <w:jc w:val="both"/>
        <w:rPr>
          <w:szCs w:val="28"/>
          <w:lang w:val="uk-UA"/>
        </w:rPr>
      </w:pPr>
      <w:r w:rsidRPr="003571EB">
        <w:rPr>
          <w:szCs w:val="28"/>
          <w:lang w:val="uk-UA"/>
        </w:rPr>
        <w:t>створювати сповіщення (набір індикаторів), що визначає та повідомляє про підозрілу поведінку учасників оптового енергетичного ринку та вказує на дії, які вимагають подальшого аналізу. Сповіщення (індикатори) мають оновлюватися та коригуватися з урахуванням нових практик маніпулювання та спроб маніпулювання;</w:t>
      </w:r>
    </w:p>
    <w:p w14:paraId="5E256AF7" w14:textId="1C4F8064" w:rsidR="003571EB" w:rsidRPr="003571EB" w:rsidRDefault="003571EB" w:rsidP="003571EB">
      <w:pPr>
        <w:tabs>
          <w:tab w:val="left" w:pos="1134"/>
        </w:tabs>
        <w:ind w:firstLine="851"/>
        <w:jc w:val="both"/>
        <w:rPr>
          <w:szCs w:val="28"/>
          <w:lang w:val="uk-UA"/>
        </w:rPr>
      </w:pPr>
      <w:r w:rsidRPr="003571EB">
        <w:rPr>
          <w:szCs w:val="28"/>
          <w:lang w:val="uk-UA"/>
        </w:rPr>
        <w:t>передбачати журнал подій для відстеження всіх спрацювань системи сповіщень та результатів обробки кожного такого сповіщення;</w:t>
      </w:r>
    </w:p>
    <w:p w14:paraId="5C856B42" w14:textId="30FD4D1A" w:rsidR="003571EB" w:rsidRPr="003571EB" w:rsidRDefault="003571EB" w:rsidP="003571EB">
      <w:pPr>
        <w:tabs>
          <w:tab w:val="left" w:pos="1134"/>
        </w:tabs>
        <w:ind w:firstLine="851"/>
        <w:jc w:val="both"/>
        <w:rPr>
          <w:szCs w:val="28"/>
          <w:lang w:val="uk-UA"/>
        </w:rPr>
      </w:pPr>
      <w:r w:rsidRPr="003571EB">
        <w:rPr>
          <w:szCs w:val="28"/>
          <w:lang w:val="uk-UA"/>
        </w:rPr>
        <w:t>забезпечувати графічний аналіз дій учасників оптового енергетичного ринку в розрізі торгової сесії;</w:t>
      </w:r>
    </w:p>
    <w:p w14:paraId="0570A18A" w14:textId="0083B0F2" w:rsidR="003571EB" w:rsidRPr="003571EB" w:rsidRDefault="003571EB" w:rsidP="003571EB">
      <w:pPr>
        <w:tabs>
          <w:tab w:val="left" w:pos="1134"/>
        </w:tabs>
        <w:ind w:firstLine="851"/>
        <w:jc w:val="both"/>
        <w:rPr>
          <w:szCs w:val="28"/>
          <w:lang w:val="uk-UA"/>
        </w:rPr>
      </w:pPr>
      <w:r w:rsidRPr="003571EB">
        <w:rPr>
          <w:szCs w:val="28"/>
          <w:lang w:val="uk-UA"/>
        </w:rPr>
        <w:t>підтримувати гнучке налаштування порогових значень і сценаріїв спрацювання сповіщень для різних категорій учасників оптового енергетичного ринку;</w:t>
      </w:r>
    </w:p>
    <w:p w14:paraId="4CF1E773" w14:textId="5727E6DD" w:rsidR="003571EB" w:rsidRPr="003571EB" w:rsidRDefault="003571EB" w:rsidP="003571EB">
      <w:pPr>
        <w:tabs>
          <w:tab w:val="left" w:pos="1134"/>
        </w:tabs>
        <w:ind w:firstLine="851"/>
        <w:jc w:val="both"/>
        <w:rPr>
          <w:szCs w:val="28"/>
          <w:lang w:val="uk-UA"/>
        </w:rPr>
      </w:pPr>
      <w:r w:rsidRPr="003571EB">
        <w:rPr>
          <w:szCs w:val="28"/>
          <w:lang w:val="uk-UA"/>
        </w:rPr>
        <w:t>формувати дані для розрахунку впливу підозрілої поведінки на оптовий енергетичний ринок або його сегменти шляхом моделювання;</w:t>
      </w:r>
    </w:p>
    <w:p w14:paraId="3EEA4756" w14:textId="30D099E8" w:rsidR="00643FEA" w:rsidRPr="00F052C2" w:rsidRDefault="003571EB" w:rsidP="003571EB">
      <w:pPr>
        <w:tabs>
          <w:tab w:val="left" w:pos="1134"/>
        </w:tabs>
        <w:ind w:firstLine="851"/>
        <w:jc w:val="both"/>
        <w:rPr>
          <w:szCs w:val="28"/>
          <w:lang w:val="uk-UA"/>
        </w:rPr>
      </w:pPr>
      <w:r w:rsidRPr="003571EB">
        <w:rPr>
          <w:szCs w:val="28"/>
          <w:lang w:val="uk-UA"/>
        </w:rPr>
        <w:t>забезпечити доступ НКРЕКП до системи спостереження та можливість експорту даних для подальшої обробки з метою проведення дослідження ринкової поведінки учасників оптового енергетичного ринку.</w:t>
      </w:r>
      <w:r w:rsidR="0038509C" w:rsidRPr="00F052C2">
        <w:rPr>
          <w:szCs w:val="28"/>
          <w:lang w:val="uk-UA"/>
        </w:rPr>
        <w:t>»;</w:t>
      </w:r>
    </w:p>
    <w:p w14:paraId="0FB1B110" w14:textId="77777777" w:rsidR="00E9454D" w:rsidRDefault="00E9454D" w:rsidP="00643FEA">
      <w:pPr>
        <w:tabs>
          <w:tab w:val="left" w:pos="1134"/>
        </w:tabs>
        <w:ind w:firstLine="851"/>
        <w:jc w:val="both"/>
        <w:rPr>
          <w:szCs w:val="28"/>
          <w:lang w:val="uk-UA"/>
        </w:rPr>
      </w:pPr>
    </w:p>
    <w:p w14:paraId="754E9DC7" w14:textId="0E30D908" w:rsidR="0038509C" w:rsidRPr="00F052C2" w:rsidRDefault="000C7892" w:rsidP="00643FEA">
      <w:pPr>
        <w:tabs>
          <w:tab w:val="left" w:pos="1134"/>
        </w:tabs>
        <w:ind w:firstLine="851"/>
        <w:jc w:val="both"/>
        <w:rPr>
          <w:szCs w:val="28"/>
          <w:lang w:val="uk-UA"/>
        </w:rPr>
      </w:pPr>
      <w:r w:rsidRPr="00F052C2">
        <w:rPr>
          <w:szCs w:val="28"/>
          <w:lang w:val="uk-UA"/>
        </w:rPr>
        <w:t>2) </w:t>
      </w:r>
      <w:r w:rsidR="0038509C" w:rsidRPr="00F052C2">
        <w:rPr>
          <w:szCs w:val="28"/>
          <w:lang w:val="uk-UA"/>
        </w:rPr>
        <w:t xml:space="preserve">пункт 5.4 доповнити </w:t>
      </w:r>
      <w:r w:rsidR="00A9196D">
        <w:rPr>
          <w:szCs w:val="28"/>
          <w:lang w:val="uk-UA"/>
        </w:rPr>
        <w:t xml:space="preserve">трьома </w:t>
      </w:r>
      <w:r w:rsidR="0038509C" w:rsidRPr="00F052C2">
        <w:rPr>
          <w:szCs w:val="28"/>
          <w:lang w:val="uk-UA"/>
        </w:rPr>
        <w:t>новим</w:t>
      </w:r>
      <w:r w:rsidR="00A9196D">
        <w:rPr>
          <w:szCs w:val="28"/>
          <w:lang w:val="uk-UA"/>
        </w:rPr>
        <w:t>и</w:t>
      </w:r>
      <w:r w:rsidR="0038509C" w:rsidRPr="00F052C2">
        <w:rPr>
          <w:szCs w:val="28"/>
          <w:lang w:val="uk-UA"/>
        </w:rPr>
        <w:t xml:space="preserve"> абзац</w:t>
      </w:r>
      <w:r w:rsidR="00A9196D">
        <w:rPr>
          <w:szCs w:val="28"/>
          <w:lang w:val="uk-UA"/>
        </w:rPr>
        <w:t>ами</w:t>
      </w:r>
      <w:r w:rsidR="0038509C" w:rsidRPr="00F052C2">
        <w:rPr>
          <w:szCs w:val="28"/>
          <w:lang w:val="uk-UA"/>
        </w:rPr>
        <w:t xml:space="preserve"> такого змісту:</w:t>
      </w:r>
    </w:p>
    <w:p w14:paraId="77A9742D" w14:textId="77777777" w:rsidR="00062CBF" w:rsidRPr="00062CBF" w:rsidRDefault="0038509C" w:rsidP="00062CBF">
      <w:pPr>
        <w:tabs>
          <w:tab w:val="left" w:pos="1134"/>
        </w:tabs>
        <w:ind w:firstLine="851"/>
        <w:jc w:val="both"/>
        <w:rPr>
          <w:szCs w:val="28"/>
          <w:lang w:val="uk-UA"/>
        </w:rPr>
      </w:pPr>
      <w:r w:rsidRPr="00F052C2">
        <w:rPr>
          <w:szCs w:val="28"/>
          <w:lang w:val="uk-UA"/>
        </w:rPr>
        <w:t>«</w:t>
      </w:r>
      <w:r w:rsidR="00062CBF" w:rsidRPr="00062CBF">
        <w:rPr>
          <w:szCs w:val="28"/>
          <w:lang w:val="uk-UA"/>
        </w:rPr>
        <w:t>ОПООП зобов’язані подавати НКРЕКП:</w:t>
      </w:r>
    </w:p>
    <w:p w14:paraId="3ADADB6F" w14:textId="5C00505D" w:rsidR="00062CBF" w:rsidRPr="00062CBF" w:rsidRDefault="00062CBF" w:rsidP="00062CBF">
      <w:pPr>
        <w:tabs>
          <w:tab w:val="left" w:pos="1134"/>
        </w:tabs>
        <w:ind w:firstLine="851"/>
        <w:jc w:val="both"/>
        <w:rPr>
          <w:szCs w:val="28"/>
          <w:lang w:val="uk-UA"/>
        </w:rPr>
      </w:pPr>
      <w:r w:rsidRPr="00062CBF">
        <w:rPr>
          <w:szCs w:val="28"/>
          <w:lang w:val="uk-UA"/>
        </w:rPr>
        <w:t xml:space="preserve">Звіт про результати спостереження згідно з формою, </w:t>
      </w:r>
      <w:r w:rsidR="006325E0">
        <w:rPr>
          <w:szCs w:val="28"/>
          <w:lang w:val="uk-UA"/>
        </w:rPr>
        <w:t>що є</w:t>
      </w:r>
      <w:r w:rsidRPr="00062CBF">
        <w:rPr>
          <w:szCs w:val="28"/>
          <w:lang w:val="uk-UA"/>
        </w:rPr>
        <w:t xml:space="preserve"> додатк</w:t>
      </w:r>
      <w:r w:rsidR="006325E0">
        <w:rPr>
          <w:szCs w:val="28"/>
          <w:lang w:val="uk-UA"/>
        </w:rPr>
        <w:t>ом</w:t>
      </w:r>
      <w:r w:rsidRPr="00062CBF">
        <w:rPr>
          <w:szCs w:val="28"/>
          <w:lang w:val="uk-UA"/>
        </w:rPr>
        <w:t xml:space="preserve"> 5 до цих Вимог. Такий звіт подається щокварталу до 05 числа місяця, наступного за звітним періодом;</w:t>
      </w:r>
    </w:p>
    <w:p w14:paraId="0DF6EA9A" w14:textId="7920F92D" w:rsidR="0038509C" w:rsidRPr="00F052C2" w:rsidRDefault="00062CBF" w:rsidP="00062CBF">
      <w:pPr>
        <w:tabs>
          <w:tab w:val="left" w:pos="1134"/>
        </w:tabs>
        <w:ind w:firstLine="851"/>
        <w:jc w:val="both"/>
        <w:rPr>
          <w:szCs w:val="28"/>
          <w:lang w:val="uk-UA"/>
        </w:rPr>
      </w:pPr>
      <w:r w:rsidRPr="00062CBF">
        <w:rPr>
          <w:szCs w:val="28"/>
          <w:lang w:val="uk-UA"/>
        </w:rPr>
        <w:t>Стратегію спостереження протягом 10 робочих днів з дня її затвердження або внесення змін до неї.</w:t>
      </w:r>
      <w:r w:rsidR="0038509C" w:rsidRPr="00F052C2">
        <w:rPr>
          <w:szCs w:val="28"/>
          <w:lang w:val="uk-UA"/>
        </w:rPr>
        <w:t>»;</w:t>
      </w:r>
    </w:p>
    <w:p w14:paraId="189F9560" w14:textId="1317EAB6" w:rsidR="0038509C" w:rsidRPr="00F052C2" w:rsidRDefault="000C7892" w:rsidP="00643FEA">
      <w:pPr>
        <w:tabs>
          <w:tab w:val="left" w:pos="1134"/>
        </w:tabs>
        <w:ind w:firstLine="851"/>
        <w:jc w:val="both"/>
        <w:rPr>
          <w:szCs w:val="28"/>
          <w:lang w:val="uk-UA"/>
        </w:rPr>
      </w:pPr>
      <w:r w:rsidRPr="00F052C2">
        <w:rPr>
          <w:szCs w:val="28"/>
          <w:lang w:val="uk-UA"/>
        </w:rPr>
        <w:lastRenderedPageBreak/>
        <w:t>3) </w:t>
      </w:r>
      <w:r w:rsidR="0038509C" w:rsidRPr="00F052C2">
        <w:rPr>
          <w:szCs w:val="28"/>
          <w:lang w:val="uk-UA"/>
        </w:rPr>
        <w:t>пункт 5.6 доповнити новим абзацом такого змісту:</w:t>
      </w:r>
    </w:p>
    <w:p w14:paraId="4AD8A4F4" w14:textId="17940350" w:rsidR="0038509C" w:rsidRPr="00F052C2" w:rsidRDefault="0038509C" w:rsidP="00643FEA">
      <w:pPr>
        <w:tabs>
          <w:tab w:val="left" w:pos="1134"/>
        </w:tabs>
        <w:ind w:firstLine="851"/>
        <w:jc w:val="both"/>
        <w:rPr>
          <w:szCs w:val="28"/>
          <w:lang w:val="uk-UA"/>
        </w:rPr>
      </w:pPr>
      <w:r w:rsidRPr="00F052C2">
        <w:rPr>
          <w:szCs w:val="28"/>
          <w:lang w:val="uk-UA"/>
        </w:rPr>
        <w:t>«</w:t>
      </w:r>
      <w:r w:rsidR="00062CBF" w:rsidRPr="00062CBF">
        <w:rPr>
          <w:szCs w:val="28"/>
          <w:lang w:val="uk-UA"/>
        </w:rPr>
        <w:t>У разі виявлення підозрілої поведінки на оптовому енергетичному ринку з метою об'єктивного аналізу ситуації ОПООП має право звертатись до учасника(</w:t>
      </w:r>
      <w:proofErr w:type="spellStart"/>
      <w:r w:rsidR="00062CBF" w:rsidRPr="00062CBF">
        <w:rPr>
          <w:szCs w:val="28"/>
          <w:lang w:val="uk-UA"/>
        </w:rPr>
        <w:t>ів</w:t>
      </w:r>
      <w:proofErr w:type="spellEnd"/>
      <w:r w:rsidR="00062CBF" w:rsidRPr="00062CBF">
        <w:rPr>
          <w:szCs w:val="28"/>
          <w:lang w:val="uk-UA"/>
        </w:rPr>
        <w:t>) оптового енергетичного ринку щодо надання пояснень причин такої поведінки, а також підтвердження ресурсного забезпечення для здійснення операцій з оптовими енергетичними продуктами</w:t>
      </w:r>
      <w:r w:rsidR="00062CBF">
        <w:rPr>
          <w:szCs w:val="28"/>
          <w:lang w:val="uk-UA"/>
        </w:rPr>
        <w:t>.</w:t>
      </w:r>
      <w:r w:rsidRPr="00F052C2">
        <w:rPr>
          <w:szCs w:val="28"/>
          <w:lang w:val="uk-UA"/>
        </w:rPr>
        <w:t>»;</w:t>
      </w:r>
    </w:p>
    <w:p w14:paraId="465AB05B" w14:textId="77777777" w:rsidR="00E9454D" w:rsidRDefault="00E9454D" w:rsidP="00643FEA">
      <w:pPr>
        <w:tabs>
          <w:tab w:val="left" w:pos="1134"/>
        </w:tabs>
        <w:ind w:firstLine="851"/>
        <w:jc w:val="both"/>
        <w:rPr>
          <w:szCs w:val="28"/>
          <w:lang w:val="uk-UA"/>
        </w:rPr>
      </w:pPr>
    </w:p>
    <w:p w14:paraId="4B376138" w14:textId="50ED9ADB" w:rsidR="0038509C" w:rsidRPr="00F052C2" w:rsidRDefault="000C7892" w:rsidP="00643FEA">
      <w:pPr>
        <w:tabs>
          <w:tab w:val="left" w:pos="1134"/>
        </w:tabs>
        <w:ind w:firstLine="851"/>
        <w:jc w:val="both"/>
        <w:rPr>
          <w:szCs w:val="28"/>
          <w:lang w:val="uk-UA"/>
        </w:rPr>
      </w:pPr>
      <w:r w:rsidRPr="00F052C2">
        <w:rPr>
          <w:szCs w:val="28"/>
          <w:lang w:val="uk-UA"/>
        </w:rPr>
        <w:t>4) </w:t>
      </w:r>
      <w:r w:rsidR="0038509C" w:rsidRPr="00F052C2">
        <w:rPr>
          <w:szCs w:val="28"/>
          <w:lang w:val="uk-UA"/>
        </w:rPr>
        <w:t>у пункті 5.7:</w:t>
      </w:r>
    </w:p>
    <w:p w14:paraId="422737D4" w14:textId="3A9C2A74" w:rsidR="0038509C" w:rsidRPr="00F052C2" w:rsidRDefault="0038509C" w:rsidP="00643FEA">
      <w:pPr>
        <w:tabs>
          <w:tab w:val="left" w:pos="1134"/>
        </w:tabs>
        <w:ind w:firstLine="851"/>
        <w:jc w:val="both"/>
        <w:rPr>
          <w:szCs w:val="28"/>
          <w:lang w:val="uk-UA"/>
        </w:rPr>
      </w:pPr>
      <w:r w:rsidRPr="00F052C2">
        <w:rPr>
          <w:szCs w:val="28"/>
          <w:lang w:val="uk-UA"/>
        </w:rPr>
        <w:t>абзац друг</w:t>
      </w:r>
      <w:r w:rsidR="001E660C">
        <w:rPr>
          <w:szCs w:val="28"/>
          <w:lang w:val="uk-UA"/>
        </w:rPr>
        <w:t>ий</w:t>
      </w:r>
      <w:r w:rsidRPr="00F052C2">
        <w:rPr>
          <w:szCs w:val="28"/>
          <w:lang w:val="uk-UA"/>
        </w:rPr>
        <w:t xml:space="preserve"> після слова «учасника» доповнити словами «оптового енергетичного»;</w:t>
      </w:r>
    </w:p>
    <w:p w14:paraId="52F25433" w14:textId="251E4D7C" w:rsidR="0038509C" w:rsidRPr="00F052C2" w:rsidRDefault="0038509C" w:rsidP="00643FEA">
      <w:pPr>
        <w:tabs>
          <w:tab w:val="left" w:pos="1134"/>
        </w:tabs>
        <w:ind w:firstLine="851"/>
        <w:jc w:val="both"/>
        <w:rPr>
          <w:szCs w:val="28"/>
          <w:lang w:val="uk-UA"/>
        </w:rPr>
      </w:pPr>
      <w:r w:rsidRPr="00F052C2">
        <w:rPr>
          <w:szCs w:val="28"/>
          <w:lang w:val="uk-UA"/>
        </w:rPr>
        <w:t>після абзацу другого доповнити новим абзацом третім такого змісту:</w:t>
      </w:r>
    </w:p>
    <w:p w14:paraId="2F077327" w14:textId="267F49A0" w:rsidR="0038509C" w:rsidRPr="00F052C2" w:rsidRDefault="00BF41FC" w:rsidP="00643FEA">
      <w:pPr>
        <w:tabs>
          <w:tab w:val="left" w:pos="1134"/>
        </w:tabs>
        <w:ind w:firstLine="851"/>
        <w:jc w:val="both"/>
        <w:rPr>
          <w:szCs w:val="28"/>
          <w:lang w:val="uk-UA"/>
        </w:rPr>
      </w:pPr>
      <w:r w:rsidRPr="00F052C2">
        <w:rPr>
          <w:szCs w:val="28"/>
          <w:lang w:val="uk-UA"/>
        </w:rPr>
        <w:t>«ОПООП не повинна повідомляти учасника оптового енергетичного ринку щодо повідомлення НКРЕКП про підозрілу поведінку на оптовому енергетичному</w:t>
      </w:r>
      <w:r w:rsidR="00B93AF9">
        <w:rPr>
          <w:szCs w:val="28"/>
          <w:lang w:val="uk-UA"/>
        </w:rPr>
        <w:t xml:space="preserve"> ринку</w:t>
      </w:r>
      <w:r w:rsidRPr="00F052C2">
        <w:rPr>
          <w:szCs w:val="28"/>
          <w:lang w:val="uk-UA"/>
        </w:rPr>
        <w:t>.».</w:t>
      </w:r>
    </w:p>
    <w:p w14:paraId="4CDD2D70" w14:textId="11036A00" w:rsidR="00BF41FC" w:rsidRPr="00F052C2" w:rsidRDefault="00BF41FC" w:rsidP="00643FEA">
      <w:pPr>
        <w:tabs>
          <w:tab w:val="left" w:pos="1134"/>
        </w:tabs>
        <w:ind w:firstLine="851"/>
        <w:jc w:val="both"/>
        <w:rPr>
          <w:szCs w:val="28"/>
          <w:lang w:val="uk-UA"/>
        </w:rPr>
      </w:pPr>
      <w:r w:rsidRPr="00F052C2">
        <w:rPr>
          <w:lang w:val="uk-UA"/>
        </w:rPr>
        <w:t>У зв’язку з цим абзаци третій та четвертий вважати відповідно абзацами четверти</w:t>
      </w:r>
      <w:r w:rsidR="00C32771">
        <w:rPr>
          <w:lang w:val="uk-UA"/>
        </w:rPr>
        <w:t>м</w:t>
      </w:r>
      <w:r w:rsidRPr="00F052C2">
        <w:rPr>
          <w:lang w:val="uk-UA"/>
        </w:rPr>
        <w:t xml:space="preserve"> та п’яти</w:t>
      </w:r>
      <w:r w:rsidR="00C32771">
        <w:rPr>
          <w:lang w:val="uk-UA"/>
        </w:rPr>
        <w:t>м</w:t>
      </w:r>
      <w:r w:rsidR="0016665B">
        <w:rPr>
          <w:lang w:val="uk-UA"/>
        </w:rPr>
        <w:t>.</w:t>
      </w:r>
    </w:p>
    <w:p w14:paraId="6D77BC43" w14:textId="77777777" w:rsidR="0038509C" w:rsidRPr="00F052C2" w:rsidRDefault="0038509C" w:rsidP="00643FEA">
      <w:pPr>
        <w:tabs>
          <w:tab w:val="left" w:pos="1134"/>
        </w:tabs>
        <w:ind w:firstLine="851"/>
        <w:jc w:val="both"/>
        <w:rPr>
          <w:szCs w:val="28"/>
          <w:lang w:val="uk-UA"/>
        </w:rPr>
      </w:pPr>
    </w:p>
    <w:p w14:paraId="54935519" w14:textId="4B064BF4" w:rsidR="00BF41FC" w:rsidRPr="00F052C2" w:rsidRDefault="000C7892" w:rsidP="00BF41FC">
      <w:pPr>
        <w:tabs>
          <w:tab w:val="left" w:pos="1134"/>
        </w:tabs>
        <w:ind w:firstLine="851"/>
        <w:jc w:val="both"/>
        <w:rPr>
          <w:szCs w:val="28"/>
          <w:lang w:val="uk-UA"/>
        </w:rPr>
      </w:pPr>
      <w:r w:rsidRPr="00F052C2">
        <w:rPr>
          <w:szCs w:val="28"/>
          <w:lang w:val="uk-UA"/>
        </w:rPr>
        <w:t>3.</w:t>
      </w:r>
      <w:r w:rsidR="00643FEA" w:rsidRPr="00F052C2">
        <w:rPr>
          <w:szCs w:val="28"/>
          <w:lang w:val="uk-UA"/>
        </w:rPr>
        <w:t> </w:t>
      </w:r>
      <w:r w:rsidRPr="00F052C2">
        <w:rPr>
          <w:szCs w:val="28"/>
          <w:lang w:val="uk-UA"/>
        </w:rPr>
        <w:t>П</w:t>
      </w:r>
      <w:r w:rsidR="00BF41FC" w:rsidRPr="00F052C2">
        <w:rPr>
          <w:szCs w:val="28"/>
          <w:lang w:val="uk-UA"/>
        </w:rPr>
        <w:t>ункт 6.3 глави 6 доповнити новим підпунктом такого змісту:</w:t>
      </w:r>
    </w:p>
    <w:p w14:paraId="3CBF8A68" w14:textId="4B9CB432" w:rsidR="00643FEA" w:rsidRPr="00F052C2" w:rsidRDefault="00BF41FC" w:rsidP="00BF41FC">
      <w:pPr>
        <w:tabs>
          <w:tab w:val="left" w:pos="1134"/>
        </w:tabs>
        <w:ind w:firstLine="851"/>
        <w:jc w:val="both"/>
        <w:rPr>
          <w:szCs w:val="28"/>
          <w:lang w:val="uk-UA"/>
        </w:rPr>
      </w:pPr>
      <w:r w:rsidRPr="00F052C2">
        <w:rPr>
          <w:szCs w:val="28"/>
          <w:lang w:val="uk-UA"/>
        </w:rPr>
        <w:t>«</w:t>
      </w:r>
      <w:r w:rsidR="00811622">
        <w:rPr>
          <w:szCs w:val="28"/>
          <w:lang w:val="uk-UA"/>
        </w:rPr>
        <w:t xml:space="preserve">10) </w:t>
      </w:r>
      <w:r w:rsidRPr="00F052C2">
        <w:rPr>
          <w:szCs w:val="28"/>
          <w:lang w:val="uk-UA"/>
        </w:rPr>
        <w:t>подані заявки (пропозиції) на продаж або виконані операції створюють або мають намір створити неправдивий чи оманливий сигнал для пропозиції чи ціни для оптового енергетичного продукту в межах конкретної торгової сесії шляхом введення заявок, які не мають ресурсного забезпечення.»</w:t>
      </w:r>
      <w:r w:rsidR="00E71E3D">
        <w:rPr>
          <w:szCs w:val="28"/>
          <w:lang w:val="uk-UA"/>
        </w:rPr>
        <w:t>.</w:t>
      </w:r>
    </w:p>
    <w:p w14:paraId="2EA3E2A0" w14:textId="77777777" w:rsidR="00BF41FC" w:rsidRPr="00F052C2" w:rsidRDefault="00BF41FC" w:rsidP="00BF41FC">
      <w:pPr>
        <w:tabs>
          <w:tab w:val="left" w:pos="1134"/>
        </w:tabs>
        <w:ind w:firstLine="851"/>
        <w:jc w:val="both"/>
        <w:rPr>
          <w:szCs w:val="28"/>
          <w:lang w:val="uk-UA"/>
        </w:rPr>
      </w:pPr>
    </w:p>
    <w:p w14:paraId="642F431B" w14:textId="4611DD9C" w:rsidR="0010590F" w:rsidRDefault="000C7892" w:rsidP="00643FEA">
      <w:pPr>
        <w:tabs>
          <w:tab w:val="left" w:pos="1134"/>
        </w:tabs>
        <w:ind w:firstLine="851"/>
        <w:jc w:val="both"/>
        <w:rPr>
          <w:lang w:val="uk-UA"/>
        </w:rPr>
      </w:pPr>
      <w:r w:rsidRPr="00F052C2">
        <w:rPr>
          <w:lang w:val="uk-UA"/>
        </w:rPr>
        <w:t>4. Д</w:t>
      </w:r>
      <w:r w:rsidR="007E2EF0" w:rsidRPr="00F052C2">
        <w:rPr>
          <w:lang w:val="uk-UA"/>
        </w:rPr>
        <w:t>оповнити новим додатком</w:t>
      </w:r>
      <w:r w:rsidRPr="00F052C2">
        <w:rPr>
          <w:lang w:val="uk-UA"/>
        </w:rPr>
        <w:t>, що додаєть</w:t>
      </w:r>
      <w:r w:rsidR="00D759E2">
        <w:rPr>
          <w:lang w:val="uk-UA"/>
        </w:rPr>
        <w:t>ся.</w:t>
      </w:r>
    </w:p>
    <w:p w14:paraId="7EBC683F" w14:textId="77777777" w:rsidR="0010590F" w:rsidRDefault="0010590F" w:rsidP="00643FEA">
      <w:pPr>
        <w:tabs>
          <w:tab w:val="left" w:pos="1134"/>
        </w:tabs>
        <w:ind w:firstLine="851"/>
        <w:jc w:val="both"/>
        <w:rPr>
          <w:lang w:val="uk-UA"/>
        </w:rPr>
      </w:pPr>
    </w:p>
    <w:p w14:paraId="05B5264D" w14:textId="77777777" w:rsidR="00580165" w:rsidRPr="00F052C2" w:rsidRDefault="00580165" w:rsidP="00643FEA">
      <w:pPr>
        <w:tabs>
          <w:tab w:val="left" w:pos="1134"/>
        </w:tabs>
        <w:ind w:firstLine="851"/>
        <w:jc w:val="both"/>
        <w:rPr>
          <w:lang w:val="uk-UA"/>
        </w:rPr>
      </w:pPr>
    </w:p>
    <w:p w14:paraId="00EA54DC" w14:textId="77777777" w:rsidR="0010590F" w:rsidRPr="00F052C2" w:rsidRDefault="0010590F" w:rsidP="0010590F">
      <w:pPr>
        <w:tabs>
          <w:tab w:val="left" w:pos="1134"/>
        </w:tabs>
        <w:jc w:val="center"/>
        <w:rPr>
          <w:lang w:val="uk-UA"/>
        </w:rPr>
      </w:pPr>
      <w:r w:rsidRPr="00F052C2">
        <w:rPr>
          <w:szCs w:val="28"/>
          <w:lang w:val="uk-UA"/>
        </w:rPr>
        <w:t>________________________________</w:t>
      </w:r>
    </w:p>
    <w:p w14:paraId="24E8637C" w14:textId="0D780212" w:rsidR="0010590F" w:rsidRDefault="0010590F" w:rsidP="0010590F">
      <w:pPr>
        <w:tabs>
          <w:tab w:val="left" w:pos="1134"/>
        </w:tabs>
        <w:ind w:firstLine="851"/>
        <w:jc w:val="both"/>
        <w:rPr>
          <w:lang w:val="uk-UA"/>
        </w:rPr>
      </w:pPr>
    </w:p>
    <w:p w14:paraId="59AB47B1" w14:textId="77777777" w:rsidR="00E85D67" w:rsidRPr="00F052C2" w:rsidRDefault="00E85D67" w:rsidP="00643FEA">
      <w:pPr>
        <w:tabs>
          <w:tab w:val="left" w:pos="1134"/>
        </w:tabs>
        <w:ind w:firstLine="851"/>
        <w:jc w:val="both"/>
        <w:rPr>
          <w:lang w:val="uk-UA"/>
        </w:rPr>
      </w:pPr>
    </w:p>
    <w:p w14:paraId="057FAC92" w14:textId="77777777" w:rsidR="00E85D67" w:rsidRDefault="00E85D67">
      <w:pPr>
        <w:spacing w:after="160" w:line="278" w:lineRule="auto"/>
        <w:rPr>
          <w:szCs w:val="28"/>
          <w:lang w:val="uk-UA"/>
        </w:rPr>
        <w:sectPr w:rsidR="00E85D67" w:rsidSect="00643FEA">
          <w:headerReference w:type="default" r:id="rId10"/>
          <w:headerReference w:type="first" r:id="rId11"/>
          <w:pgSz w:w="11906" w:h="16838"/>
          <w:pgMar w:top="1134" w:right="567" w:bottom="1276" w:left="1701" w:header="709" w:footer="709" w:gutter="0"/>
          <w:pgNumType w:start="1"/>
          <w:cols w:space="708"/>
          <w:titlePg/>
          <w:docGrid w:linePitch="360"/>
        </w:sectPr>
      </w:pPr>
    </w:p>
    <w:p w14:paraId="4BA40A39" w14:textId="0E0C00A2" w:rsidR="00896295" w:rsidRPr="00F052C2" w:rsidRDefault="00896295">
      <w:pPr>
        <w:spacing w:after="160" w:line="278" w:lineRule="auto"/>
        <w:rPr>
          <w:szCs w:val="28"/>
          <w:lang w:val="uk-UA"/>
        </w:rPr>
      </w:pPr>
    </w:p>
    <w:p w14:paraId="4BE5B58C" w14:textId="77777777" w:rsidR="00896295" w:rsidRPr="00F052C2" w:rsidRDefault="00896295" w:rsidP="00F052C2">
      <w:pPr>
        <w:ind w:left="5245"/>
        <w:jc w:val="both"/>
        <w:rPr>
          <w:lang w:val="uk-UA"/>
        </w:rPr>
      </w:pPr>
      <w:r w:rsidRPr="00F052C2">
        <w:rPr>
          <w:lang w:val="uk-UA"/>
        </w:rPr>
        <w:t>Додаток 5</w:t>
      </w:r>
    </w:p>
    <w:p w14:paraId="16E6F8B9" w14:textId="5A90F3E1" w:rsidR="00896295" w:rsidRPr="00F052C2" w:rsidRDefault="00896295" w:rsidP="00F052C2">
      <w:pPr>
        <w:ind w:left="5245"/>
        <w:jc w:val="both"/>
        <w:rPr>
          <w:lang w:val="uk-UA"/>
        </w:rPr>
      </w:pPr>
      <w:r w:rsidRPr="00F052C2">
        <w:rPr>
          <w:lang w:val="uk-UA"/>
        </w:rPr>
        <w:t>до Вимог щодо забезпечення</w:t>
      </w:r>
      <w:r w:rsidR="00F052C2">
        <w:rPr>
          <w:lang w:val="uk-UA"/>
        </w:rPr>
        <w:t xml:space="preserve"> </w:t>
      </w:r>
      <w:r w:rsidRPr="00F052C2">
        <w:rPr>
          <w:lang w:val="uk-UA"/>
        </w:rPr>
        <w:t>доброчесності та прозорості</w:t>
      </w:r>
      <w:r w:rsidR="00F052C2">
        <w:rPr>
          <w:lang w:val="uk-UA"/>
        </w:rPr>
        <w:t xml:space="preserve"> </w:t>
      </w:r>
      <w:r w:rsidR="00F052C2">
        <w:rPr>
          <w:lang w:val="uk-UA"/>
        </w:rPr>
        <w:br/>
      </w:r>
      <w:r w:rsidRPr="00F052C2">
        <w:rPr>
          <w:lang w:val="uk-UA"/>
        </w:rPr>
        <w:t>на оптовому енергетичному ринку</w:t>
      </w:r>
    </w:p>
    <w:p w14:paraId="35E092C5" w14:textId="77777777" w:rsidR="00896295" w:rsidRPr="00F052C2" w:rsidRDefault="00896295" w:rsidP="00896295">
      <w:pPr>
        <w:spacing w:line="278" w:lineRule="auto"/>
        <w:ind w:left="5245"/>
        <w:rPr>
          <w:lang w:val="uk-UA"/>
        </w:rPr>
      </w:pPr>
    </w:p>
    <w:p w14:paraId="036B66F0" w14:textId="77777777" w:rsidR="00896295" w:rsidRPr="00F052C2" w:rsidRDefault="00896295" w:rsidP="00896295">
      <w:pPr>
        <w:spacing w:line="278" w:lineRule="auto"/>
        <w:jc w:val="center"/>
        <w:rPr>
          <w:b/>
          <w:bCs/>
          <w:lang w:val="uk-UA"/>
        </w:rPr>
      </w:pPr>
      <w:r w:rsidRPr="00F052C2">
        <w:rPr>
          <w:b/>
          <w:bCs/>
          <w:lang w:val="uk-UA"/>
        </w:rPr>
        <w:t xml:space="preserve">ЗВІТ </w:t>
      </w:r>
      <w:r w:rsidRPr="00F052C2">
        <w:rPr>
          <w:b/>
          <w:bCs/>
          <w:lang w:val="uk-UA"/>
        </w:rPr>
        <w:br/>
        <w:t>про результати спостереження</w:t>
      </w:r>
    </w:p>
    <w:p w14:paraId="0C3A67E0" w14:textId="77777777" w:rsidR="00896295" w:rsidRPr="00F052C2" w:rsidRDefault="00896295" w:rsidP="00896295">
      <w:pPr>
        <w:spacing w:line="278" w:lineRule="auto"/>
        <w:jc w:val="center"/>
        <w:rPr>
          <w:lang w:val="uk-UA"/>
        </w:rPr>
      </w:pPr>
    </w:p>
    <w:p w14:paraId="4A58B0B8" w14:textId="37AFAFC7" w:rsidR="00896295" w:rsidRPr="00F052C2" w:rsidRDefault="00896295" w:rsidP="00896295">
      <w:pPr>
        <w:spacing w:line="278" w:lineRule="auto"/>
        <w:jc w:val="center"/>
        <w:rPr>
          <w:lang w:val="uk-UA"/>
        </w:rPr>
      </w:pPr>
      <w:r w:rsidRPr="00F052C2">
        <w:rPr>
          <w:lang w:val="uk-UA"/>
        </w:rPr>
        <w:t>за ______квартал_______ року</w:t>
      </w:r>
    </w:p>
    <w:p w14:paraId="47807123" w14:textId="77777777" w:rsidR="00896295" w:rsidRPr="00F052C2" w:rsidRDefault="00896295" w:rsidP="00896295">
      <w:pPr>
        <w:spacing w:line="278" w:lineRule="auto"/>
        <w:jc w:val="center"/>
        <w:rPr>
          <w:sz w:val="16"/>
          <w:szCs w:val="16"/>
          <w:lang w:val="uk-UA"/>
        </w:rPr>
      </w:pPr>
    </w:p>
    <w:p w14:paraId="258133F1" w14:textId="77777777" w:rsidR="00896295" w:rsidRPr="00F052C2" w:rsidRDefault="00896295" w:rsidP="00896295">
      <w:pPr>
        <w:spacing w:line="278" w:lineRule="auto"/>
        <w:jc w:val="center"/>
        <w:rPr>
          <w:lang w:val="uk-UA"/>
        </w:rPr>
      </w:pPr>
      <w:r w:rsidRPr="00F052C2">
        <w:rPr>
          <w:lang w:val="uk-UA"/>
        </w:rPr>
        <w:t>________________________________</w:t>
      </w:r>
    </w:p>
    <w:p w14:paraId="68B2716D" w14:textId="77777777" w:rsidR="00896295" w:rsidRPr="00F052C2" w:rsidRDefault="00896295" w:rsidP="00896295">
      <w:pPr>
        <w:spacing w:line="278" w:lineRule="auto"/>
        <w:jc w:val="center"/>
        <w:rPr>
          <w:sz w:val="24"/>
          <w:szCs w:val="24"/>
          <w:lang w:val="uk-UA"/>
        </w:rPr>
      </w:pPr>
      <w:r w:rsidRPr="00F052C2">
        <w:rPr>
          <w:sz w:val="24"/>
          <w:szCs w:val="24"/>
          <w:lang w:val="uk-UA"/>
        </w:rPr>
        <w:t>(найменування ОПООП)</w:t>
      </w:r>
    </w:p>
    <w:p w14:paraId="20B64A60" w14:textId="77777777" w:rsidR="00896295" w:rsidRPr="00F052C2" w:rsidRDefault="00896295" w:rsidP="00896295">
      <w:pPr>
        <w:spacing w:line="278" w:lineRule="auto"/>
        <w:jc w:val="center"/>
        <w:rPr>
          <w:lang w:val="uk-UA"/>
        </w:rPr>
      </w:pPr>
    </w:p>
    <w:p w14:paraId="0C500E4F" w14:textId="77777777" w:rsidR="00896295" w:rsidRPr="00F052C2" w:rsidRDefault="00896295" w:rsidP="00896295">
      <w:pPr>
        <w:spacing w:line="278" w:lineRule="auto"/>
        <w:jc w:val="center"/>
        <w:rPr>
          <w:lang w:val="uk-UA"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916"/>
        <w:gridCol w:w="6592"/>
        <w:gridCol w:w="1843"/>
      </w:tblGrid>
      <w:tr w:rsidR="00062CBF" w14:paraId="1B372EB1" w14:textId="77777777" w:rsidTr="00062CBF">
        <w:tc>
          <w:tcPr>
            <w:tcW w:w="916" w:type="dxa"/>
          </w:tcPr>
          <w:p w14:paraId="5ACCC2DC" w14:textId="77777777" w:rsidR="00062CBF" w:rsidRDefault="00062CBF" w:rsidP="00873F0B">
            <w:pPr>
              <w:jc w:val="center"/>
            </w:pPr>
          </w:p>
        </w:tc>
        <w:tc>
          <w:tcPr>
            <w:tcW w:w="6592" w:type="dxa"/>
          </w:tcPr>
          <w:p w14:paraId="7C5C4743" w14:textId="77777777" w:rsidR="00062CBF" w:rsidRDefault="00062CBF" w:rsidP="00873F0B">
            <w:pPr>
              <w:jc w:val="center"/>
            </w:pPr>
            <w:proofErr w:type="spellStart"/>
            <w:r>
              <w:t>Показник</w:t>
            </w:r>
            <w:proofErr w:type="spellEnd"/>
            <w:r>
              <w:t xml:space="preserve"> </w:t>
            </w:r>
          </w:p>
        </w:tc>
        <w:tc>
          <w:tcPr>
            <w:tcW w:w="1843" w:type="dxa"/>
          </w:tcPr>
          <w:p w14:paraId="7B26D145" w14:textId="77777777" w:rsidR="00062CBF" w:rsidRDefault="00062CBF" w:rsidP="00873F0B">
            <w:pPr>
              <w:jc w:val="center"/>
            </w:pPr>
            <w:proofErr w:type="spellStart"/>
            <w:r>
              <w:t>Кількість</w:t>
            </w:r>
            <w:proofErr w:type="spellEnd"/>
            <w:r>
              <w:t xml:space="preserve"> </w:t>
            </w:r>
          </w:p>
        </w:tc>
      </w:tr>
      <w:tr w:rsidR="00062CBF" w14:paraId="4664D3F6" w14:textId="77777777" w:rsidTr="00062CBF">
        <w:tc>
          <w:tcPr>
            <w:tcW w:w="916" w:type="dxa"/>
          </w:tcPr>
          <w:p w14:paraId="2F07020F" w14:textId="77777777" w:rsidR="00062CBF" w:rsidRDefault="00062CBF" w:rsidP="00873F0B">
            <w:pPr>
              <w:jc w:val="center"/>
            </w:pPr>
            <w:r>
              <w:t>1</w:t>
            </w:r>
          </w:p>
        </w:tc>
        <w:tc>
          <w:tcPr>
            <w:tcW w:w="6592" w:type="dxa"/>
          </w:tcPr>
          <w:p w14:paraId="3AE6D769" w14:textId="77777777" w:rsidR="00062CBF" w:rsidRDefault="00062CBF" w:rsidP="00873F0B">
            <w:pPr>
              <w:jc w:val="both"/>
            </w:pPr>
            <w:proofErr w:type="spellStart"/>
            <w:r>
              <w:t>Загальна</w:t>
            </w:r>
            <w:proofErr w:type="spellEnd"/>
            <w:r>
              <w:t xml:space="preserve"> </w:t>
            </w:r>
            <w:proofErr w:type="spellStart"/>
            <w:r>
              <w:t>кількість</w:t>
            </w:r>
            <w:proofErr w:type="spellEnd"/>
            <w:r>
              <w:t xml:space="preserve"> </w:t>
            </w:r>
            <w:proofErr w:type="spellStart"/>
            <w:r>
              <w:t>спрацьованих</w:t>
            </w:r>
            <w:proofErr w:type="spellEnd"/>
            <w:r>
              <w:t xml:space="preserve"> </w:t>
            </w:r>
            <w:proofErr w:type="spellStart"/>
            <w:r>
              <w:t>сигналів</w:t>
            </w:r>
            <w:proofErr w:type="spellEnd"/>
            <w:r>
              <w:t xml:space="preserve"> </w:t>
            </w:r>
            <w:proofErr w:type="spellStart"/>
            <w:r>
              <w:t>протягом</w:t>
            </w:r>
            <w:proofErr w:type="spellEnd"/>
            <w:r>
              <w:t xml:space="preserve"> </w:t>
            </w:r>
            <w:proofErr w:type="spellStart"/>
            <w:r>
              <w:t>звітного</w:t>
            </w:r>
            <w:proofErr w:type="spellEnd"/>
            <w:r>
              <w:t xml:space="preserve"> кварталу,</w:t>
            </w:r>
          </w:p>
        </w:tc>
        <w:tc>
          <w:tcPr>
            <w:tcW w:w="1843" w:type="dxa"/>
          </w:tcPr>
          <w:p w14:paraId="44E2A871" w14:textId="77777777" w:rsidR="00062CBF" w:rsidRDefault="00062CBF" w:rsidP="00873F0B">
            <w:pPr>
              <w:jc w:val="center"/>
            </w:pPr>
          </w:p>
        </w:tc>
      </w:tr>
      <w:tr w:rsidR="00062CBF" w14:paraId="26F112F8" w14:textId="77777777" w:rsidTr="00062CBF">
        <w:tc>
          <w:tcPr>
            <w:tcW w:w="916" w:type="dxa"/>
          </w:tcPr>
          <w:p w14:paraId="25246733" w14:textId="77777777" w:rsidR="00062CBF" w:rsidRDefault="00062CBF" w:rsidP="00873F0B">
            <w:pPr>
              <w:jc w:val="center"/>
            </w:pPr>
            <w:r>
              <w:t>1.1</w:t>
            </w:r>
          </w:p>
        </w:tc>
        <w:tc>
          <w:tcPr>
            <w:tcW w:w="6592" w:type="dxa"/>
          </w:tcPr>
          <w:p w14:paraId="0097D969" w14:textId="77777777" w:rsidR="00062CBF" w:rsidRPr="00442F37" w:rsidRDefault="00062CBF" w:rsidP="00873F0B">
            <w:pPr>
              <w:jc w:val="both"/>
              <w:rPr>
                <w:i/>
                <w:iCs/>
              </w:rPr>
            </w:pPr>
            <w:r w:rsidRPr="00442F37">
              <w:rPr>
                <w:i/>
                <w:iCs/>
              </w:rPr>
              <w:t xml:space="preserve">з них </w:t>
            </w:r>
            <w:proofErr w:type="spellStart"/>
            <w:r w:rsidRPr="00442F37">
              <w:rPr>
                <w:i/>
                <w:iCs/>
              </w:rPr>
              <w:t>непідтверджених</w:t>
            </w:r>
            <w:proofErr w:type="spellEnd"/>
            <w:r w:rsidRPr="00442F37">
              <w:rPr>
                <w:i/>
                <w:iCs/>
              </w:rPr>
              <w:t xml:space="preserve"> (</w:t>
            </w:r>
            <w:proofErr w:type="spellStart"/>
            <w:r w:rsidRPr="00442F37">
              <w:rPr>
                <w:i/>
                <w:iCs/>
              </w:rPr>
              <w:t>хибних</w:t>
            </w:r>
            <w:proofErr w:type="spellEnd"/>
            <w:r w:rsidRPr="00442F37">
              <w:rPr>
                <w:i/>
                <w:iCs/>
              </w:rPr>
              <w:t xml:space="preserve">) </w:t>
            </w:r>
            <w:proofErr w:type="spellStart"/>
            <w:r w:rsidRPr="00442F37">
              <w:rPr>
                <w:i/>
                <w:iCs/>
              </w:rPr>
              <w:t>сигналів</w:t>
            </w:r>
            <w:proofErr w:type="spellEnd"/>
          </w:p>
        </w:tc>
        <w:tc>
          <w:tcPr>
            <w:tcW w:w="1843" w:type="dxa"/>
          </w:tcPr>
          <w:p w14:paraId="5C7C485E" w14:textId="77777777" w:rsidR="00062CBF" w:rsidRDefault="00062CBF" w:rsidP="00873F0B">
            <w:pPr>
              <w:jc w:val="center"/>
            </w:pPr>
          </w:p>
        </w:tc>
      </w:tr>
      <w:tr w:rsidR="00062CBF" w14:paraId="5E73408C" w14:textId="77777777" w:rsidTr="00062CBF">
        <w:tc>
          <w:tcPr>
            <w:tcW w:w="916" w:type="dxa"/>
          </w:tcPr>
          <w:p w14:paraId="09718AB7" w14:textId="77777777" w:rsidR="00062CBF" w:rsidRDefault="00062CBF" w:rsidP="00873F0B">
            <w:pPr>
              <w:jc w:val="center"/>
            </w:pPr>
            <w:r>
              <w:t>2</w:t>
            </w:r>
          </w:p>
        </w:tc>
        <w:tc>
          <w:tcPr>
            <w:tcW w:w="6592" w:type="dxa"/>
          </w:tcPr>
          <w:p w14:paraId="63E3410E" w14:textId="77777777" w:rsidR="00062CBF" w:rsidRDefault="00062CBF" w:rsidP="00873F0B">
            <w:pPr>
              <w:jc w:val="both"/>
            </w:pPr>
            <w:proofErr w:type="spellStart"/>
            <w:r>
              <w:t>Кількість</w:t>
            </w:r>
            <w:proofErr w:type="spellEnd"/>
            <w:r>
              <w:t xml:space="preserve"> </w:t>
            </w:r>
            <w:proofErr w:type="spellStart"/>
            <w:r>
              <w:t>поданих</w:t>
            </w:r>
            <w:proofErr w:type="spellEnd"/>
            <w:r>
              <w:t xml:space="preserve"> </w:t>
            </w:r>
            <w:proofErr w:type="spellStart"/>
            <w:r>
              <w:t>повідомлень</w:t>
            </w:r>
            <w:proofErr w:type="spellEnd"/>
            <w:r>
              <w:t xml:space="preserve"> </w:t>
            </w:r>
            <w:r w:rsidRPr="003C3CAA">
              <w:t xml:space="preserve">про </w:t>
            </w:r>
            <w:proofErr w:type="spellStart"/>
            <w:r w:rsidRPr="003C3CAA">
              <w:t>підозрілу</w:t>
            </w:r>
            <w:proofErr w:type="spellEnd"/>
            <w:r w:rsidRPr="003C3CAA">
              <w:t xml:space="preserve"> </w:t>
            </w:r>
            <w:proofErr w:type="spellStart"/>
            <w:r w:rsidRPr="003C3CAA">
              <w:t>поведінку</w:t>
            </w:r>
            <w:proofErr w:type="spellEnd"/>
            <w:r w:rsidRPr="003C3CAA">
              <w:t xml:space="preserve"> на оптовому </w:t>
            </w:r>
            <w:proofErr w:type="spellStart"/>
            <w:r w:rsidRPr="003C3CAA">
              <w:t>енергетичному</w:t>
            </w:r>
            <w:proofErr w:type="spellEnd"/>
            <w:r w:rsidRPr="003C3CAA">
              <w:t xml:space="preserve"> ринку </w:t>
            </w:r>
            <w:proofErr w:type="spellStart"/>
            <w:r>
              <w:t>протягом</w:t>
            </w:r>
            <w:proofErr w:type="spellEnd"/>
            <w:r>
              <w:t xml:space="preserve"> </w:t>
            </w:r>
            <w:proofErr w:type="spellStart"/>
            <w:r>
              <w:t>звітного</w:t>
            </w:r>
            <w:proofErr w:type="spellEnd"/>
            <w:r>
              <w:t xml:space="preserve"> кварталу,</w:t>
            </w:r>
          </w:p>
        </w:tc>
        <w:tc>
          <w:tcPr>
            <w:tcW w:w="1843" w:type="dxa"/>
          </w:tcPr>
          <w:p w14:paraId="2043A73B" w14:textId="77777777" w:rsidR="00062CBF" w:rsidRDefault="00062CBF" w:rsidP="00873F0B">
            <w:pPr>
              <w:jc w:val="center"/>
            </w:pPr>
          </w:p>
        </w:tc>
      </w:tr>
      <w:tr w:rsidR="00062CBF" w14:paraId="4DEB8778" w14:textId="77777777" w:rsidTr="00062CBF">
        <w:tc>
          <w:tcPr>
            <w:tcW w:w="916" w:type="dxa"/>
          </w:tcPr>
          <w:p w14:paraId="06802AF5" w14:textId="77777777" w:rsidR="00062CBF" w:rsidRDefault="00062CBF" w:rsidP="00873F0B">
            <w:pPr>
              <w:jc w:val="center"/>
            </w:pPr>
            <w:r>
              <w:t>2.1</w:t>
            </w:r>
          </w:p>
        </w:tc>
        <w:tc>
          <w:tcPr>
            <w:tcW w:w="6592" w:type="dxa"/>
          </w:tcPr>
          <w:p w14:paraId="7DFCA249" w14:textId="77777777" w:rsidR="00062CBF" w:rsidRPr="00442F37" w:rsidRDefault="00062CBF" w:rsidP="00873F0B">
            <w:pPr>
              <w:jc w:val="both"/>
              <w:rPr>
                <w:i/>
                <w:iCs/>
              </w:rPr>
            </w:pPr>
            <w:r w:rsidRPr="00442F37">
              <w:rPr>
                <w:i/>
                <w:iCs/>
              </w:rPr>
              <w:t xml:space="preserve">з них </w:t>
            </w:r>
            <w:proofErr w:type="spellStart"/>
            <w:r w:rsidRPr="00442F37">
              <w:rPr>
                <w:i/>
                <w:iCs/>
              </w:rPr>
              <w:t>щодо</w:t>
            </w:r>
            <w:proofErr w:type="spellEnd"/>
            <w:r w:rsidRPr="00442F37">
              <w:rPr>
                <w:i/>
                <w:iCs/>
              </w:rPr>
              <w:t xml:space="preserve"> </w:t>
            </w:r>
            <w:proofErr w:type="spellStart"/>
            <w:r w:rsidRPr="00442F37">
              <w:rPr>
                <w:i/>
                <w:iCs/>
              </w:rPr>
              <w:t>спроб</w:t>
            </w:r>
            <w:r>
              <w:rPr>
                <w:i/>
                <w:iCs/>
              </w:rPr>
              <w:t>и</w:t>
            </w:r>
            <w:proofErr w:type="spellEnd"/>
            <w:r w:rsidRPr="00442F37">
              <w:rPr>
                <w:i/>
                <w:iCs/>
              </w:rPr>
              <w:t xml:space="preserve"> </w:t>
            </w:r>
            <w:proofErr w:type="spellStart"/>
            <w:r w:rsidRPr="00442F37">
              <w:rPr>
                <w:i/>
                <w:iCs/>
              </w:rPr>
              <w:t>маніпулюван</w:t>
            </w:r>
            <w:r>
              <w:rPr>
                <w:i/>
                <w:iCs/>
              </w:rPr>
              <w:t>ня</w:t>
            </w:r>
            <w:proofErr w:type="spellEnd"/>
          </w:p>
        </w:tc>
        <w:tc>
          <w:tcPr>
            <w:tcW w:w="1843" w:type="dxa"/>
          </w:tcPr>
          <w:p w14:paraId="5FEACDF1" w14:textId="77777777" w:rsidR="00062CBF" w:rsidRDefault="00062CBF" w:rsidP="00873F0B">
            <w:pPr>
              <w:jc w:val="center"/>
            </w:pPr>
          </w:p>
        </w:tc>
      </w:tr>
      <w:tr w:rsidR="00062CBF" w14:paraId="0FC669FE" w14:textId="77777777" w:rsidTr="00062CBF">
        <w:tc>
          <w:tcPr>
            <w:tcW w:w="916" w:type="dxa"/>
          </w:tcPr>
          <w:p w14:paraId="5FB8D62A" w14:textId="77777777" w:rsidR="00062CBF" w:rsidRDefault="00062CBF" w:rsidP="00873F0B">
            <w:pPr>
              <w:jc w:val="center"/>
            </w:pPr>
            <w:r>
              <w:t>2.2</w:t>
            </w:r>
          </w:p>
        </w:tc>
        <w:tc>
          <w:tcPr>
            <w:tcW w:w="6592" w:type="dxa"/>
          </w:tcPr>
          <w:p w14:paraId="50FD05B7" w14:textId="38C63EAF" w:rsidR="00062CBF" w:rsidRPr="00D759E2" w:rsidRDefault="00062CBF" w:rsidP="00873F0B">
            <w:pPr>
              <w:jc w:val="both"/>
              <w:rPr>
                <w:i/>
                <w:iCs/>
                <w:lang w:val="uk-UA"/>
              </w:rPr>
            </w:pPr>
            <w:r w:rsidRPr="00442F37">
              <w:rPr>
                <w:i/>
                <w:iCs/>
              </w:rPr>
              <w:t xml:space="preserve">з них </w:t>
            </w:r>
            <w:proofErr w:type="spellStart"/>
            <w:r w:rsidRPr="00442F37">
              <w:rPr>
                <w:i/>
                <w:iCs/>
              </w:rPr>
              <w:t>щодо</w:t>
            </w:r>
            <w:proofErr w:type="spellEnd"/>
            <w:r w:rsidRPr="00442F37">
              <w:rPr>
                <w:i/>
                <w:iCs/>
              </w:rPr>
              <w:t xml:space="preserve"> </w:t>
            </w:r>
            <w:proofErr w:type="spellStart"/>
            <w:r w:rsidRPr="00442F37">
              <w:rPr>
                <w:i/>
                <w:iCs/>
              </w:rPr>
              <w:t>маніпулюван</w:t>
            </w:r>
            <w:r>
              <w:rPr>
                <w:i/>
                <w:iCs/>
              </w:rPr>
              <w:t>ня</w:t>
            </w:r>
            <w:proofErr w:type="spellEnd"/>
            <w:r>
              <w:rPr>
                <w:i/>
                <w:iCs/>
              </w:rPr>
              <w:t xml:space="preserve">, у тому </w:t>
            </w:r>
            <w:proofErr w:type="spellStart"/>
            <w:r>
              <w:rPr>
                <w:i/>
                <w:iCs/>
              </w:rPr>
              <w:t>числі</w:t>
            </w:r>
            <w:proofErr w:type="spellEnd"/>
            <w:r w:rsidR="0010590F">
              <w:rPr>
                <w:i/>
                <w:iCs/>
                <w:lang w:val="uk-UA"/>
              </w:rPr>
              <w:t>:</w:t>
            </w:r>
          </w:p>
        </w:tc>
        <w:tc>
          <w:tcPr>
            <w:tcW w:w="1843" w:type="dxa"/>
          </w:tcPr>
          <w:p w14:paraId="15D10C02" w14:textId="77777777" w:rsidR="00062CBF" w:rsidRDefault="00062CBF" w:rsidP="00873F0B">
            <w:pPr>
              <w:jc w:val="center"/>
            </w:pPr>
          </w:p>
        </w:tc>
      </w:tr>
      <w:tr w:rsidR="00062CBF" w14:paraId="14794D0D" w14:textId="77777777" w:rsidTr="00062CBF">
        <w:tc>
          <w:tcPr>
            <w:tcW w:w="916" w:type="dxa"/>
          </w:tcPr>
          <w:p w14:paraId="49DCF0C4" w14:textId="77777777" w:rsidR="00062CBF" w:rsidRPr="00693715" w:rsidRDefault="00062CBF" w:rsidP="00873F0B">
            <w:pPr>
              <w:jc w:val="center"/>
            </w:pPr>
            <w:r>
              <w:rPr>
                <w:lang w:val="en-US"/>
              </w:rPr>
              <w:t>2</w:t>
            </w:r>
            <w:r>
              <w:t>.2.1</w:t>
            </w:r>
          </w:p>
        </w:tc>
        <w:tc>
          <w:tcPr>
            <w:tcW w:w="6592" w:type="dxa"/>
          </w:tcPr>
          <w:p w14:paraId="3C0D7196" w14:textId="77777777" w:rsidR="00062CBF" w:rsidRPr="007163FE" w:rsidRDefault="00062CBF" w:rsidP="00873F0B">
            <w:pPr>
              <w:jc w:val="both"/>
              <w:rPr>
                <w:i/>
                <w:iCs/>
              </w:rPr>
            </w:pPr>
            <w:proofErr w:type="spellStart"/>
            <w:r w:rsidRPr="00D4418C">
              <w:rPr>
                <w:i/>
                <w:iCs/>
              </w:rPr>
              <w:t>укладання</w:t>
            </w:r>
            <w:proofErr w:type="spellEnd"/>
            <w:r w:rsidRPr="00D4418C">
              <w:rPr>
                <w:i/>
                <w:iCs/>
              </w:rPr>
              <w:t xml:space="preserve"> </w:t>
            </w:r>
            <w:proofErr w:type="spellStart"/>
            <w:r w:rsidRPr="00D4418C">
              <w:rPr>
                <w:i/>
                <w:iCs/>
              </w:rPr>
              <w:t>фіктивних</w:t>
            </w:r>
            <w:proofErr w:type="spellEnd"/>
            <w:r w:rsidRPr="00D4418C">
              <w:rPr>
                <w:i/>
                <w:iCs/>
              </w:rPr>
              <w:t xml:space="preserve"> </w:t>
            </w:r>
            <w:proofErr w:type="spellStart"/>
            <w:r w:rsidRPr="00D4418C">
              <w:rPr>
                <w:i/>
                <w:iCs/>
              </w:rPr>
              <w:t>угод</w:t>
            </w:r>
            <w:proofErr w:type="spellEnd"/>
            <w:r w:rsidRPr="007163FE">
              <w:rPr>
                <w:i/>
                <w:iCs/>
              </w:rPr>
              <w:t xml:space="preserve"> </w:t>
            </w:r>
            <w:r w:rsidRPr="00693715">
              <w:rPr>
                <w:i/>
                <w:iCs/>
              </w:rPr>
              <w:t>(</w:t>
            </w:r>
            <w:proofErr w:type="spellStart"/>
            <w:r w:rsidRPr="00693715">
              <w:rPr>
                <w:i/>
                <w:iCs/>
              </w:rPr>
              <w:t>wash</w:t>
            </w:r>
            <w:proofErr w:type="spellEnd"/>
            <w:r w:rsidRPr="00693715">
              <w:rPr>
                <w:i/>
                <w:iCs/>
              </w:rPr>
              <w:t xml:space="preserve"> </w:t>
            </w:r>
            <w:proofErr w:type="spellStart"/>
            <w:r w:rsidRPr="00693715">
              <w:rPr>
                <w:i/>
                <w:iCs/>
              </w:rPr>
              <w:t>trades</w:t>
            </w:r>
            <w:proofErr w:type="spellEnd"/>
            <w:r w:rsidRPr="00693715">
              <w:rPr>
                <w:i/>
                <w:iCs/>
              </w:rPr>
              <w:t>)</w:t>
            </w:r>
          </w:p>
        </w:tc>
        <w:tc>
          <w:tcPr>
            <w:tcW w:w="1843" w:type="dxa"/>
          </w:tcPr>
          <w:p w14:paraId="6ACB4DEC" w14:textId="77777777" w:rsidR="00062CBF" w:rsidRDefault="00062CBF" w:rsidP="00873F0B">
            <w:pPr>
              <w:jc w:val="center"/>
            </w:pPr>
          </w:p>
        </w:tc>
      </w:tr>
      <w:tr w:rsidR="00062CBF" w:rsidRPr="00AE4645" w14:paraId="17BC1C22" w14:textId="77777777" w:rsidTr="00062CBF">
        <w:tc>
          <w:tcPr>
            <w:tcW w:w="916" w:type="dxa"/>
          </w:tcPr>
          <w:p w14:paraId="0C8D9802" w14:textId="77777777" w:rsidR="00062CBF" w:rsidRDefault="00062CBF" w:rsidP="00873F0B">
            <w:pPr>
              <w:jc w:val="center"/>
            </w:pPr>
            <w:r>
              <w:t>2.2.2</w:t>
            </w:r>
          </w:p>
        </w:tc>
        <w:tc>
          <w:tcPr>
            <w:tcW w:w="6592" w:type="dxa"/>
          </w:tcPr>
          <w:p w14:paraId="2F0D459E" w14:textId="77777777" w:rsidR="00062CBF" w:rsidRPr="007163FE" w:rsidRDefault="00062CBF" w:rsidP="00873F0B">
            <w:pPr>
              <w:jc w:val="both"/>
              <w:rPr>
                <w:i/>
                <w:iCs/>
                <w:lang w:val="en-US"/>
              </w:rPr>
            </w:pPr>
            <w:proofErr w:type="spellStart"/>
            <w:r w:rsidRPr="00FD0F4C">
              <w:rPr>
                <w:i/>
                <w:iCs/>
              </w:rPr>
              <w:t>узгоджена</w:t>
            </w:r>
            <w:proofErr w:type="spellEnd"/>
            <w:r w:rsidRPr="007163FE">
              <w:rPr>
                <w:i/>
                <w:iCs/>
                <w:lang w:val="en-US"/>
              </w:rPr>
              <w:t xml:space="preserve"> </w:t>
            </w:r>
            <w:proofErr w:type="spellStart"/>
            <w:r w:rsidRPr="00FD0F4C">
              <w:rPr>
                <w:i/>
                <w:iCs/>
              </w:rPr>
              <w:t>торгівля</w:t>
            </w:r>
            <w:proofErr w:type="spellEnd"/>
            <w:r w:rsidRPr="007163FE">
              <w:rPr>
                <w:i/>
                <w:iCs/>
                <w:lang w:val="en-US"/>
              </w:rPr>
              <w:t xml:space="preserve"> (pre-arranged trading)</w:t>
            </w:r>
          </w:p>
        </w:tc>
        <w:tc>
          <w:tcPr>
            <w:tcW w:w="1843" w:type="dxa"/>
          </w:tcPr>
          <w:p w14:paraId="2B347D6A" w14:textId="77777777" w:rsidR="00062CBF" w:rsidRPr="007163FE" w:rsidRDefault="00062CBF" w:rsidP="00873F0B">
            <w:pPr>
              <w:jc w:val="center"/>
              <w:rPr>
                <w:lang w:val="en-US"/>
              </w:rPr>
            </w:pPr>
          </w:p>
        </w:tc>
      </w:tr>
      <w:tr w:rsidR="00062CBF" w14:paraId="344E210C" w14:textId="77777777" w:rsidTr="00062CBF">
        <w:tc>
          <w:tcPr>
            <w:tcW w:w="916" w:type="dxa"/>
          </w:tcPr>
          <w:p w14:paraId="269008EA" w14:textId="77777777" w:rsidR="00062CBF" w:rsidRDefault="00062CBF" w:rsidP="00873F0B">
            <w:pPr>
              <w:jc w:val="center"/>
            </w:pPr>
            <w:r>
              <w:t>2.2.3</w:t>
            </w:r>
          </w:p>
        </w:tc>
        <w:tc>
          <w:tcPr>
            <w:tcW w:w="6592" w:type="dxa"/>
          </w:tcPr>
          <w:p w14:paraId="7EB2B433" w14:textId="77777777" w:rsidR="00062CBF" w:rsidRDefault="00062CBF" w:rsidP="00873F0B">
            <w:pPr>
              <w:jc w:val="both"/>
              <w:rPr>
                <w:i/>
                <w:iCs/>
              </w:rPr>
            </w:pPr>
            <w:proofErr w:type="spellStart"/>
            <w:r w:rsidRPr="00693715">
              <w:rPr>
                <w:i/>
                <w:iCs/>
              </w:rPr>
              <w:t>лейринг</w:t>
            </w:r>
            <w:proofErr w:type="spellEnd"/>
            <w:r w:rsidRPr="00693715">
              <w:rPr>
                <w:i/>
                <w:iCs/>
              </w:rPr>
              <w:t xml:space="preserve"> (</w:t>
            </w:r>
            <w:proofErr w:type="spellStart"/>
            <w:r w:rsidRPr="00693715">
              <w:rPr>
                <w:i/>
                <w:iCs/>
              </w:rPr>
              <w:t>layering</w:t>
            </w:r>
            <w:proofErr w:type="spellEnd"/>
            <w:r w:rsidRPr="00693715">
              <w:rPr>
                <w:i/>
                <w:iCs/>
              </w:rPr>
              <w:t>)</w:t>
            </w:r>
          </w:p>
        </w:tc>
        <w:tc>
          <w:tcPr>
            <w:tcW w:w="1843" w:type="dxa"/>
          </w:tcPr>
          <w:p w14:paraId="28B7F566" w14:textId="77777777" w:rsidR="00062CBF" w:rsidRDefault="00062CBF" w:rsidP="00873F0B">
            <w:pPr>
              <w:jc w:val="center"/>
            </w:pPr>
          </w:p>
        </w:tc>
      </w:tr>
      <w:tr w:rsidR="00062CBF" w14:paraId="2FD0C7C9" w14:textId="77777777" w:rsidTr="00062CBF">
        <w:tc>
          <w:tcPr>
            <w:tcW w:w="916" w:type="dxa"/>
          </w:tcPr>
          <w:p w14:paraId="34569EC7" w14:textId="77777777" w:rsidR="00062CBF" w:rsidRDefault="00062CBF" w:rsidP="00873F0B">
            <w:pPr>
              <w:jc w:val="center"/>
            </w:pPr>
            <w:r>
              <w:t>2.2.4</w:t>
            </w:r>
          </w:p>
        </w:tc>
        <w:tc>
          <w:tcPr>
            <w:tcW w:w="6592" w:type="dxa"/>
          </w:tcPr>
          <w:p w14:paraId="7A1614D4" w14:textId="77777777" w:rsidR="00062CBF" w:rsidRDefault="00062CBF" w:rsidP="00873F0B">
            <w:pPr>
              <w:jc w:val="both"/>
              <w:rPr>
                <w:i/>
                <w:iCs/>
              </w:rPr>
            </w:pPr>
            <w:proofErr w:type="spellStart"/>
            <w:r w:rsidRPr="00693715">
              <w:rPr>
                <w:i/>
                <w:iCs/>
              </w:rPr>
              <w:t>спуфінг</w:t>
            </w:r>
            <w:proofErr w:type="spellEnd"/>
            <w:r w:rsidRPr="00693715">
              <w:rPr>
                <w:i/>
                <w:iCs/>
              </w:rPr>
              <w:t xml:space="preserve"> (</w:t>
            </w:r>
            <w:proofErr w:type="spellStart"/>
            <w:r w:rsidRPr="00693715">
              <w:rPr>
                <w:i/>
                <w:iCs/>
              </w:rPr>
              <w:t>spoofing</w:t>
            </w:r>
            <w:proofErr w:type="spellEnd"/>
            <w:r w:rsidRPr="00693715">
              <w:rPr>
                <w:i/>
                <w:iCs/>
              </w:rPr>
              <w:t>)</w:t>
            </w:r>
          </w:p>
        </w:tc>
        <w:tc>
          <w:tcPr>
            <w:tcW w:w="1843" w:type="dxa"/>
          </w:tcPr>
          <w:p w14:paraId="3C29EF5E" w14:textId="77777777" w:rsidR="00062CBF" w:rsidRDefault="00062CBF" w:rsidP="00873F0B">
            <w:pPr>
              <w:jc w:val="center"/>
            </w:pPr>
          </w:p>
        </w:tc>
      </w:tr>
      <w:tr w:rsidR="00062CBF" w14:paraId="669001CF" w14:textId="77777777" w:rsidTr="00062CBF">
        <w:tc>
          <w:tcPr>
            <w:tcW w:w="916" w:type="dxa"/>
          </w:tcPr>
          <w:p w14:paraId="778D2D4D" w14:textId="77777777" w:rsidR="00062CBF" w:rsidRDefault="00062CBF" w:rsidP="00873F0B">
            <w:pPr>
              <w:jc w:val="center"/>
            </w:pPr>
            <w:r>
              <w:t>2.2.5</w:t>
            </w:r>
          </w:p>
        </w:tc>
        <w:tc>
          <w:tcPr>
            <w:tcW w:w="6592" w:type="dxa"/>
          </w:tcPr>
          <w:p w14:paraId="7E0FE784" w14:textId="77777777" w:rsidR="00062CBF" w:rsidRDefault="00062CBF" w:rsidP="00873F0B">
            <w:pPr>
              <w:jc w:val="both"/>
              <w:rPr>
                <w:i/>
                <w:iCs/>
              </w:rPr>
            </w:pPr>
            <w:proofErr w:type="spellStart"/>
            <w:r w:rsidRPr="00693715">
              <w:rPr>
                <w:i/>
                <w:iCs/>
              </w:rPr>
              <w:t>помилкові</w:t>
            </w:r>
            <w:proofErr w:type="spellEnd"/>
            <w:r w:rsidRPr="00693715">
              <w:rPr>
                <w:i/>
                <w:iCs/>
              </w:rPr>
              <w:t xml:space="preserve"> заявки (</w:t>
            </w:r>
            <w:proofErr w:type="spellStart"/>
            <w:r w:rsidRPr="00693715">
              <w:rPr>
                <w:i/>
                <w:iCs/>
              </w:rPr>
              <w:t>erroneous</w:t>
            </w:r>
            <w:proofErr w:type="spellEnd"/>
            <w:r w:rsidRPr="00693715">
              <w:rPr>
                <w:i/>
                <w:iCs/>
              </w:rPr>
              <w:t xml:space="preserve"> </w:t>
            </w:r>
            <w:proofErr w:type="spellStart"/>
            <w:r w:rsidRPr="00693715">
              <w:rPr>
                <w:i/>
                <w:iCs/>
              </w:rPr>
              <w:t>orders</w:t>
            </w:r>
            <w:proofErr w:type="spellEnd"/>
            <w:r w:rsidRPr="00693715">
              <w:rPr>
                <w:i/>
                <w:iCs/>
              </w:rPr>
              <w:t>)</w:t>
            </w:r>
          </w:p>
        </w:tc>
        <w:tc>
          <w:tcPr>
            <w:tcW w:w="1843" w:type="dxa"/>
          </w:tcPr>
          <w:p w14:paraId="4331BF98" w14:textId="77777777" w:rsidR="00062CBF" w:rsidRDefault="00062CBF" w:rsidP="00873F0B">
            <w:pPr>
              <w:jc w:val="center"/>
            </w:pPr>
          </w:p>
        </w:tc>
      </w:tr>
      <w:tr w:rsidR="00062CBF" w:rsidRPr="00AE4645" w14:paraId="78106ADF" w14:textId="77777777" w:rsidTr="00062CBF">
        <w:tc>
          <w:tcPr>
            <w:tcW w:w="916" w:type="dxa"/>
          </w:tcPr>
          <w:p w14:paraId="3DA24900" w14:textId="77777777" w:rsidR="00062CBF" w:rsidRPr="00B20B06" w:rsidRDefault="00062CBF" w:rsidP="00873F0B">
            <w:pPr>
              <w:jc w:val="center"/>
            </w:pPr>
            <w:r>
              <w:rPr>
                <w:lang w:val="en-US"/>
              </w:rPr>
              <w:t>2</w:t>
            </w:r>
            <w:r>
              <w:t>.2.6</w:t>
            </w:r>
          </w:p>
        </w:tc>
        <w:tc>
          <w:tcPr>
            <w:tcW w:w="6592" w:type="dxa"/>
          </w:tcPr>
          <w:p w14:paraId="15D766EF" w14:textId="77777777" w:rsidR="00062CBF" w:rsidRPr="007163FE" w:rsidRDefault="00062CBF" w:rsidP="00873F0B">
            <w:pPr>
              <w:jc w:val="both"/>
              <w:rPr>
                <w:i/>
                <w:iCs/>
                <w:lang w:val="en-US"/>
              </w:rPr>
            </w:pPr>
            <w:proofErr w:type="spellStart"/>
            <w:r w:rsidRPr="00693715">
              <w:rPr>
                <w:i/>
                <w:iCs/>
              </w:rPr>
              <w:t>розміщення</w:t>
            </w:r>
            <w:proofErr w:type="spellEnd"/>
            <w:r w:rsidRPr="007163FE">
              <w:rPr>
                <w:i/>
                <w:iCs/>
                <w:lang w:val="en-US"/>
              </w:rPr>
              <w:t xml:space="preserve"> </w:t>
            </w:r>
            <w:r w:rsidRPr="00693715">
              <w:rPr>
                <w:i/>
                <w:iCs/>
              </w:rPr>
              <w:t>заявок</w:t>
            </w:r>
            <w:r w:rsidRPr="007163FE">
              <w:rPr>
                <w:i/>
                <w:iCs/>
                <w:lang w:val="en-US"/>
              </w:rPr>
              <w:t xml:space="preserve"> </w:t>
            </w:r>
            <w:r w:rsidRPr="00693715">
              <w:rPr>
                <w:i/>
                <w:iCs/>
              </w:rPr>
              <w:t>без</w:t>
            </w:r>
            <w:r w:rsidRPr="007163FE">
              <w:rPr>
                <w:i/>
                <w:iCs/>
                <w:lang w:val="en-US"/>
              </w:rPr>
              <w:t xml:space="preserve"> </w:t>
            </w:r>
            <w:proofErr w:type="spellStart"/>
            <w:r w:rsidRPr="00693715">
              <w:rPr>
                <w:i/>
                <w:iCs/>
              </w:rPr>
              <w:t>наміру</w:t>
            </w:r>
            <w:proofErr w:type="spellEnd"/>
            <w:r w:rsidRPr="007163FE">
              <w:rPr>
                <w:i/>
                <w:iCs/>
                <w:lang w:val="en-US"/>
              </w:rPr>
              <w:t xml:space="preserve"> </w:t>
            </w:r>
            <w:proofErr w:type="spellStart"/>
            <w:r w:rsidRPr="00693715">
              <w:rPr>
                <w:i/>
                <w:iCs/>
              </w:rPr>
              <w:t>їх</w:t>
            </w:r>
            <w:proofErr w:type="spellEnd"/>
            <w:r w:rsidRPr="007163FE">
              <w:rPr>
                <w:i/>
                <w:iCs/>
                <w:lang w:val="en-US"/>
              </w:rPr>
              <w:t xml:space="preserve"> </w:t>
            </w:r>
            <w:proofErr w:type="spellStart"/>
            <w:r w:rsidRPr="00693715">
              <w:rPr>
                <w:i/>
                <w:iCs/>
              </w:rPr>
              <w:t>виконання</w:t>
            </w:r>
            <w:proofErr w:type="spellEnd"/>
            <w:r w:rsidRPr="007163FE">
              <w:rPr>
                <w:i/>
                <w:iCs/>
                <w:lang w:val="en-US"/>
              </w:rPr>
              <w:t xml:space="preserve"> (placing orders with no intention of executing them)</w:t>
            </w:r>
          </w:p>
        </w:tc>
        <w:tc>
          <w:tcPr>
            <w:tcW w:w="1843" w:type="dxa"/>
          </w:tcPr>
          <w:p w14:paraId="0394A1D0" w14:textId="77777777" w:rsidR="00062CBF" w:rsidRPr="007163FE" w:rsidRDefault="00062CBF" w:rsidP="00873F0B">
            <w:pPr>
              <w:jc w:val="center"/>
              <w:rPr>
                <w:lang w:val="en-US"/>
              </w:rPr>
            </w:pPr>
          </w:p>
        </w:tc>
      </w:tr>
      <w:tr w:rsidR="00062CBF" w14:paraId="515E0BEC" w14:textId="77777777" w:rsidTr="00062CBF">
        <w:tc>
          <w:tcPr>
            <w:tcW w:w="916" w:type="dxa"/>
          </w:tcPr>
          <w:p w14:paraId="28E0E3B3" w14:textId="77777777" w:rsidR="00062CBF" w:rsidRDefault="00062CBF" w:rsidP="00873F0B">
            <w:pPr>
              <w:jc w:val="center"/>
            </w:pPr>
            <w:r>
              <w:t>2.2.7</w:t>
            </w:r>
          </w:p>
        </w:tc>
        <w:tc>
          <w:tcPr>
            <w:tcW w:w="6592" w:type="dxa"/>
          </w:tcPr>
          <w:p w14:paraId="568C1913" w14:textId="77777777" w:rsidR="00062CBF" w:rsidRPr="00693715" w:rsidRDefault="00062CBF" w:rsidP="00873F0B">
            <w:pPr>
              <w:jc w:val="both"/>
              <w:rPr>
                <w:i/>
                <w:iCs/>
              </w:rPr>
            </w:pPr>
            <w:proofErr w:type="spellStart"/>
            <w:r w:rsidRPr="00693715">
              <w:rPr>
                <w:i/>
                <w:iCs/>
              </w:rPr>
              <w:t>накопичення</w:t>
            </w:r>
            <w:proofErr w:type="spellEnd"/>
            <w:r w:rsidRPr="00693715">
              <w:rPr>
                <w:i/>
                <w:iCs/>
              </w:rPr>
              <w:t xml:space="preserve"> </w:t>
            </w:r>
            <w:proofErr w:type="spellStart"/>
            <w:r w:rsidRPr="00693715">
              <w:rPr>
                <w:i/>
                <w:iCs/>
              </w:rPr>
              <w:t>пропускної</w:t>
            </w:r>
            <w:proofErr w:type="spellEnd"/>
            <w:r w:rsidRPr="00693715">
              <w:rPr>
                <w:i/>
                <w:iCs/>
              </w:rPr>
              <w:t xml:space="preserve"> </w:t>
            </w:r>
            <w:proofErr w:type="spellStart"/>
            <w:r w:rsidRPr="00693715">
              <w:rPr>
                <w:i/>
                <w:iCs/>
              </w:rPr>
              <w:t>спроможності</w:t>
            </w:r>
            <w:proofErr w:type="spellEnd"/>
            <w:r w:rsidRPr="00693715">
              <w:rPr>
                <w:i/>
                <w:iCs/>
              </w:rPr>
              <w:t>/</w:t>
            </w:r>
            <w:proofErr w:type="spellStart"/>
            <w:r w:rsidRPr="00693715">
              <w:rPr>
                <w:i/>
                <w:iCs/>
              </w:rPr>
              <w:t>розподілу</w:t>
            </w:r>
            <w:proofErr w:type="spellEnd"/>
            <w:r w:rsidRPr="00693715">
              <w:rPr>
                <w:i/>
                <w:iCs/>
              </w:rPr>
              <w:t xml:space="preserve"> </w:t>
            </w:r>
            <w:proofErr w:type="spellStart"/>
            <w:r w:rsidRPr="00693715">
              <w:rPr>
                <w:i/>
                <w:iCs/>
              </w:rPr>
              <w:t>потужності</w:t>
            </w:r>
            <w:proofErr w:type="spellEnd"/>
            <w:r w:rsidRPr="00693715">
              <w:rPr>
                <w:i/>
                <w:iCs/>
              </w:rPr>
              <w:t xml:space="preserve"> (</w:t>
            </w:r>
            <w:proofErr w:type="spellStart"/>
            <w:r w:rsidRPr="00693715">
              <w:rPr>
                <w:i/>
                <w:iCs/>
              </w:rPr>
              <w:t>transmission</w:t>
            </w:r>
            <w:proofErr w:type="spellEnd"/>
            <w:r w:rsidRPr="00693715">
              <w:rPr>
                <w:i/>
                <w:iCs/>
              </w:rPr>
              <w:t xml:space="preserve"> </w:t>
            </w:r>
            <w:proofErr w:type="spellStart"/>
            <w:r w:rsidRPr="00693715">
              <w:rPr>
                <w:i/>
                <w:iCs/>
              </w:rPr>
              <w:t>capacity</w:t>
            </w:r>
            <w:proofErr w:type="spellEnd"/>
            <w:r w:rsidRPr="00693715">
              <w:rPr>
                <w:i/>
                <w:iCs/>
              </w:rPr>
              <w:t xml:space="preserve"> </w:t>
            </w:r>
            <w:proofErr w:type="spellStart"/>
            <w:r w:rsidRPr="00693715">
              <w:rPr>
                <w:i/>
                <w:iCs/>
              </w:rPr>
              <w:t>hoarding</w:t>
            </w:r>
            <w:proofErr w:type="spellEnd"/>
            <w:r w:rsidRPr="00693715">
              <w:rPr>
                <w:i/>
                <w:iCs/>
              </w:rPr>
              <w:t>)</w:t>
            </w:r>
          </w:p>
        </w:tc>
        <w:tc>
          <w:tcPr>
            <w:tcW w:w="1843" w:type="dxa"/>
          </w:tcPr>
          <w:p w14:paraId="57AADFF1" w14:textId="77777777" w:rsidR="00062CBF" w:rsidRDefault="00062CBF" w:rsidP="00873F0B">
            <w:pPr>
              <w:jc w:val="center"/>
            </w:pPr>
          </w:p>
        </w:tc>
      </w:tr>
      <w:tr w:rsidR="00062CBF" w14:paraId="4B50D2AF" w14:textId="77777777" w:rsidTr="00062CBF">
        <w:tc>
          <w:tcPr>
            <w:tcW w:w="916" w:type="dxa"/>
          </w:tcPr>
          <w:p w14:paraId="1FFC41BD" w14:textId="77777777" w:rsidR="00062CBF" w:rsidRDefault="00062CBF" w:rsidP="00873F0B">
            <w:pPr>
              <w:jc w:val="center"/>
            </w:pPr>
            <w:r>
              <w:t>2.2.8</w:t>
            </w:r>
          </w:p>
        </w:tc>
        <w:tc>
          <w:tcPr>
            <w:tcW w:w="6592" w:type="dxa"/>
          </w:tcPr>
          <w:p w14:paraId="2B72C3CE" w14:textId="77777777" w:rsidR="00062CBF" w:rsidRPr="00693715" w:rsidRDefault="00062CBF" w:rsidP="00873F0B">
            <w:pPr>
              <w:jc w:val="both"/>
              <w:rPr>
                <w:i/>
                <w:iCs/>
              </w:rPr>
            </w:pPr>
            <w:proofErr w:type="spellStart"/>
            <w:r w:rsidRPr="00693715">
              <w:rPr>
                <w:i/>
                <w:iCs/>
              </w:rPr>
              <w:t>утримання</w:t>
            </w:r>
            <w:proofErr w:type="spellEnd"/>
            <w:r w:rsidRPr="00693715">
              <w:rPr>
                <w:i/>
                <w:iCs/>
              </w:rPr>
              <w:t xml:space="preserve"> </w:t>
            </w:r>
            <w:proofErr w:type="spellStart"/>
            <w:r w:rsidRPr="00693715">
              <w:rPr>
                <w:i/>
                <w:iCs/>
              </w:rPr>
              <w:t>потужності</w:t>
            </w:r>
            <w:proofErr w:type="spellEnd"/>
            <w:r w:rsidRPr="00693715">
              <w:rPr>
                <w:i/>
                <w:iCs/>
              </w:rPr>
              <w:t xml:space="preserve"> (</w:t>
            </w:r>
            <w:proofErr w:type="spellStart"/>
            <w:r w:rsidRPr="00693715">
              <w:rPr>
                <w:i/>
                <w:iCs/>
              </w:rPr>
              <w:t>capacity</w:t>
            </w:r>
            <w:proofErr w:type="spellEnd"/>
            <w:r w:rsidRPr="00693715">
              <w:rPr>
                <w:i/>
                <w:iCs/>
              </w:rPr>
              <w:t xml:space="preserve"> </w:t>
            </w:r>
            <w:proofErr w:type="spellStart"/>
            <w:r w:rsidRPr="00693715">
              <w:rPr>
                <w:i/>
                <w:iCs/>
              </w:rPr>
              <w:t>withholding</w:t>
            </w:r>
            <w:proofErr w:type="spellEnd"/>
            <w:r w:rsidRPr="00693715">
              <w:rPr>
                <w:i/>
                <w:iCs/>
              </w:rPr>
              <w:t>)</w:t>
            </w:r>
          </w:p>
        </w:tc>
        <w:tc>
          <w:tcPr>
            <w:tcW w:w="1843" w:type="dxa"/>
          </w:tcPr>
          <w:p w14:paraId="6CCE8F00" w14:textId="77777777" w:rsidR="00062CBF" w:rsidRDefault="00062CBF" w:rsidP="00873F0B">
            <w:pPr>
              <w:jc w:val="center"/>
            </w:pPr>
          </w:p>
        </w:tc>
      </w:tr>
      <w:tr w:rsidR="00062CBF" w14:paraId="5663FA35" w14:textId="77777777" w:rsidTr="00062CBF">
        <w:tc>
          <w:tcPr>
            <w:tcW w:w="916" w:type="dxa"/>
          </w:tcPr>
          <w:p w14:paraId="76AF5BC3" w14:textId="77777777" w:rsidR="00062CBF" w:rsidRDefault="00062CBF" w:rsidP="00873F0B">
            <w:pPr>
              <w:jc w:val="center"/>
            </w:pPr>
            <w:r>
              <w:t>2.2.9</w:t>
            </w:r>
          </w:p>
        </w:tc>
        <w:tc>
          <w:tcPr>
            <w:tcW w:w="6592" w:type="dxa"/>
          </w:tcPr>
          <w:p w14:paraId="40604006" w14:textId="77777777" w:rsidR="00062CBF" w:rsidRPr="00693715" w:rsidRDefault="00062CBF" w:rsidP="00873F0B">
            <w:pPr>
              <w:jc w:val="both"/>
              <w:rPr>
                <w:i/>
                <w:iCs/>
              </w:rPr>
            </w:pPr>
            <w:proofErr w:type="spellStart"/>
            <w:r>
              <w:rPr>
                <w:i/>
                <w:iCs/>
              </w:rPr>
              <w:t>торгівля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повітрям</w:t>
            </w:r>
            <w:proofErr w:type="spellEnd"/>
          </w:p>
        </w:tc>
        <w:tc>
          <w:tcPr>
            <w:tcW w:w="1843" w:type="dxa"/>
          </w:tcPr>
          <w:p w14:paraId="47850D81" w14:textId="77777777" w:rsidR="00062CBF" w:rsidRDefault="00062CBF" w:rsidP="00873F0B">
            <w:pPr>
              <w:jc w:val="center"/>
            </w:pPr>
          </w:p>
        </w:tc>
      </w:tr>
      <w:tr w:rsidR="00062CBF" w14:paraId="6FCDB0CA" w14:textId="77777777" w:rsidTr="00062CBF">
        <w:tc>
          <w:tcPr>
            <w:tcW w:w="916" w:type="dxa"/>
          </w:tcPr>
          <w:p w14:paraId="5482B61E" w14:textId="77777777" w:rsidR="00062CBF" w:rsidRDefault="00062CBF" w:rsidP="00873F0B">
            <w:pPr>
              <w:jc w:val="center"/>
            </w:pPr>
            <w:r>
              <w:t>2.2.10</w:t>
            </w:r>
          </w:p>
        </w:tc>
        <w:tc>
          <w:tcPr>
            <w:tcW w:w="6592" w:type="dxa"/>
          </w:tcPr>
          <w:p w14:paraId="35918832" w14:textId="77777777" w:rsidR="00062CBF" w:rsidRDefault="00062CBF" w:rsidP="00873F0B">
            <w:pPr>
              <w:jc w:val="both"/>
              <w:rPr>
                <w:i/>
                <w:iCs/>
              </w:rPr>
            </w:pPr>
            <w:proofErr w:type="spellStart"/>
            <w:r>
              <w:rPr>
                <w:i/>
                <w:iCs/>
              </w:rPr>
              <w:t>інші</w:t>
            </w:r>
            <w:proofErr w:type="spellEnd"/>
            <w:r>
              <w:rPr>
                <w:i/>
                <w:iCs/>
              </w:rPr>
              <w:t xml:space="preserve"> практики</w:t>
            </w:r>
          </w:p>
        </w:tc>
        <w:tc>
          <w:tcPr>
            <w:tcW w:w="1843" w:type="dxa"/>
          </w:tcPr>
          <w:p w14:paraId="2B22C433" w14:textId="77777777" w:rsidR="00062CBF" w:rsidRDefault="00062CBF" w:rsidP="00873F0B">
            <w:pPr>
              <w:jc w:val="center"/>
            </w:pPr>
          </w:p>
        </w:tc>
      </w:tr>
      <w:tr w:rsidR="00062CBF" w14:paraId="57DB7E95" w14:textId="77777777" w:rsidTr="00062CBF">
        <w:tc>
          <w:tcPr>
            <w:tcW w:w="916" w:type="dxa"/>
          </w:tcPr>
          <w:p w14:paraId="41043489" w14:textId="77777777" w:rsidR="00062CBF" w:rsidRDefault="00062CBF" w:rsidP="00873F0B">
            <w:pPr>
              <w:jc w:val="center"/>
            </w:pPr>
            <w:r>
              <w:t>2.3</w:t>
            </w:r>
          </w:p>
        </w:tc>
        <w:tc>
          <w:tcPr>
            <w:tcW w:w="6592" w:type="dxa"/>
          </w:tcPr>
          <w:p w14:paraId="59604F0C" w14:textId="77777777" w:rsidR="00062CBF" w:rsidRPr="00442F37" w:rsidRDefault="00062CBF" w:rsidP="00873F0B">
            <w:pPr>
              <w:jc w:val="both"/>
              <w:rPr>
                <w:i/>
                <w:iCs/>
              </w:rPr>
            </w:pPr>
            <w:r w:rsidRPr="00442F37">
              <w:rPr>
                <w:i/>
                <w:iCs/>
              </w:rPr>
              <w:t xml:space="preserve">з них </w:t>
            </w:r>
            <w:proofErr w:type="spellStart"/>
            <w:r w:rsidRPr="00442F37">
              <w:rPr>
                <w:i/>
                <w:iCs/>
              </w:rPr>
              <w:t>порушення</w:t>
            </w:r>
            <w:proofErr w:type="spellEnd"/>
            <w:r w:rsidRPr="00442F37">
              <w:rPr>
                <w:i/>
                <w:iCs/>
              </w:rPr>
              <w:t xml:space="preserve"> </w:t>
            </w:r>
            <w:proofErr w:type="spellStart"/>
            <w:r w:rsidRPr="00442F37">
              <w:rPr>
                <w:i/>
                <w:iCs/>
              </w:rPr>
              <w:t>встановлених</w:t>
            </w:r>
            <w:proofErr w:type="spellEnd"/>
            <w:r w:rsidRPr="00442F37">
              <w:rPr>
                <w:i/>
                <w:iCs/>
              </w:rPr>
              <w:t xml:space="preserve"> </w:t>
            </w:r>
            <w:proofErr w:type="spellStart"/>
            <w:r w:rsidRPr="00442F37">
              <w:rPr>
                <w:i/>
                <w:iCs/>
              </w:rPr>
              <w:t>заборон</w:t>
            </w:r>
            <w:proofErr w:type="spellEnd"/>
            <w:r w:rsidRPr="00442F37">
              <w:rPr>
                <w:i/>
                <w:iCs/>
              </w:rPr>
              <w:t xml:space="preserve"> </w:t>
            </w:r>
            <w:proofErr w:type="spellStart"/>
            <w:r w:rsidRPr="00442F37">
              <w:rPr>
                <w:i/>
                <w:iCs/>
              </w:rPr>
              <w:t>щодо</w:t>
            </w:r>
            <w:proofErr w:type="spellEnd"/>
            <w:r w:rsidRPr="00442F37">
              <w:rPr>
                <w:i/>
                <w:iCs/>
              </w:rPr>
              <w:t xml:space="preserve"> </w:t>
            </w:r>
            <w:proofErr w:type="spellStart"/>
            <w:r w:rsidRPr="00442F37">
              <w:rPr>
                <w:i/>
                <w:iCs/>
              </w:rPr>
              <w:t>використання</w:t>
            </w:r>
            <w:proofErr w:type="spellEnd"/>
            <w:r w:rsidRPr="00442F37">
              <w:rPr>
                <w:i/>
                <w:iCs/>
              </w:rPr>
              <w:t xml:space="preserve"> інсайдерської </w:t>
            </w:r>
            <w:proofErr w:type="spellStart"/>
            <w:r w:rsidRPr="00442F37">
              <w:rPr>
                <w:i/>
                <w:iCs/>
              </w:rPr>
              <w:t>інформації</w:t>
            </w:r>
            <w:proofErr w:type="spellEnd"/>
          </w:p>
        </w:tc>
        <w:tc>
          <w:tcPr>
            <w:tcW w:w="1843" w:type="dxa"/>
          </w:tcPr>
          <w:p w14:paraId="5EC5730C" w14:textId="77777777" w:rsidR="00062CBF" w:rsidRDefault="00062CBF" w:rsidP="00873F0B">
            <w:pPr>
              <w:jc w:val="center"/>
            </w:pPr>
          </w:p>
        </w:tc>
      </w:tr>
      <w:tr w:rsidR="00062CBF" w14:paraId="2D0B27F1" w14:textId="77777777" w:rsidTr="00062CBF">
        <w:tc>
          <w:tcPr>
            <w:tcW w:w="916" w:type="dxa"/>
          </w:tcPr>
          <w:p w14:paraId="1A93F133" w14:textId="77777777" w:rsidR="00062CBF" w:rsidRDefault="00062CBF" w:rsidP="00873F0B">
            <w:pPr>
              <w:jc w:val="center"/>
            </w:pPr>
            <w:r>
              <w:t>3</w:t>
            </w:r>
          </w:p>
        </w:tc>
        <w:tc>
          <w:tcPr>
            <w:tcW w:w="6592" w:type="dxa"/>
          </w:tcPr>
          <w:p w14:paraId="3898E78D" w14:textId="77777777" w:rsidR="00062CBF" w:rsidRDefault="00062CBF" w:rsidP="00873F0B">
            <w:pPr>
              <w:jc w:val="both"/>
            </w:pPr>
            <w:proofErr w:type="spellStart"/>
            <w:r>
              <w:t>Середня</w:t>
            </w:r>
            <w:proofErr w:type="spellEnd"/>
            <w:r>
              <w:t xml:space="preserve"> </w:t>
            </w:r>
            <w:proofErr w:type="spellStart"/>
            <w:r w:rsidRPr="00442F37">
              <w:t>тривалість</w:t>
            </w:r>
            <w:proofErr w:type="spellEnd"/>
            <w:r w:rsidRPr="00442F37">
              <w:t xml:space="preserve"> </w:t>
            </w:r>
            <w:proofErr w:type="spellStart"/>
            <w:r w:rsidRPr="00442F37">
              <w:t>аналізу</w:t>
            </w:r>
            <w:proofErr w:type="spellEnd"/>
            <w:r w:rsidRPr="00442F37">
              <w:t xml:space="preserve"> </w:t>
            </w:r>
            <w:proofErr w:type="spellStart"/>
            <w:r w:rsidRPr="00442F37">
              <w:t>сповіщень</w:t>
            </w:r>
            <w:proofErr w:type="spellEnd"/>
            <w:r w:rsidRPr="00442F37">
              <w:t xml:space="preserve"> </w:t>
            </w:r>
            <w:proofErr w:type="spellStart"/>
            <w:r>
              <w:t>від</w:t>
            </w:r>
            <w:proofErr w:type="spellEnd"/>
            <w:r>
              <w:t xml:space="preserve"> моменту </w:t>
            </w:r>
            <w:proofErr w:type="spellStart"/>
            <w:r>
              <w:t>спрацювання</w:t>
            </w:r>
            <w:proofErr w:type="spellEnd"/>
            <w:r>
              <w:t xml:space="preserve"> </w:t>
            </w:r>
            <w:proofErr w:type="gramStart"/>
            <w:r>
              <w:t xml:space="preserve">до </w:t>
            </w:r>
            <w:r w:rsidRPr="00442F37">
              <w:t xml:space="preserve"> </w:t>
            </w:r>
            <w:proofErr w:type="spellStart"/>
            <w:r>
              <w:t>подання</w:t>
            </w:r>
            <w:proofErr w:type="spellEnd"/>
            <w:proofErr w:type="gramEnd"/>
            <w:r w:rsidRPr="00442F37">
              <w:t xml:space="preserve"> </w:t>
            </w:r>
            <w:proofErr w:type="spellStart"/>
            <w:r>
              <w:t>повідомлення</w:t>
            </w:r>
            <w:proofErr w:type="spellEnd"/>
            <w:r>
              <w:t xml:space="preserve"> </w:t>
            </w:r>
            <w:r w:rsidRPr="003C3CAA">
              <w:t xml:space="preserve">про </w:t>
            </w:r>
            <w:proofErr w:type="spellStart"/>
            <w:r w:rsidRPr="003C3CAA">
              <w:t>підозрілу</w:t>
            </w:r>
            <w:proofErr w:type="spellEnd"/>
            <w:r w:rsidRPr="003C3CAA">
              <w:t xml:space="preserve"> </w:t>
            </w:r>
            <w:proofErr w:type="spellStart"/>
            <w:r w:rsidRPr="003C3CAA">
              <w:t>поведінку</w:t>
            </w:r>
            <w:proofErr w:type="spellEnd"/>
            <w:r w:rsidRPr="003C3CAA">
              <w:t xml:space="preserve"> на оптовому </w:t>
            </w:r>
            <w:proofErr w:type="spellStart"/>
            <w:r w:rsidRPr="003C3CAA">
              <w:t>енергетичному</w:t>
            </w:r>
            <w:proofErr w:type="spellEnd"/>
            <w:r w:rsidRPr="003C3CAA">
              <w:t xml:space="preserve"> ринку </w:t>
            </w:r>
            <w:r>
              <w:t xml:space="preserve"> (</w:t>
            </w:r>
            <w:proofErr w:type="spellStart"/>
            <w:r>
              <w:t>днів</w:t>
            </w:r>
            <w:proofErr w:type="spellEnd"/>
            <w:r>
              <w:t>)</w:t>
            </w:r>
          </w:p>
        </w:tc>
        <w:tc>
          <w:tcPr>
            <w:tcW w:w="1843" w:type="dxa"/>
          </w:tcPr>
          <w:p w14:paraId="5CF7E4A3" w14:textId="77777777" w:rsidR="00062CBF" w:rsidRDefault="00062CBF" w:rsidP="00873F0B">
            <w:pPr>
              <w:jc w:val="center"/>
            </w:pPr>
          </w:p>
        </w:tc>
      </w:tr>
      <w:tr w:rsidR="00062CBF" w14:paraId="0B18BA99" w14:textId="77777777" w:rsidTr="00062CBF">
        <w:tc>
          <w:tcPr>
            <w:tcW w:w="916" w:type="dxa"/>
          </w:tcPr>
          <w:p w14:paraId="20082384" w14:textId="77777777" w:rsidR="00062CBF" w:rsidRDefault="00062CBF" w:rsidP="00873F0B">
            <w:pPr>
              <w:jc w:val="center"/>
            </w:pPr>
            <w:r>
              <w:lastRenderedPageBreak/>
              <w:t>4</w:t>
            </w:r>
          </w:p>
        </w:tc>
        <w:tc>
          <w:tcPr>
            <w:tcW w:w="6592" w:type="dxa"/>
          </w:tcPr>
          <w:p w14:paraId="7347460F" w14:textId="77777777" w:rsidR="00062CBF" w:rsidRDefault="00062CBF" w:rsidP="00873F0B">
            <w:pPr>
              <w:jc w:val="both"/>
            </w:pPr>
            <w:proofErr w:type="spellStart"/>
            <w:r>
              <w:t>Кількість</w:t>
            </w:r>
            <w:proofErr w:type="spellEnd"/>
            <w:r>
              <w:t xml:space="preserve"> </w:t>
            </w:r>
            <w:proofErr w:type="spellStart"/>
            <w:r>
              <w:t>сигналів</w:t>
            </w:r>
            <w:proofErr w:type="spellEnd"/>
            <w:r>
              <w:t xml:space="preserve">, </w:t>
            </w:r>
            <w:proofErr w:type="spellStart"/>
            <w:r>
              <w:t>які</w:t>
            </w:r>
            <w:proofErr w:type="spellEnd"/>
            <w:r>
              <w:t xml:space="preserve"> </w:t>
            </w:r>
            <w:proofErr w:type="spellStart"/>
            <w:r>
              <w:t>перебувають</w:t>
            </w:r>
            <w:proofErr w:type="spellEnd"/>
            <w:r>
              <w:t xml:space="preserve"> на </w:t>
            </w:r>
            <w:proofErr w:type="spellStart"/>
            <w:r>
              <w:t>розгляді</w:t>
            </w:r>
            <w:proofErr w:type="spellEnd"/>
            <w:r>
              <w:t xml:space="preserve"> на </w:t>
            </w:r>
            <w:proofErr w:type="spellStart"/>
            <w:r>
              <w:t>кінець</w:t>
            </w:r>
            <w:proofErr w:type="spellEnd"/>
            <w:r>
              <w:t xml:space="preserve"> </w:t>
            </w:r>
            <w:proofErr w:type="spellStart"/>
            <w:r>
              <w:t>звітного</w:t>
            </w:r>
            <w:proofErr w:type="spellEnd"/>
            <w:r>
              <w:t xml:space="preserve"> </w:t>
            </w:r>
            <w:proofErr w:type="spellStart"/>
            <w:r>
              <w:t>періоду</w:t>
            </w:r>
            <w:proofErr w:type="spellEnd"/>
          </w:p>
        </w:tc>
        <w:tc>
          <w:tcPr>
            <w:tcW w:w="1843" w:type="dxa"/>
          </w:tcPr>
          <w:p w14:paraId="105795C1" w14:textId="77777777" w:rsidR="00062CBF" w:rsidRDefault="00062CBF" w:rsidP="00873F0B">
            <w:pPr>
              <w:jc w:val="center"/>
            </w:pPr>
          </w:p>
        </w:tc>
      </w:tr>
    </w:tbl>
    <w:p w14:paraId="610CC96D" w14:textId="77777777" w:rsidR="00896295" w:rsidRPr="00F052C2" w:rsidRDefault="00896295" w:rsidP="00896295">
      <w:pPr>
        <w:spacing w:line="278" w:lineRule="auto"/>
        <w:rPr>
          <w:lang w:val="uk-UA"/>
        </w:rPr>
      </w:pPr>
    </w:p>
    <w:p w14:paraId="41F26511" w14:textId="77777777" w:rsidR="00896295" w:rsidRPr="00F052C2" w:rsidRDefault="00896295">
      <w:pPr>
        <w:rPr>
          <w:lang w:val="uk-UA"/>
        </w:rPr>
      </w:pPr>
    </w:p>
    <w:p w14:paraId="4EC010BB" w14:textId="4AF030B9" w:rsidR="00896295" w:rsidRPr="00F052C2" w:rsidRDefault="00896295" w:rsidP="008804DD">
      <w:pPr>
        <w:tabs>
          <w:tab w:val="left" w:pos="1134"/>
        </w:tabs>
        <w:jc w:val="center"/>
        <w:rPr>
          <w:lang w:val="uk-UA"/>
        </w:rPr>
      </w:pPr>
      <w:r w:rsidRPr="00F052C2">
        <w:rPr>
          <w:szCs w:val="28"/>
          <w:lang w:val="uk-UA"/>
        </w:rPr>
        <w:t>________________________________</w:t>
      </w:r>
    </w:p>
    <w:sectPr w:rsidR="00896295" w:rsidRPr="00F052C2" w:rsidSect="00643FEA">
      <w:pgSz w:w="11906" w:h="16838"/>
      <w:pgMar w:top="1134" w:right="567" w:bottom="1276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ECFFF3" w14:textId="77777777" w:rsidR="000B60CD" w:rsidRDefault="000B60CD" w:rsidP="00643FEA">
      <w:r>
        <w:separator/>
      </w:r>
    </w:p>
  </w:endnote>
  <w:endnote w:type="continuationSeparator" w:id="0">
    <w:p w14:paraId="110C4608" w14:textId="77777777" w:rsidR="000B60CD" w:rsidRDefault="000B60CD" w:rsidP="00643F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BE8EBC" w14:textId="77777777" w:rsidR="000B60CD" w:rsidRDefault="000B60CD" w:rsidP="00643FEA">
      <w:r>
        <w:separator/>
      </w:r>
    </w:p>
  </w:footnote>
  <w:footnote w:type="continuationSeparator" w:id="0">
    <w:p w14:paraId="4FD753C7" w14:textId="77777777" w:rsidR="000B60CD" w:rsidRDefault="000B60CD" w:rsidP="00643F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607C3" w14:textId="77777777" w:rsidR="00A0040D" w:rsidRDefault="00141E9E" w:rsidP="00740DE1">
    <w:pPr>
      <w:pStyle w:val="af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>
      <w:rPr>
        <w:rStyle w:val="af1"/>
        <w:noProof/>
      </w:rPr>
      <w:t>15</w:t>
    </w:r>
    <w:r>
      <w:rPr>
        <w:rStyle w:val="af1"/>
      </w:rPr>
      <w:fldChar w:fldCharType="end"/>
    </w:r>
  </w:p>
  <w:p w14:paraId="3CB4BBCD" w14:textId="77777777" w:rsidR="00A0040D" w:rsidRDefault="00A0040D">
    <w:pPr>
      <w:pStyle w:val="af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2188B" w14:textId="77777777" w:rsidR="00A0040D" w:rsidRDefault="00141E9E" w:rsidP="00740DE1">
    <w:pPr>
      <w:pStyle w:val="af"/>
      <w:framePr w:wrap="around" w:vAnchor="text" w:hAnchor="margin" w:xAlign="center" w:y="1"/>
      <w:jc w:val="center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>
      <w:rPr>
        <w:rStyle w:val="af1"/>
        <w:noProof/>
      </w:rPr>
      <w:t>3</w:t>
    </w:r>
    <w:r>
      <w:rPr>
        <w:rStyle w:val="af1"/>
      </w:rPr>
      <w:fldChar w:fldCharType="end"/>
    </w:r>
  </w:p>
  <w:p w14:paraId="6D243195" w14:textId="77777777" w:rsidR="00A0040D" w:rsidRDefault="00A0040D" w:rsidP="00740DE1">
    <w:pPr>
      <w:pStyle w:val="af"/>
      <w:framePr w:wrap="around" w:vAnchor="text" w:hAnchor="margin" w:xAlign="center" w:y="1"/>
      <w:jc w:val="center"/>
      <w:rPr>
        <w:rStyle w:val="af1"/>
      </w:rPr>
    </w:pPr>
  </w:p>
  <w:p w14:paraId="208F1DF6" w14:textId="77777777" w:rsidR="00A0040D" w:rsidRDefault="00A0040D">
    <w:pPr>
      <w:pStyle w:val="af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E19C46" w14:textId="0E51FF26" w:rsidR="00A0040D" w:rsidRPr="00643FEA" w:rsidRDefault="00643FEA" w:rsidP="00740DE1">
    <w:pPr>
      <w:pStyle w:val="af"/>
      <w:jc w:val="right"/>
      <w:rPr>
        <w:lang w:val="uk-UA"/>
      </w:rPr>
    </w:pPr>
    <w:r w:rsidRPr="00643FEA">
      <w:rPr>
        <w:lang w:val="uk-UA"/>
      </w:rPr>
      <w:t>ПРОЄКТ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A7CE4" w14:textId="77777777" w:rsidR="00A0040D" w:rsidRPr="00905D40" w:rsidRDefault="00141E9E">
    <w:pPr>
      <w:pStyle w:val="af"/>
      <w:jc w:val="center"/>
      <w:rPr>
        <w:lang w:val="uk-UA"/>
      </w:rPr>
    </w:pPr>
    <w:r>
      <w:fldChar w:fldCharType="begin"/>
    </w:r>
    <w:r>
      <w:instrText>PAGE   \* MERGEFORMAT</w:instrText>
    </w:r>
    <w:r>
      <w:fldChar w:fldCharType="separate"/>
    </w:r>
    <w:r w:rsidRPr="00394516">
      <w:rPr>
        <w:noProof/>
        <w:lang w:val="uk-UA"/>
      </w:rPr>
      <w:t>2</w:t>
    </w:r>
    <w:r>
      <w:fldChar w:fldCharType="end"/>
    </w:r>
  </w:p>
  <w:p w14:paraId="2E6628A5" w14:textId="77777777" w:rsidR="00A0040D" w:rsidRDefault="00A0040D">
    <w:pPr>
      <w:pStyle w:val="af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E21F05" w14:textId="77777777" w:rsidR="00A0040D" w:rsidRDefault="00A0040D">
    <w:pPr>
      <w:pStyle w:val="af"/>
      <w:jc w:val="center"/>
    </w:pPr>
  </w:p>
  <w:p w14:paraId="49CCD1B7" w14:textId="77777777" w:rsidR="00A0040D" w:rsidRPr="00AA770D" w:rsidRDefault="00A0040D" w:rsidP="00740DE1">
    <w:pPr>
      <w:pStyle w:val="af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18C"/>
    <w:rsid w:val="00062CBF"/>
    <w:rsid w:val="000B60CD"/>
    <w:rsid w:val="000C7892"/>
    <w:rsid w:val="000D0778"/>
    <w:rsid w:val="000F5FB8"/>
    <w:rsid w:val="0010590F"/>
    <w:rsid w:val="00141E9E"/>
    <w:rsid w:val="0016665B"/>
    <w:rsid w:val="001E660C"/>
    <w:rsid w:val="002043C0"/>
    <w:rsid w:val="003571EB"/>
    <w:rsid w:val="00370283"/>
    <w:rsid w:val="003722C4"/>
    <w:rsid w:val="0038509C"/>
    <w:rsid w:val="003943F9"/>
    <w:rsid w:val="004A25E4"/>
    <w:rsid w:val="00580165"/>
    <w:rsid w:val="005C5D10"/>
    <w:rsid w:val="00600E3B"/>
    <w:rsid w:val="006325E0"/>
    <w:rsid w:val="00643FEA"/>
    <w:rsid w:val="0067547D"/>
    <w:rsid w:val="006D2EFA"/>
    <w:rsid w:val="006D5728"/>
    <w:rsid w:val="007163FE"/>
    <w:rsid w:val="007A2974"/>
    <w:rsid w:val="007C04B8"/>
    <w:rsid w:val="007E2EF0"/>
    <w:rsid w:val="00811622"/>
    <w:rsid w:val="008804DD"/>
    <w:rsid w:val="00896295"/>
    <w:rsid w:val="008A665A"/>
    <w:rsid w:val="009146AD"/>
    <w:rsid w:val="00A0040D"/>
    <w:rsid w:val="00A2246F"/>
    <w:rsid w:val="00A9196D"/>
    <w:rsid w:val="00AA46F1"/>
    <w:rsid w:val="00AE4645"/>
    <w:rsid w:val="00B353E5"/>
    <w:rsid w:val="00B7118C"/>
    <w:rsid w:val="00B9018B"/>
    <w:rsid w:val="00B93AF9"/>
    <w:rsid w:val="00BC1CF1"/>
    <w:rsid w:val="00BE7E65"/>
    <w:rsid w:val="00BF41FC"/>
    <w:rsid w:val="00C32771"/>
    <w:rsid w:val="00C3347D"/>
    <w:rsid w:val="00C4092F"/>
    <w:rsid w:val="00C66F22"/>
    <w:rsid w:val="00D759E2"/>
    <w:rsid w:val="00D966EB"/>
    <w:rsid w:val="00DF49D8"/>
    <w:rsid w:val="00E0442A"/>
    <w:rsid w:val="00E71E3D"/>
    <w:rsid w:val="00E85D67"/>
    <w:rsid w:val="00E9454D"/>
    <w:rsid w:val="00F052C2"/>
    <w:rsid w:val="00F87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96378"/>
  <w15:chartTrackingRefBased/>
  <w15:docId w15:val="{14A1434D-5619-4874-9553-619831907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FEA"/>
    <w:pPr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0"/>
      <w:lang w:val="ru-RU"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7118C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uk-UA"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7118C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uk-UA"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7118C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Cs w:val="28"/>
      <w:lang w:val="uk-UA"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7118C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val="uk-UA"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7118C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val="uk-UA"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7118C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val="uk-UA"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7118C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val="uk-UA"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7118C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val="uk-UA"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7118C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val="uk-UA"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11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711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711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7118C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7118C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7118C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7118C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7118C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7118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7118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uk-UA" w:eastAsia="en-US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B711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7118C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Cs w:val="28"/>
      <w:lang w:val="uk-UA" w:eastAsia="en-US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B711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7118C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val="uk-UA" w:eastAsia="en-US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B7118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7118C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val="uk-UA" w:eastAsia="en-US"/>
      <w14:ligatures w14:val="standardContextual"/>
    </w:rPr>
  </w:style>
  <w:style w:type="character" w:styleId="aa">
    <w:name w:val="Intense Emphasis"/>
    <w:basedOn w:val="a0"/>
    <w:uiPriority w:val="21"/>
    <w:qFormat/>
    <w:rsid w:val="00B7118C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711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val="uk-UA" w:eastAsia="en-US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B7118C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B7118C"/>
    <w:rPr>
      <w:b/>
      <w:bCs/>
      <w:smallCaps/>
      <w:color w:val="0F4761" w:themeColor="accent1" w:themeShade="BF"/>
      <w:spacing w:val="5"/>
    </w:rPr>
  </w:style>
  <w:style w:type="character" w:styleId="ae">
    <w:name w:val="Strong"/>
    <w:basedOn w:val="a0"/>
    <w:uiPriority w:val="22"/>
    <w:qFormat/>
    <w:rsid w:val="00643FEA"/>
    <w:rPr>
      <w:b/>
      <w:bCs/>
    </w:rPr>
  </w:style>
  <w:style w:type="paragraph" w:styleId="af">
    <w:name w:val="header"/>
    <w:basedOn w:val="a"/>
    <w:link w:val="af0"/>
    <w:uiPriority w:val="99"/>
    <w:rsid w:val="00643FEA"/>
    <w:pPr>
      <w:tabs>
        <w:tab w:val="center" w:pos="4819"/>
        <w:tab w:val="right" w:pos="9639"/>
      </w:tabs>
    </w:pPr>
  </w:style>
  <w:style w:type="character" w:customStyle="1" w:styleId="af0">
    <w:name w:val="Верхній колонтитул Знак"/>
    <w:basedOn w:val="a0"/>
    <w:link w:val="af"/>
    <w:uiPriority w:val="99"/>
    <w:rsid w:val="00643FEA"/>
    <w:rPr>
      <w:rFonts w:ascii="Times New Roman" w:eastAsia="Times New Roman" w:hAnsi="Times New Roman" w:cs="Times New Roman"/>
      <w:kern w:val="0"/>
      <w:sz w:val="28"/>
      <w:szCs w:val="20"/>
      <w:lang w:val="ru-RU" w:eastAsia="ru-RU"/>
      <w14:ligatures w14:val="none"/>
    </w:rPr>
  </w:style>
  <w:style w:type="character" w:styleId="af1">
    <w:name w:val="page number"/>
    <w:basedOn w:val="a0"/>
    <w:rsid w:val="00643FEA"/>
  </w:style>
  <w:style w:type="paragraph" w:styleId="af2">
    <w:name w:val="footer"/>
    <w:basedOn w:val="a"/>
    <w:link w:val="af3"/>
    <w:uiPriority w:val="99"/>
    <w:unhideWhenUsed/>
    <w:rsid w:val="00643FEA"/>
    <w:pPr>
      <w:tabs>
        <w:tab w:val="center" w:pos="4819"/>
        <w:tab w:val="right" w:pos="9639"/>
      </w:tabs>
    </w:pPr>
  </w:style>
  <w:style w:type="character" w:customStyle="1" w:styleId="af3">
    <w:name w:val="Нижній колонтитул Знак"/>
    <w:basedOn w:val="a0"/>
    <w:link w:val="af2"/>
    <w:uiPriority w:val="99"/>
    <w:rsid w:val="00643FEA"/>
    <w:rPr>
      <w:rFonts w:ascii="Times New Roman" w:eastAsia="Times New Roman" w:hAnsi="Times New Roman" w:cs="Times New Roman"/>
      <w:kern w:val="0"/>
      <w:sz w:val="28"/>
      <w:szCs w:val="20"/>
      <w:lang w:val="ru-RU" w:eastAsia="ru-RU"/>
      <w14:ligatures w14:val="none"/>
    </w:rPr>
  </w:style>
  <w:style w:type="table" w:styleId="af4">
    <w:name w:val="Table Grid"/>
    <w:basedOn w:val="a1"/>
    <w:uiPriority w:val="39"/>
    <w:rsid w:val="008962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Revision"/>
    <w:hidden/>
    <w:uiPriority w:val="99"/>
    <w:semiHidden/>
    <w:rsid w:val="008A665A"/>
    <w:pPr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0"/>
      <w:lang w:val="ru-RU" w:eastAsia="ru-RU"/>
      <w14:ligatures w14:val="none"/>
    </w:rPr>
  </w:style>
  <w:style w:type="paragraph" w:styleId="af6">
    <w:name w:val="Balloon Text"/>
    <w:basedOn w:val="a"/>
    <w:link w:val="af7"/>
    <w:uiPriority w:val="99"/>
    <w:semiHidden/>
    <w:unhideWhenUsed/>
    <w:rsid w:val="00C66F22"/>
    <w:rPr>
      <w:rFonts w:ascii="Segoe UI" w:hAnsi="Segoe UI" w:cs="Segoe UI"/>
      <w:sz w:val="18"/>
      <w:szCs w:val="18"/>
    </w:rPr>
  </w:style>
  <w:style w:type="character" w:customStyle="1" w:styleId="af7">
    <w:name w:val="Текст у виносці Знак"/>
    <w:basedOn w:val="a0"/>
    <w:link w:val="af6"/>
    <w:uiPriority w:val="99"/>
    <w:semiHidden/>
    <w:rsid w:val="00C66F22"/>
    <w:rPr>
      <w:rFonts w:ascii="Segoe UI" w:eastAsia="Times New Roman" w:hAnsi="Segoe UI" w:cs="Segoe UI"/>
      <w:kern w:val="0"/>
      <w:sz w:val="18"/>
      <w:szCs w:val="18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004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3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5.xml"/><Relationship Id="rId5" Type="http://schemas.openxmlformats.org/officeDocument/2006/relationships/endnotes" Target="endnotes.xml"/><Relationship Id="rId10" Type="http://schemas.openxmlformats.org/officeDocument/2006/relationships/header" Target="header4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5291</Words>
  <Characters>3016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Олена Журавель</dc:creator>
  <cp:keywords/>
  <dc:description/>
  <cp:lastModifiedBy>Олена Журавель</cp:lastModifiedBy>
  <cp:revision>3</cp:revision>
  <dcterms:created xsi:type="dcterms:W3CDTF">2025-11-10T09:10:00Z</dcterms:created>
  <dcterms:modified xsi:type="dcterms:W3CDTF">2025-11-10T09:11:00Z</dcterms:modified>
</cp:coreProperties>
</file>