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8BB3D" w14:textId="3B257AC5" w:rsidR="00D10FC2" w:rsidRPr="002D6677" w:rsidRDefault="005E73E8" w:rsidP="00742FE8">
      <w:pPr>
        <w:spacing w:after="0" w:line="240" w:lineRule="auto"/>
        <w:jc w:val="center"/>
        <w:rPr>
          <w:rFonts w:ascii="Times New Roman" w:hAnsi="Times New Roman" w:cs="Times New Roman"/>
          <w:b/>
          <w:sz w:val="28"/>
        </w:rPr>
      </w:pPr>
      <w:r w:rsidRPr="002D6677">
        <w:rPr>
          <w:rFonts w:ascii="Times New Roman" w:hAnsi="Times New Roman" w:cs="Times New Roman"/>
          <w:b/>
          <w:sz w:val="28"/>
        </w:rPr>
        <w:t>Порівняльна таблиця до про</w:t>
      </w:r>
      <w:r w:rsidR="00DB5C20" w:rsidRPr="002D6677">
        <w:rPr>
          <w:rFonts w:ascii="Times New Roman" w:hAnsi="Times New Roman" w:cs="Times New Roman"/>
          <w:b/>
          <w:sz w:val="28"/>
        </w:rPr>
        <w:t>є</w:t>
      </w:r>
      <w:r w:rsidRPr="002D6677">
        <w:rPr>
          <w:rFonts w:ascii="Times New Roman" w:hAnsi="Times New Roman" w:cs="Times New Roman"/>
          <w:b/>
          <w:sz w:val="28"/>
        </w:rPr>
        <w:t xml:space="preserve">кту постанови НКРЕКП «Про </w:t>
      </w:r>
      <w:r w:rsidR="00D76A13" w:rsidRPr="002D6677">
        <w:rPr>
          <w:rFonts w:ascii="Times New Roman" w:hAnsi="Times New Roman" w:cs="Times New Roman"/>
          <w:b/>
          <w:sz w:val="28"/>
        </w:rPr>
        <w:t>внесення змін до</w:t>
      </w:r>
      <w:r w:rsidR="00D76A13" w:rsidRPr="002D6677">
        <w:rPr>
          <w:rFonts w:ascii="Times New Roman" w:hAnsi="Times New Roman" w:cs="Times New Roman"/>
          <w:b/>
          <w:sz w:val="28"/>
          <w:szCs w:val="24"/>
        </w:rPr>
        <w:t xml:space="preserve"> Методики визначення та розрахунку тарифу на послуги розподілу природного газу</w:t>
      </w:r>
      <w:r w:rsidR="00D10FC2" w:rsidRPr="002D6677">
        <w:rPr>
          <w:rFonts w:ascii="Times New Roman" w:hAnsi="Times New Roman" w:cs="Times New Roman"/>
          <w:b/>
          <w:sz w:val="28"/>
          <w:szCs w:val="24"/>
        </w:rPr>
        <w:t xml:space="preserve">», </w:t>
      </w:r>
      <w:r w:rsidR="00D10FC2" w:rsidRPr="002D6677">
        <w:rPr>
          <w:rFonts w:ascii="Times New Roman" w:hAnsi="Times New Roman" w:cs="Times New Roman"/>
          <w:b/>
          <w:sz w:val="28"/>
        </w:rPr>
        <w:t>що має ознаки регуляторного акта</w:t>
      </w:r>
    </w:p>
    <w:p w14:paraId="3BFBB833" w14:textId="3F6E0CDA" w:rsidR="005E73E8" w:rsidRPr="002D6677" w:rsidRDefault="005E73E8" w:rsidP="00742FE8">
      <w:pPr>
        <w:spacing w:after="0" w:line="240" w:lineRule="auto"/>
        <w:jc w:val="center"/>
        <w:rPr>
          <w:rFonts w:ascii="Times New Roman" w:hAnsi="Times New Roman" w:cs="Times New Roman"/>
          <w:b/>
          <w:sz w:val="28"/>
        </w:rPr>
      </w:pPr>
    </w:p>
    <w:p w14:paraId="42D651A5" w14:textId="77777777" w:rsidR="00AA31C1" w:rsidRPr="002D6677" w:rsidRDefault="00AA31C1" w:rsidP="00742FE8">
      <w:pPr>
        <w:spacing w:after="0" w:line="240" w:lineRule="auto"/>
        <w:jc w:val="center"/>
        <w:rPr>
          <w:rFonts w:ascii="Times New Roman" w:hAnsi="Times New Roman" w:cs="Times New Roman"/>
          <w:b/>
          <w:sz w:val="28"/>
        </w:rPr>
      </w:pPr>
    </w:p>
    <w:tbl>
      <w:tblPr>
        <w:tblStyle w:val="a3"/>
        <w:tblW w:w="15243" w:type="dxa"/>
        <w:jc w:val="center"/>
        <w:tblLayout w:type="fixed"/>
        <w:tblLook w:val="04A0" w:firstRow="1" w:lastRow="0" w:firstColumn="1" w:lastColumn="0" w:noHBand="0" w:noVBand="1"/>
      </w:tblPr>
      <w:tblGrid>
        <w:gridCol w:w="7650"/>
        <w:gridCol w:w="7581"/>
        <w:gridCol w:w="12"/>
      </w:tblGrid>
      <w:tr w:rsidR="003D3487" w:rsidRPr="002D6677" w14:paraId="5F889EA9" w14:textId="77777777" w:rsidTr="006D4E1C">
        <w:trPr>
          <w:gridAfter w:val="1"/>
          <w:wAfter w:w="12" w:type="dxa"/>
          <w:jc w:val="center"/>
        </w:trPr>
        <w:tc>
          <w:tcPr>
            <w:tcW w:w="7650" w:type="dxa"/>
          </w:tcPr>
          <w:p w14:paraId="33070DF8" w14:textId="77777777" w:rsidR="003737EF" w:rsidRPr="002D6677" w:rsidRDefault="00AA31C1" w:rsidP="00742FE8">
            <w:pPr>
              <w:spacing w:after="0" w:line="240" w:lineRule="auto"/>
              <w:jc w:val="center"/>
              <w:rPr>
                <w:rFonts w:ascii="Times New Roman" w:hAnsi="Times New Roman" w:cs="Times New Roman"/>
                <w:b/>
                <w:i/>
                <w:sz w:val="24"/>
                <w:szCs w:val="24"/>
              </w:rPr>
            </w:pPr>
            <w:r w:rsidRPr="002D6677">
              <w:rPr>
                <w:rFonts w:ascii="Times New Roman" w:hAnsi="Times New Roman" w:cs="Times New Roman"/>
                <w:b/>
                <w:i/>
                <w:sz w:val="24"/>
                <w:szCs w:val="24"/>
              </w:rPr>
              <w:t>ЗМІСТ ДІЮЧОЇ РЕДАКЦІЇ НОРМАТИВНО-ПРАВОВОГО АКТУ</w:t>
            </w:r>
          </w:p>
        </w:tc>
        <w:tc>
          <w:tcPr>
            <w:tcW w:w="7581" w:type="dxa"/>
          </w:tcPr>
          <w:p w14:paraId="30AFB391" w14:textId="77777777" w:rsidR="003737EF" w:rsidRPr="002D6677" w:rsidRDefault="003737EF" w:rsidP="00742FE8">
            <w:pPr>
              <w:spacing w:after="0" w:line="240" w:lineRule="auto"/>
              <w:jc w:val="center"/>
              <w:rPr>
                <w:rFonts w:ascii="Times New Roman" w:hAnsi="Times New Roman" w:cs="Times New Roman"/>
                <w:b/>
                <w:i/>
                <w:sz w:val="24"/>
                <w:szCs w:val="24"/>
              </w:rPr>
            </w:pPr>
            <w:r w:rsidRPr="002D6677">
              <w:rPr>
                <w:rFonts w:ascii="Times New Roman" w:hAnsi="Times New Roman" w:cs="Times New Roman"/>
                <w:b/>
                <w:i/>
                <w:sz w:val="24"/>
                <w:szCs w:val="24"/>
              </w:rPr>
              <w:t>ЗМІСТ ПОЛОЖЕНЬ ПРО</w:t>
            </w:r>
            <w:r w:rsidR="00BA4B2A" w:rsidRPr="002D6677">
              <w:rPr>
                <w:rFonts w:ascii="Times New Roman" w:hAnsi="Times New Roman" w:cs="Times New Roman"/>
                <w:b/>
                <w:i/>
                <w:sz w:val="24"/>
                <w:szCs w:val="24"/>
              </w:rPr>
              <w:t>Є</w:t>
            </w:r>
            <w:r w:rsidRPr="002D6677">
              <w:rPr>
                <w:rFonts w:ascii="Times New Roman" w:hAnsi="Times New Roman" w:cs="Times New Roman"/>
                <w:b/>
                <w:i/>
                <w:sz w:val="24"/>
                <w:szCs w:val="24"/>
              </w:rPr>
              <w:t>КТУ ПОСТАНОВИ</w:t>
            </w:r>
          </w:p>
        </w:tc>
      </w:tr>
      <w:tr w:rsidR="00465894" w:rsidRPr="002D6677" w14:paraId="191AB02C" w14:textId="77777777" w:rsidTr="000E7A80">
        <w:trPr>
          <w:jc w:val="center"/>
        </w:trPr>
        <w:tc>
          <w:tcPr>
            <w:tcW w:w="15243" w:type="dxa"/>
            <w:gridSpan w:val="3"/>
          </w:tcPr>
          <w:p w14:paraId="7FF97566" w14:textId="77777777" w:rsidR="00465894" w:rsidRPr="002D6677" w:rsidRDefault="00465894" w:rsidP="00742FE8">
            <w:pPr>
              <w:shd w:val="clear" w:color="auto" w:fill="FFFFFF"/>
              <w:tabs>
                <w:tab w:val="left" w:pos="1276"/>
              </w:tabs>
              <w:spacing w:after="0" w:line="240" w:lineRule="auto"/>
              <w:jc w:val="center"/>
              <w:rPr>
                <w:rFonts w:ascii="Times New Roman" w:hAnsi="Times New Roman" w:cs="Times New Roman"/>
                <w:b/>
                <w:sz w:val="28"/>
                <w:szCs w:val="24"/>
              </w:rPr>
            </w:pPr>
            <w:r w:rsidRPr="002D6677">
              <w:rPr>
                <w:rFonts w:ascii="Times New Roman" w:hAnsi="Times New Roman" w:cs="Times New Roman"/>
                <w:b/>
                <w:sz w:val="28"/>
                <w:szCs w:val="24"/>
              </w:rPr>
              <w:t>Методика визначення та розрахунку тарифу на послуги розподілу природного газу</w:t>
            </w:r>
          </w:p>
          <w:p w14:paraId="2019CEAE" w14:textId="77777777" w:rsidR="00465894" w:rsidRPr="002D6677" w:rsidRDefault="00465894" w:rsidP="00742FE8">
            <w:pPr>
              <w:shd w:val="clear" w:color="auto" w:fill="FFFFFF"/>
              <w:tabs>
                <w:tab w:val="left" w:pos="1276"/>
              </w:tabs>
              <w:spacing w:after="0" w:line="240" w:lineRule="auto"/>
              <w:jc w:val="center"/>
              <w:rPr>
                <w:rFonts w:ascii="Times New Roman" w:hAnsi="Times New Roman" w:cs="Times New Roman"/>
                <w:b/>
                <w:sz w:val="24"/>
                <w:szCs w:val="24"/>
              </w:rPr>
            </w:pPr>
            <w:r w:rsidRPr="002D6677">
              <w:rPr>
                <w:rFonts w:ascii="Times New Roman" w:hAnsi="Times New Roman" w:cs="Times New Roman"/>
                <w:b/>
                <w:sz w:val="24"/>
                <w:szCs w:val="24"/>
              </w:rPr>
              <w:t>(постанова НКРЕКП від 25.02.2016  № 236)</w:t>
            </w:r>
          </w:p>
        </w:tc>
      </w:tr>
      <w:tr w:rsidR="000364AB" w:rsidRPr="002D6677" w14:paraId="13F5302E" w14:textId="77777777" w:rsidTr="000E7A80">
        <w:trPr>
          <w:jc w:val="center"/>
        </w:trPr>
        <w:tc>
          <w:tcPr>
            <w:tcW w:w="15243" w:type="dxa"/>
            <w:gridSpan w:val="3"/>
          </w:tcPr>
          <w:p w14:paraId="4483EBAD" w14:textId="36135C15" w:rsidR="000364AB" w:rsidRPr="002D6677" w:rsidRDefault="00E366EA" w:rsidP="00742FE8">
            <w:pPr>
              <w:shd w:val="clear" w:color="auto" w:fill="FFFFFF"/>
              <w:tabs>
                <w:tab w:val="left" w:pos="1276"/>
              </w:tabs>
              <w:spacing w:after="0" w:line="240" w:lineRule="auto"/>
              <w:jc w:val="center"/>
              <w:rPr>
                <w:rFonts w:ascii="Times New Roman" w:hAnsi="Times New Roman" w:cs="Times New Roman"/>
                <w:b/>
                <w:sz w:val="24"/>
                <w:szCs w:val="24"/>
              </w:rPr>
            </w:pPr>
            <w:bookmarkStart w:id="0" w:name="_Hlk211434827"/>
            <w:r w:rsidRPr="00E366EA">
              <w:rPr>
                <w:rFonts w:ascii="Times New Roman" w:hAnsi="Times New Roman" w:cs="Times New Roman"/>
                <w:b/>
                <w:bCs/>
                <w:sz w:val="24"/>
                <w:szCs w:val="24"/>
              </w:rPr>
              <w:t>І. Загальні положення</w:t>
            </w:r>
          </w:p>
        </w:tc>
      </w:tr>
      <w:tr w:rsidR="00E366EA" w:rsidRPr="002D6677" w14:paraId="6385524A" w14:textId="7B52FFDE" w:rsidTr="000364AB">
        <w:trPr>
          <w:jc w:val="center"/>
        </w:trPr>
        <w:tc>
          <w:tcPr>
            <w:tcW w:w="7650" w:type="dxa"/>
          </w:tcPr>
          <w:p w14:paraId="03ECCC71" w14:textId="35EE44B0" w:rsidR="00E366EA" w:rsidRDefault="00E366EA" w:rsidP="00E366EA">
            <w:pPr>
              <w:shd w:val="clear" w:color="auto" w:fill="FFFFFF"/>
              <w:tabs>
                <w:tab w:val="left" w:pos="1276"/>
              </w:tabs>
              <w:spacing w:after="0" w:line="240" w:lineRule="auto"/>
              <w:ind w:firstLine="44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w:t>
            </w:r>
          </w:p>
          <w:p w14:paraId="78E03709" w14:textId="4BB8C943" w:rsidR="00E366EA" w:rsidRDefault="00E366EA" w:rsidP="00E366EA">
            <w:pPr>
              <w:shd w:val="clear" w:color="auto" w:fill="FFFFFF"/>
              <w:tabs>
                <w:tab w:val="left" w:pos="1276"/>
              </w:tabs>
              <w:spacing w:after="0" w:line="240" w:lineRule="auto"/>
              <w:ind w:firstLine="447"/>
              <w:jc w:val="both"/>
              <w:rPr>
                <w:rFonts w:ascii="Times New Roman" w:eastAsia="Times New Roman" w:hAnsi="Times New Roman" w:cs="Times New Roman"/>
                <w:sz w:val="24"/>
                <w:szCs w:val="20"/>
              </w:rPr>
            </w:pPr>
            <w:r w:rsidRPr="00E366EA">
              <w:rPr>
                <w:rFonts w:ascii="Times New Roman" w:eastAsia="Times New Roman" w:hAnsi="Times New Roman" w:cs="Times New Roman"/>
                <w:sz w:val="24"/>
                <w:szCs w:val="20"/>
              </w:rPr>
              <w:t>4. У цій Методиці терміни вживаються в таких значеннях:</w:t>
            </w:r>
          </w:p>
          <w:p w14:paraId="0B0DE8F5" w14:textId="228BD3E0" w:rsidR="00E366EA" w:rsidRDefault="00E366EA" w:rsidP="00E366EA">
            <w:pPr>
              <w:shd w:val="clear" w:color="auto" w:fill="FFFFFF"/>
              <w:tabs>
                <w:tab w:val="left" w:pos="1276"/>
              </w:tabs>
              <w:spacing w:after="0" w:line="240" w:lineRule="auto"/>
              <w:ind w:firstLine="44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w:t>
            </w:r>
          </w:p>
          <w:p w14:paraId="219F3CEC" w14:textId="77777777" w:rsidR="00E366EA" w:rsidRDefault="00E366EA" w:rsidP="00E366EA">
            <w:pPr>
              <w:shd w:val="clear" w:color="auto" w:fill="FFFFFF"/>
              <w:tabs>
                <w:tab w:val="left" w:pos="1276"/>
              </w:tabs>
              <w:spacing w:after="0" w:line="240" w:lineRule="auto"/>
              <w:ind w:firstLine="447"/>
              <w:jc w:val="both"/>
              <w:rPr>
                <w:rFonts w:ascii="Times New Roman" w:eastAsia="Times New Roman" w:hAnsi="Times New Roman" w:cs="Times New Roman"/>
                <w:sz w:val="24"/>
                <w:szCs w:val="20"/>
              </w:rPr>
            </w:pPr>
            <w:r w:rsidRPr="00E366EA">
              <w:rPr>
                <w:rFonts w:ascii="Times New Roman" w:eastAsia="Times New Roman" w:hAnsi="Times New Roman" w:cs="Times New Roman"/>
                <w:sz w:val="24"/>
                <w:szCs w:val="20"/>
              </w:rPr>
              <w:t>структура тарифу на послуги розподілу природного газу (планованої тарифної виручки) (далі - структура тарифу) - перелік елементів витрат, що групуються за елементами витрат собівартості відповідно до Положення (стандарту) бухгалтерського обліку 16 «Витрати», затвердженого наказом Міністерства фінансів України від 31 грудня 1999 року № 318, зареєстрованого в Міністерстві юстиції України 19 січня 2000 року за № 27/4248, та/або міжнародних стандартів бухгалтерського обліку та фінансової звітності, планованого прибутку, капітальних інвестицій та коригування планованої річної тарифної виручки;</w:t>
            </w:r>
          </w:p>
          <w:p w14:paraId="58377B62" w14:textId="4AC9D30A" w:rsidR="00E366EA" w:rsidRPr="00E366EA" w:rsidRDefault="00E366EA" w:rsidP="00E366EA">
            <w:pPr>
              <w:shd w:val="clear" w:color="auto" w:fill="FFFFFF"/>
              <w:tabs>
                <w:tab w:val="left" w:pos="1276"/>
              </w:tabs>
              <w:spacing w:after="0" w:line="240" w:lineRule="auto"/>
              <w:ind w:firstLine="44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w:t>
            </w:r>
          </w:p>
        </w:tc>
        <w:tc>
          <w:tcPr>
            <w:tcW w:w="7593" w:type="dxa"/>
            <w:gridSpan w:val="2"/>
          </w:tcPr>
          <w:p w14:paraId="3A2ED4AB" w14:textId="5D404C6D" w:rsidR="00E366EA" w:rsidRPr="000364AB" w:rsidRDefault="00E366EA" w:rsidP="00E366EA">
            <w:pPr>
              <w:pStyle w:val="rvps2"/>
              <w:tabs>
                <w:tab w:val="left" w:pos="465"/>
              </w:tabs>
              <w:spacing w:before="0" w:beforeAutospacing="0" w:after="0" w:afterAutospacing="0"/>
              <w:ind w:left="22" w:firstLine="6"/>
              <w:jc w:val="both"/>
              <w:rPr>
                <w:b/>
                <w:bCs/>
              </w:rPr>
            </w:pPr>
          </w:p>
        </w:tc>
      </w:tr>
      <w:tr w:rsidR="00465894" w:rsidRPr="002D6677" w14:paraId="083B0EA3" w14:textId="77777777" w:rsidTr="000E7A80">
        <w:trPr>
          <w:jc w:val="center"/>
        </w:trPr>
        <w:tc>
          <w:tcPr>
            <w:tcW w:w="15243" w:type="dxa"/>
            <w:gridSpan w:val="3"/>
          </w:tcPr>
          <w:p w14:paraId="2FE53BFC" w14:textId="426FDBA7" w:rsidR="00465894" w:rsidRPr="002D6677" w:rsidRDefault="007078F8" w:rsidP="00742FE8">
            <w:pPr>
              <w:shd w:val="clear" w:color="auto" w:fill="FFFFFF"/>
              <w:tabs>
                <w:tab w:val="left" w:pos="1276"/>
              </w:tabs>
              <w:spacing w:after="0" w:line="240" w:lineRule="auto"/>
              <w:jc w:val="center"/>
              <w:rPr>
                <w:rFonts w:ascii="Times New Roman" w:hAnsi="Times New Roman" w:cs="Times New Roman"/>
                <w:b/>
                <w:sz w:val="24"/>
                <w:szCs w:val="24"/>
              </w:rPr>
            </w:pPr>
            <w:r w:rsidRPr="002D6677">
              <w:rPr>
                <w:rFonts w:ascii="Times New Roman" w:hAnsi="Times New Roman" w:cs="Times New Roman"/>
                <w:b/>
                <w:sz w:val="24"/>
                <w:szCs w:val="24"/>
              </w:rPr>
              <w:t>IІІ. Перелік витрат, що враховуються при визначенні планованої тарифної виручки</w:t>
            </w:r>
            <w:bookmarkEnd w:id="0"/>
          </w:p>
        </w:tc>
      </w:tr>
      <w:tr w:rsidR="00465894" w:rsidRPr="002D6677" w14:paraId="0EAD48EC" w14:textId="77777777" w:rsidTr="001E44F4">
        <w:trPr>
          <w:gridAfter w:val="1"/>
          <w:wAfter w:w="12" w:type="dxa"/>
          <w:jc w:val="center"/>
        </w:trPr>
        <w:tc>
          <w:tcPr>
            <w:tcW w:w="7650" w:type="dxa"/>
          </w:tcPr>
          <w:p w14:paraId="103398E0" w14:textId="77777777" w:rsidR="00D76A13" w:rsidRPr="002D6677" w:rsidRDefault="00CC4B28" w:rsidP="0070425A">
            <w:pPr>
              <w:pStyle w:val="rvps2"/>
              <w:tabs>
                <w:tab w:val="left" w:pos="465"/>
              </w:tabs>
              <w:spacing w:before="0" w:beforeAutospacing="0" w:after="0" w:afterAutospacing="0"/>
              <w:ind w:left="22" w:firstLine="425"/>
              <w:jc w:val="both"/>
              <w:rPr>
                <w:szCs w:val="20"/>
                <w:lang w:eastAsia="en-US"/>
              </w:rPr>
            </w:pPr>
            <w:r w:rsidRPr="002D6677">
              <w:rPr>
                <w:szCs w:val="20"/>
                <w:lang w:eastAsia="en-US"/>
              </w:rPr>
              <w:t>14. Плановані витрати для формування структури тарифу групуються за елементами витрат:</w:t>
            </w:r>
          </w:p>
          <w:p w14:paraId="0BF970CE" w14:textId="77777777" w:rsidR="0070425A" w:rsidRPr="00B74290" w:rsidRDefault="0070425A" w:rsidP="0070425A">
            <w:pPr>
              <w:shd w:val="clear" w:color="auto" w:fill="FFFFFF"/>
              <w:spacing w:after="150" w:line="240" w:lineRule="auto"/>
              <w:ind w:firstLine="425"/>
              <w:jc w:val="both"/>
              <w:rPr>
                <w:rFonts w:ascii="Times New Roman" w:eastAsia="Times New Roman" w:hAnsi="Times New Roman" w:cs="Times New Roman"/>
                <w:sz w:val="24"/>
                <w:szCs w:val="24"/>
                <w:lang w:eastAsia="uk-UA"/>
              </w:rPr>
            </w:pPr>
            <w:r w:rsidRPr="00B74290">
              <w:rPr>
                <w:rFonts w:ascii="Times New Roman" w:eastAsia="Times New Roman" w:hAnsi="Times New Roman" w:cs="Times New Roman"/>
                <w:sz w:val="24"/>
                <w:szCs w:val="24"/>
                <w:lang w:eastAsia="uk-UA"/>
              </w:rPr>
              <w:t>плановані матеріальні витрати (за винятком вартості зворотних відходів);</w:t>
            </w:r>
          </w:p>
          <w:p w14:paraId="7B6952A5" w14:textId="77777777" w:rsidR="0070425A" w:rsidRPr="00B74290" w:rsidRDefault="0070425A" w:rsidP="0070425A">
            <w:pPr>
              <w:shd w:val="clear" w:color="auto" w:fill="FFFFFF"/>
              <w:spacing w:after="150" w:line="240" w:lineRule="auto"/>
              <w:ind w:firstLine="425"/>
              <w:jc w:val="both"/>
              <w:rPr>
                <w:rFonts w:ascii="Times New Roman" w:eastAsia="Times New Roman" w:hAnsi="Times New Roman" w:cs="Times New Roman"/>
                <w:sz w:val="24"/>
                <w:szCs w:val="24"/>
                <w:lang w:eastAsia="uk-UA"/>
              </w:rPr>
            </w:pPr>
            <w:bookmarkStart w:id="1" w:name="n158"/>
            <w:bookmarkEnd w:id="1"/>
            <w:r w:rsidRPr="00B74290">
              <w:rPr>
                <w:rFonts w:ascii="Times New Roman" w:eastAsia="Times New Roman" w:hAnsi="Times New Roman" w:cs="Times New Roman"/>
                <w:sz w:val="24"/>
                <w:szCs w:val="24"/>
                <w:lang w:eastAsia="uk-UA"/>
              </w:rPr>
              <w:t>плановані витрати на оплату праці;</w:t>
            </w:r>
          </w:p>
          <w:p w14:paraId="12946C8B" w14:textId="77777777" w:rsidR="0070425A" w:rsidRPr="00B74290" w:rsidRDefault="0070425A" w:rsidP="0070425A">
            <w:pPr>
              <w:shd w:val="clear" w:color="auto" w:fill="FFFFFF"/>
              <w:spacing w:after="150" w:line="240" w:lineRule="auto"/>
              <w:ind w:firstLine="425"/>
              <w:jc w:val="both"/>
              <w:rPr>
                <w:rFonts w:ascii="Times New Roman" w:eastAsia="Times New Roman" w:hAnsi="Times New Roman" w:cs="Times New Roman"/>
                <w:sz w:val="24"/>
                <w:szCs w:val="24"/>
                <w:lang w:eastAsia="uk-UA"/>
              </w:rPr>
            </w:pPr>
            <w:bookmarkStart w:id="2" w:name="n159"/>
            <w:bookmarkStart w:id="3" w:name="n160"/>
            <w:bookmarkEnd w:id="2"/>
            <w:bookmarkEnd w:id="3"/>
            <w:r w:rsidRPr="00B74290">
              <w:rPr>
                <w:rFonts w:ascii="Times New Roman" w:eastAsia="Times New Roman" w:hAnsi="Times New Roman" w:cs="Times New Roman"/>
                <w:sz w:val="24"/>
                <w:szCs w:val="24"/>
                <w:lang w:eastAsia="uk-UA"/>
              </w:rPr>
              <w:t>планована амортизація;</w:t>
            </w:r>
          </w:p>
          <w:p w14:paraId="6314D9D9" w14:textId="77777777" w:rsidR="0070425A" w:rsidRPr="00B74290" w:rsidRDefault="0070425A" w:rsidP="0070425A">
            <w:pPr>
              <w:shd w:val="clear" w:color="auto" w:fill="FFFFFF"/>
              <w:spacing w:after="150" w:line="240" w:lineRule="auto"/>
              <w:ind w:firstLine="425"/>
              <w:jc w:val="both"/>
              <w:rPr>
                <w:rFonts w:ascii="Times New Roman" w:eastAsia="Times New Roman" w:hAnsi="Times New Roman" w:cs="Times New Roman"/>
                <w:sz w:val="24"/>
                <w:szCs w:val="24"/>
                <w:lang w:eastAsia="uk-UA"/>
              </w:rPr>
            </w:pPr>
            <w:bookmarkStart w:id="4" w:name="n161"/>
            <w:bookmarkEnd w:id="4"/>
            <w:r w:rsidRPr="00B74290">
              <w:rPr>
                <w:rFonts w:ascii="Times New Roman" w:eastAsia="Times New Roman" w:hAnsi="Times New Roman" w:cs="Times New Roman"/>
                <w:sz w:val="24"/>
                <w:szCs w:val="24"/>
                <w:lang w:eastAsia="uk-UA"/>
              </w:rPr>
              <w:t>інші плановані операційні витрати;</w:t>
            </w:r>
          </w:p>
          <w:p w14:paraId="31F6535E" w14:textId="77777777" w:rsidR="0070425A" w:rsidRPr="00B74290" w:rsidRDefault="0070425A" w:rsidP="0070425A">
            <w:pPr>
              <w:shd w:val="clear" w:color="auto" w:fill="FFFFFF"/>
              <w:spacing w:after="150" w:line="240" w:lineRule="auto"/>
              <w:ind w:firstLine="425"/>
              <w:jc w:val="both"/>
              <w:rPr>
                <w:rFonts w:ascii="Times New Roman" w:eastAsia="Times New Roman" w:hAnsi="Times New Roman" w:cs="Times New Roman"/>
                <w:sz w:val="24"/>
                <w:szCs w:val="24"/>
                <w:lang w:eastAsia="uk-UA"/>
              </w:rPr>
            </w:pPr>
            <w:bookmarkStart w:id="5" w:name="n162"/>
            <w:bookmarkEnd w:id="5"/>
            <w:r w:rsidRPr="00B74290">
              <w:rPr>
                <w:rFonts w:ascii="Times New Roman" w:eastAsia="Times New Roman" w:hAnsi="Times New Roman" w:cs="Times New Roman"/>
                <w:sz w:val="24"/>
                <w:szCs w:val="24"/>
                <w:lang w:eastAsia="uk-UA"/>
              </w:rPr>
              <w:lastRenderedPageBreak/>
              <w:t>плановані фінансові витрати за кредитними договорами, запозичення за якими та умови яких узгоджені відповідно до чинного законодавства.</w:t>
            </w:r>
          </w:p>
          <w:p w14:paraId="1DEB4DBB" w14:textId="009A24E7" w:rsidR="00EC04F3" w:rsidRPr="002D6677" w:rsidRDefault="00EC04F3" w:rsidP="0070425A">
            <w:pPr>
              <w:pStyle w:val="rvps2"/>
              <w:tabs>
                <w:tab w:val="left" w:pos="465"/>
              </w:tabs>
              <w:spacing w:before="0" w:beforeAutospacing="0" w:after="0" w:afterAutospacing="0"/>
              <w:ind w:left="22" w:firstLine="425"/>
              <w:jc w:val="both"/>
              <w:rPr>
                <w:szCs w:val="20"/>
                <w:lang w:eastAsia="en-US"/>
              </w:rPr>
            </w:pPr>
            <w:r w:rsidRPr="002D6677">
              <w:rPr>
                <w:szCs w:val="20"/>
                <w:lang w:eastAsia="en-US"/>
              </w:rPr>
              <w:t>Структура тарифу на послуги розподілу природного газу є єдиною в межах території ліцензованої діяльності, де знаходиться газорозподільна система, що перебуває у власності, господарському віданні, користуванні чи експлуатації такого суб’єкта господарювання, для якої встановлено тариф на послуги розподілу природного газу.</w:t>
            </w:r>
          </w:p>
          <w:p w14:paraId="10120655" w14:textId="1648C46D" w:rsidR="00CC4B28" w:rsidRPr="002D6677" w:rsidRDefault="00CC4B28" w:rsidP="007766E6">
            <w:pPr>
              <w:pStyle w:val="rvps2"/>
              <w:tabs>
                <w:tab w:val="left" w:pos="465"/>
              </w:tabs>
              <w:spacing w:before="120" w:beforeAutospacing="0" w:after="0" w:afterAutospacing="0"/>
              <w:ind w:left="23" w:firstLine="425"/>
              <w:jc w:val="both"/>
              <w:rPr>
                <w:b/>
                <w:lang w:eastAsia="en-US"/>
              </w:rPr>
            </w:pPr>
            <w:r w:rsidRPr="002D6677">
              <w:rPr>
                <w:szCs w:val="20"/>
                <w:lang w:eastAsia="en-US"/>
              </w:rPr>
              <w:t>У разі встановлення або перегляду тарифу на послуги розподілу природного газу на частину місць провадження господарської діяльності ліцензіата структура тарифу на послуги розподілу природного газу є єдиною в межах такої території.</w:t>
            </w:r>
          </w:p>
        </w:tc>
        <w:tc>
          <w:tcPr>
            <w:tcW w:w="7581" w:type="dxa"/>
          </w:tcPr>
          <w:p w14:paraId="320434D1" w14:textId="77777777" w:rsidR="00CC4B28" w:rsidRPr="002D6677" w:rsidRDefault="00CC4B28" w:rsidP="007766E6">
            <w:pPr>
              <w:pStyle w:val="rvps2"/>
              <w:shd w:val="clear" w:color="auto" w:fill="FFFFFF"/>
              <w:tabs>
                <w:tab w:val="left" w:pos="465"/>
              </w:tabs>
              <w:spacing w:before="0" w:beforeAutospacing="0" w:after="0" w:afterAutospacing="0"/>
              <w:ind w:left="22" w:firstLine="431"/>
              <w:jc w:val="both"/>
              <w:rPr>
                <w:szCs w:val="20"/>
                <w:lang w:eastAsia="en-US"/>
              </w:rPr>
            </w:pPr>
            <w:bookmarkStart w:id="6" w:name="n352"/>
            <w:bookmarkEnd w:id="6"/>
            <w:r w:rsidRPr="002D6677">
              <w:rPr>
                <w:szCs w:val="20"/>
                <w:lang w:eastAsia="en-US"/>
              </w:rPr>
              <w:lastRenderedPageBreak/>
              <w:t>14. Плановані витрати для формування структури тарифу групуються за елементами витрат:</w:t>
            </w:r>
          </w:p>
          <w:p w14:paraId="28DC07FF" w14:textId="77777777" w:rsidR="007766E6" w:rsidRPr="00B74290" w:rsidRDefault="007766E6" w:rsidP="007766E6">
            <w:pPr>
              <w:shd w:val="clear" w:color="auto" w:fill="FFFFFF"/>
              <w:spacing w:after="150" w:line="240" w:lineRule="auto"/>
              <w:ind w:firstLine="431"/>
              <w:jc w:val="both"/>
              <w:rPr>
                <w:rFonts w:ascii="Times New Roman" w:eastAsia="Times New Roman" w:hAnsi="Times New Roman" w:cs="Times New Roman"/>
                <w:sz w:val="24"/>
                <w:szCs w:val="24"/>
                <w:lang w:eastAsia="uk-UA"/>
              </w:rPr>
            </w:pPr>
            <w:r w:rsidRPr="00B74290">
              <w:rPr>
                <w:rFonts w:ascii="Times New Roman" w:eastAsia="Times New Roman" w:hAnsi="Times New Roman" w:cs="Times New Roman"/>
                <w:sz w:val="24"/>
                <w:szCs w:val="24"/>
                <w:lang w:eastAsia="uk-UA"/>
              </w:rPr>
              <w:t>плановані матеріальні витрати (за винятком вартості зворотних відходів);</w:t>
            </w:r>
          </w:p>
          <w:p w14:paraId="1C2B8B72" w14:textId="77777777" w:rsidR="007766E6" w:rsidRPr="00B74290" w:rsidRDefault="007766E6" w:rsidP="007766E6">
            <w:pPr>
              <w:shd w:val="clear" w:color="auto" w:fill="FFFFFF"/>
              <w:spacing w:after="150" w:line="240" w:lineRule="auto"/>
              <w:ind w:firstLine="431"/>
              <w:jc w:val="both"/>
              <w:rPr>
                <w:rFonts w:ascii="Times New Roman" w:eastAsia="Times New Roman" w:hAnsi="Times New Roman" w:cs="Times New Roman"/>
                <w:sz w:val="24"/>
                <w:szCs w:val="24"/>
                <w:lang w:eastAsia="uk-UA"/>
              </w:rPr>
            </w:pPr>
            <w:r w:rsidRPr="00B74290">
              <w:rPr>
                <w:rFonts w:ascii="Times New Roman" w:eastAsia="Times New Roman" w:hAnsi="Times New Roman" w:cs="Times New Roman"/>
                <w:sz w:val="24"/>
                <w:szCs w:val="24"/>
                <w:lang w:eastAsia="uk-UA"/>
              </w:rPr>
              <w:t>плановані витрати на оплату праці;</w:t>
            </w:r>
          </w:p>
          <w:p w14:paraId="4D9144AB" w14:textId="77777777" w:rsidR="007766E6" w:rsidRPr="00B74290" w:rsidRDefault="007766E6" w:rsidP="007766E6">
            <w:pPr>
              <w:shd w:val="clear" w:color="auto" w:fill="FFFFFF"/>
              <w:spacing w:after="150" w:line="240" w:lineRule="auto"/>
              <w:ind w:firstLine="431"/>
              <w:jc w:val="both"/>
              <w:rPr>
                <w:rFonts w:ascii="Times New Roman" w:eastAsia="Times New Roman" w:hAnsi="Times New Roman" w:cs="Times New Roman"/>
                <w:sz w:val="24"/>
                <w:szCs w:val="24"/>
                <w:lang w:eastAsia="uk-UA"/>
              </w:rPr>
            </w:pPr>
            <w:r w:rsidRPr="00B74290">
              <w:rPr>
                <w:rFonts w:ascii="Times New Roman" w:eastAsia="Times New Roman" w:hAnsi="Times New Roman" w:cs="Times New Roman"/>
                <w:sz w:val="24"/>
                <w:szCs w:val="24"/>
                <w:lang w:eastAsia="uk-UA"/>
              </w:rPr>
              <w:t>планована амортизація;</w:t>
            </w:r>
          </w:p>
          <w:p w14:paraId="59042D0F" w14:textId="77777777" w:rsidR="007766E6" w:rsidRPr="00B74290" w:rsidRDefault="007766E6" w:rsidP="007766E6">
            <w:pPr>
              <w:shd w:val="clear" w:color="auto" w:fill="FFFFFF"/>
              <w:spacing w:after="150" w:line="240" w:lineRule="auto"/>
              <w:ind w:firstLine="431"/>
              <w:jc w:val="both"/>
              <w:rPr>
                <w:rFonts w:ascii="Times New Roman" w:eastAsia="Times New Roman" w:hAnsi="Times New Roman" w:cs="Times New Roman"/>
                <w:sz w:val="24"/>
                <w:szCs w:val="24"/>
                <w:lang w:eastAsia="uk-UA"/>
              </w:rPr>
            </w:pPr>
            <w:r w:rsidRPr="00B74290">
              <w:rPr>
                <w:rFonts w:ascii="Times New Roman" w:eastAsia="Times New Roman" w:hAnsi="Times New Roman" w:cs="Times New Roman"/>
                <w:sz w:val="24"/>
                <w:szCs w:val="24"/>
                <w:lang w:eastAsia="uk-UA"/>
              </w:rPr>
              <w:t>інші плановані операційні витрати;</w:t>
            </w:r>
          </w:p>
          <w:p w14:paraId="10418998" w14:textId="77777777" w:rsidR="007766E6" w:rsidRPr="00B74290" w:rsidRDefault="007766E6" w:rsidP="0056401B">
            <w:pPr>
              <w:shd w:val="clear" w:color="auto" w:fill="FFFFFF"/>
              <w:spacing w:after="150" w:line="240" w:lineRule="auto"/>
              <w:ind w:firstLine="431"/>
              <w:jc w:val="both"/>
              <w:rPr>
                <w:rFonts w:ascii="Times New Roman" w:eastAsia="Times New Roman" w:hAnsi="Times New Roman" w:cs="Times New Roman"/>
                <w:sz w:val="24"/>
                <w:szCs w:val="24"/>
                <w:lang w:eastAsia="uk-UA"/>
              </w:rPr>
            </w:pPr>
            <w:r w:rsidRPr="00B74290">
              <w:rPr>
                <w:rFonts w:ascii="Times New Roman" w:eastAsia="Times New Roman" w:hAnsi="Times New Roman" w:cs="Times New Roman"/>
                <w:sz w:val="24"/>
                <w:szCs w:val="24"/>
                <w:lang w:eastAsia="uk-UA"/>
              </w:rPr>
              <w:lastRenderedPageBreak/>
              <w:t>плановані фінансові витрати за кредитними договорами, запозичення за якими та умови яких узгоджені відповідно до чинного законодавства.</w:t>
            </w:r>
          </w:p>
          <w:p w14:paraId="4C5A3F36" w14:textId="13E8CCC4" w:rsidR="00EC04F3" w:rsidRPr="00B8658B" w:rsidRDefault="00EC04F3" w:rsidP="0056401B">
            <w:pPr>
              <w:pStyle w:val="rvps2"/>
              <w:tabs>
                <w:tab w:val="left" w:pos="465"/>
              </w:tabs>
              <w:spacing w:before="0" w:beforeAutospacing="0" w:after="0" w:afterAutospacing="0"/>
              <w:ind w:left="22" w:firstLine="431"/>
              <w:jc w:val="both"/>
              <w:rPr>
                <w:szCs w:val="20"/>
              </w:rPr>
            </w:pPr>
            <w:bookmarkStart w:id="7" w:name="_Hlk211434844"/>
            <w:r w:rsidRPr="00B8658B">
              <w:rPr>
                <w:szCs w:val="20"/>
              </w:rPr>
              <w:t>Структура тарифу на послуги розподілу природного газу є єдиною в межах території ліцензованої діяльності, де знаходиться газорозподільна система, що перебуває у власності, господарському віданні, користуванні чи експлуатації такого суб’єкта господарювання, для якої встановлено тариф на послуги розподілу природного газу.</w:t>
            </w:r>
          </w:p>
          <w:p w14:paraId="24B3CDDD" w14:textId="7FDFE5DE" w:rsidR="008A4AA0" w:rsidRDefault="00CC4B28" w:rsidP="0056401B">
            <w:pPr>
              <w:pStyle w:val="rvps2"/>
              <w:tabs>
                <w:tab w:val="left" w:pos="465"/>
              </w:tabs>
              <w:spacing w:before="120" w:beforeAutospacing="0" w:after="0" w:afterAutospacing="0"/>
              <w:ind w:left="23" w:firstLine="431"/>
              <w:jc w:val="both"/>
              <w:rPr>
                <w:b/>
                <w:bCs/>
                <w:strike/>
                <w:szCs w:val="20"/>
                <w:lang w:eastAsia="en-US"/>
              </w:rPr>
            </w:pPr>
            <w:r w:rsidRPr="000364AB">
              <w:rPr>
                <w:strike/>
                <w:szCs w:val="20"/>
                <w:lang w:eastAsia="en-US"/>
              </w:rPr>
              <w:t>У разі встановлення або перегляду тарифу на послуги розподілу природного газу на частину місць провадження господарської діяльності ліцензіата структура тарифу на послуги розподілу природного газу є єдиною в межах такої території</w:t>
            </w:r>
            <w:r w:rsidR="00994DDD" w:rsidRPr="000364AB">
              <w:rPr>
                <w:b/>
                <w:bCs/>
                <w:strike/>
                <w:szCs w:val="20"/>
                <w:lang w:eastAsia="en-US"/>
              </w:rPr>
              <w:t>.</w:t>
            </w:r>
          </w:p>
          <w:p w14:paraId="01EF1B32" w14:textId="175576A7" w:rsidR="0096142F" w:rsidRPr="0096142F" w:rsidRDefault="0096142F" w:rsidP="0056401B">
            <w:pPr>
              <w:pStyle w:val="2"/>
              <w:spacing w:before="0"/>
              <w:ind w:firstLine="431"/>
              <w:jc w:val="both"/>
              <w:rPr>
                <w:rFonts w:ascii="Times New Roman" w:hAnsi="Times New Roman" w:cs="Times New Roman"/>
                <w:color w:val="auto"/>
                <w:sz w:val="24"/>
                <w:szCs w:val="24"/>
                <w:lang w:eastAsia="uk-UA"/>
              </w:rPr>
            </w:pPr>
            <w:bookmarkStart w:id="8" w:name="_Hlk211443413"/>
            <w:r w:rsidRPr="0096142F">
              <w:rPr>
                <w:rFonts w:ascii="Times New Roman" w:hAnsi="Times New Roman" w:cs="Times New Roman"/>
                <w:b/>
                <w:bCs/>
                <w:color w:val="auto"/>
                <w:sz w:val="24"/>
                <w:szCs w:val="24"/>
                <w:lang w:eastAsia="uk-UA"/>
              </w:rPr>
              <w:t>У разі встановлення (перегляду) тарифу на послуги розподілу природного газу на окрему частину місць провадження господарської діяльності ліцензіата для Оператора ГРМ може бути встановлена єдина структура тарифів на послуги розподілу природного газу на всю територію провадження господарської діяльності.</w:t>
            </w:r>
          </w:p>
          <w:p w14:paraId="4CF2ECA2" w14:textId="6D9F6793" w:rsidR="0096142F" w:rsidRPr="0096142F" w:rsidRDefault="0056401B" w:rsidP="0056401B">
            <w:pPr>
              <w:pStyle w:val="2"/>
              <w:spacing w:before="0"/>
              <w:ind w:firstLine="431"/>
              <w:jc w:val="both"/>
              <w:rPr>
                <w:rFonts w:ascii="Times New Roman" w:hAnsi="Times New Roman" w:cs="Times New Roman"/>
                <w:b/>
                <w:bCs/>
                <w:color w:val="auto"/>
                <w:sz w:val="24"/>
                <w:szCs w:val="24"/>
                <w:lang w:eastAsia="uk-UA"/>
              </w:rPr>
            </w:pPr>
            <w:r>
              <w:rPr>
                <w:rFonts w:ascii="Times New Roman" w:hAnsi="Times New Roman" w:cs="Times New Roman"/>
                <w:b/>
                <w:bCs/>
                <w:color w:val="auto"/>
                <w:sz w:val="24"/>
                <w:szCs w:val="24"/>
                <w:lang w:eastAsia="uk-UA"/>
              </w:rPr>
              <w:t>У</w:t>
            </w:r>
            <w:r w:rsidR="0096142F" w:rsidRPr="0096142F">
              <w:rPr>
                <w:rFonts w:ascii="Times New Roman" w:hAnsi="Times New Roman" w:cs="Times New Roman"/>
                <w:b/>
                <w:bCs/>
                <w:color w:val="auto"/>
                <w:sz w:val="24"/>
                <w:szCs w:val="24"/>
                <w:lang w:eastAsia="uk-UA"/>
              </w:rPr>
              <w:t xml:space="preserve"> такому разі єдина структура тарифів на послуги розподілу природного газу формується як сума відповідних показників, врахованих при визначенні та розрахунку тарифів на послуги розподілу природного газу для окремих частин місць провадження господарської діяльності ліцензіата.</w:t>
            </w:r>
          </w:p>
          <w:p w14:paraId="68152805" w14:textId="090A2D8B" w:rsidR="0096142F" w:rsidRPr="0096142F" w:rsidRDefault="0056401B" w:rsidP="0056401B">
            <w:pPr>
              <w:pStyle w:val="rvps2"/>
              <w:tabs>
                <w:tab w:val="left" w:pos="465"/>
              </w:tabs>
              <w:spacing w:before="0" w:beforeAutospacing="0" w:after="0" w:afterAutospacing="0"/>
              <w:ind w:firstLine="431"/>
              <w:jc w:val="both"/>
              <w:rPr>
                <w:b/>
                <w:bCs/>
                <w:lang w:eastAsia="en-US"/>
              </w:rPr>
            </w:pPr>
            <w:r>
              <w:rPr>
                <w:b/>
              </w:rPr>
              <w:t>В</w:t>
            </w:r>
            <w:r w:rsidR="0096142F" w:rsidRPr="0096142F">
              <w:rPr>
                <w:b/>
              </w:rPr>
              <w:t xml:space="preserve"> іншому випадку структура тарифу на послуги розподілу природного газу є єдиною в межах частини місць провадження господарської діяльності ліцензіата для якої встановлено тариф</w:t>
            </w:r>
            <w:r w:rsidR="00806A26" w:rsidRPr="0096142F">
              <w:rPr>
                <w:b/>
                <w:bCs/>
                <w:lang w:eastAsia="en-US"/>
              </w:rPr>
              <w:t>.</w:t>
            </w:r>
            <w:bookmarkEnd w:id="7"/>
            <w:bookmarkEnd w:id="8"/>
          </w:p>
        </w:tc>
      </w:tr>
      <w:tr w:rsidR="007078F8" w:rsidRPr="002D6677" w14:paraId="7611C181" w14:textId="77777777" w:rsidTr="001768C3">
        <w:trPr>
          <w:gridAfter w:val="1"/>
          <w:wAfter w:w="12" w:type="dxa"/>
          <w:jc w:val="center"/>
        </w:trPr>
        <w:tc>
          <w:tcPr>
            <w:tcW w:w="15231" w:type="dxa"/>
            <w:gridSpan w:val="2"/>
          </w:tcPr>
          <w:p w14:paraId="30779166" w14:textId="0F0FB376" w:rsidR="007078F8" w:rsidRPr="002D6677" w:rsidRDefault="007078F8" w:rsidP="007078F8">
            <w:pPr>
              <w:shd w:val="clear" w:color="auto" w:fill="FFFFFF"/>
              <w:tabs>
                <w:tab w:val="left" w:pos="1276"/>
              </w:tabs>
              <w:spacing w:after="0" w:line="240" w:lineRule="auto"/>
              <w:jc w:val="center"/>
              <w:rPr>
                <w:rFonts w:ascii="Times New Roman" w:hAnsi="Times New Roman" w:cs="Times New Roman"/>
                <w:b/>
                <w:sz w:val="24"/>
                <w:szCs w:val="24"/>
              </w:rPr>
            </w:pPr>
            <w:r w:rsidRPr="002D6677">
              <w:rPr>
                <w:rFonts w:ascii="Times New Roman" w:hAnsi="Times New Roman" w:cs="Times New Roman"/>
                <w:b/>
                <w:sz w:val="24"/>
                <w:szCs w:val="24"/>
              </w:rPr>
              <w:lastRenderedPageBreak/>
              <w:t>X. Процедура встановлення та перегляду тарифів на послуги розподілу природного газу</w:t>
            </w:r>
          </w:p>
        </w:tc>
      </w:tr>
      <w:tr w:rsidR="00CC4B28" w:rsidRPr="002D6677" w14:paraId="010B91A1" w14:textId="77777777" w:rsidTr="001E44F4">
        <w:trPr>
          <w:gridAfter w:val="1"/>
          <w:wAfter w:w="12" w:type="dxa"/>
          <w:jc w:val="center"/>
        </w:trPr>
        <w:tc>
          <w:tcPr>
            <w:tcW w:w="7650" w:type="dxa"/>
          </w:tcPr>
          <w:p w14:paraId="754C1DC4" w14:textId="21CD8644" w:rsidR="006955F1" w:rsidRDefault="008B6E1C" w:rsidP="00E03E87">
            <w:pPr>
              <w:pStyle w:val="rvps2"/>
              <w:shd w:val="clear" w:color="auto" w:fill="FFFFFF"/>
              <w:tabs>
                <w:tab w:val="left" w:pos="465"/>
              </w:tabs>
              <w:spacing w:before="0" w:beforeAutospacing="0" w:after="0" w:afterAutospacing="0"/>
              <w:ind w:left="22" w:firstLine="425"/>
              <w:jc w:val="both"/>
              <w:rPr>
                <w:szCs w:val="20"/>
                <w:lang w:eastAsia="en-US"/>
              </w:rPr>
            </w:pPr>
            <w:r w:rsidRPr="008B6E1C">
              <w:rPr>
                <w:szCs w:val="20"/>
                <w:lang w:eastAsia="en-US"/>
              </w:rPr>
              <w:t>1. Тариф на послуги розподілу природного газу встановлюється НКРЕКП за умови провадження ліцензіатом господарської діяльності з розподілу природного газу або одночасно з видачею ліцензії на право провадження господарської діяльності з розподілу природного газу.</w:t>
            </w:r>
          </w:p>
          <w:p w14:paraId="2E512BC7" w14:textId="184E33FB" w:rsidR="006955F1" w:rsidRDefault="00806A26" w:rsidP="00E03E87">
            <w:pPr>
              <w:pStyle w:val="rvps2"/>
              <w:shd w:val="clear" w:color="auto" w:fill="FFFFFF"/>
              <w:tabs>
                <w:tab w:val="left" w:pos="465"/>
              </w:tabs>
              <w:spacing w:before="0" w:beforeAutospacing="0" w:after="0" w:afterAutospacing="0"/>
              <w:ind w:left="22" w:firstLine="425"/>
              <w:jc w:val="both"/>
              <w:rPr>
                <w:szCs w:val="20"/>
                <w:lang w:eastAsia="en-US"/>
              </w:rPr>
            </w:pPr>
            <w:r>
              <w:rPr>
                <w:szCs w:val="20"/>
                <w:lang w:eastAsia="en-US"/>
              </w:rPr>
              <w:t>…</w:t>
            </w:r>
          </w:p>
          <w:p w14:paraId="2BC8693A" w14:textId="77777777" w:rsidR="006955F1" w:rsidRDefault="006955F1" w:rsidP="00E03E87">
            <w:pPr>
              <w:pStyle w:val="rvps2"/>
              <w:shd w:val="clear" w:color="auto" w:fill="FFFFFF"/>
              <w:tabs>
                <w:tab w:val="left" w:pos="465"/>
              </w:tabs>
              <w:spacing w:before="0" w:beforeAutospacing="0" w:after="0" w:afterAutospacing="0"/>
              <w:ind w:left="22" w:firstLine="425"/>
              <w:jc w:val="both"/>
              <w:rPr>
                <w:szCs w:val="20"/>
                <w:lang w:eastAsia="en-US"/>
              </w:rPr>
            </w:pPr>
          </w:p>
          <w:p w14:paraId="07AB49BB" w14:textId="0F70F2B3" w:rsidR="007078F8" w:rsidRPr="007078F8" w:rsidRDefault="007078F8" w:rsidP="00E03E87">
            <w:pPr>
              <w:pStyle w:val="rvps2"/>
              <w:shd w:val="clear" w:color="auto" w:fill="FFFFFF"/>
              <w:tabs>
                <w:tab w:val="left" w:pos="465"/>
              </w:tabs>
              <w:spacing w:before="0" w:beforeAutospacing="0" w:after="0" w:afterAutospacing="0"/>
              <w:ind w:left="22" w:firstLine="425"/>
              <w:jc w:val="both"/>
              <w:rPr>
                <w:szCs w:val="20"/>
                <w:lang w:eastAsia="en-US"/>
              </w:rPr>
            </w:pPr>
            <w:r w:rsidRPr="007078F8">
              <w:rPr>
                <w:szCs w:val="20"/>
                <w:lang w:eastAsia="en-US"/>
              </w:rPr>
              <w:t>19. У разі зміни даних щодо місць провадження господарської діяльності суб’єкта господарювання не менше ніж на 50 000 точок приєднання суб'єктів ринку природного газу, встановлення тарифу на послуги розподілу природного газу може здійснюватись на частину місць провадження господарської діяльності, на яку відбувається зміна.</w:t>
            </w:r>
          </w:p>
          <w:p w14:paraId="5138521D" w14:textId="78CDA808" w:rsidR="007078F8" w:rsidRPr="007078F8" w:rsidRDefault="007078F8" w:rsidP="00E03E87">
            <w:pPr>
              <w:pStyle w:val="rvps2"/>
              <w:shd w:val="clear" w:color="auto" w:fill="FFFFFF"/>
              <w:tabs>
                <w:tab w:val="left" w:pos="465"/>
              </w:tabs>
              <w:spacing w:before="0" w:beforeAutospacing="0" w:after="0" w:afterAutospacing="0"/>
              <w:ind w:left="22" w:firstLine="425"/>
              <w:jc w:val="both"/>
              <w:rPr>
                <w:szCs w:val="20"/>
                <w:lang w:eastAsia="en-US"/>
              </w:rPr>
            </w:pPr>
            <w:bookmarkStart w:id="9" w:name="n517"/>
            <w:bookmarkEnd w:id="9"/>
            <w:r w:rsidRPr="007078F8">
              <w:rPr>
                <w:szCs w:val="20"/>
                <w:lang w:eastAsia="en-US"/>
              </w:rPr>
              <w:t>Одночасно із повідомленням про зміни даних щодо місць провадження господарської діяльності, суб’єкт господарювання подає до НКРЕКП заяву про встановлення тарифу на послуги розподілу природного газу та відповідний перелік документів, визначений пунктом 6 цього розділу, на частину місць провадження господарської діяльності, на яку відбувається зміна.</w:t>
            </w:r>
          </w:p>
          <w:p w14:paraId="3D5DF628" w14:textId="0188FFD7" w:rsidR="001C5DBA" w:rsidRDefault="001C5DBA" w:rsidP="00E03E87">
            <w:pPr>
              <w:pStyle w:val="rvps2"/>
              <w:shd w:val="clear" w:color="auto" w:fill="FFFFFF"/>
              <w:tabs>
                <w:tab w:val="left" w:pos="465"/>
              </w:tabs>
              <w:spacing w:before="0" w:beforeAutospacing="0" w:after="0" w:afterAutospacing="0"/>
              <w:ind w:left="22" w:firstLine="425"/>
              <w:jc w:val="both"/>
              <w:rPr>
                <w:szCs w:val="20"/>
                <w:lang w:eastAsia="en-US"/>
              </w:rPr>
            </w:pPr>
            <w:bookmarkStart w:id="10" w:name="n518"/>
            <w:bookmarkEnd w:id="10"/>
          </w:p>
          <w:p w14:paraId="78B311CD" w14:textId="0E61148C" w:rsidR="007078F8" w:rsidRPr="007078F8" w:rsidRDefault="007078F8" w:rsidP="00E03E87">
            <w:pPr>
              <w:pStyle w:val="rvps2"/>
              <w:shd w:val="clear" w:color="auto" w:fill="FFFFFF"/>
              <w:tabs>
                <w:tab w:val="left" w:pos="465"/>
              </w:tabs>
              <w:spacing w:before="0" w:beforeAutospacing="0" w:after="0" w:afterAutospacing="0"/>
              <w:ind w:left="22" w:firstLine="425"/>
              <w:jc w:val="both"/>
              <w:rPr>
                <w:szCs w:val="20"/>
                <w:lang w:eastAsia="en-US"/>
              </w:rPr>
            </w:pPr>
            <w:r w:rsidRPr="007078F8">
              <w:rPr>
                <w:szCs w:val="20"/>
                <w:lang w:eastAsia="en-US"/>
              </w:rPr>
              <w:t>Подальший перегляд тарифу може здійснюватись як на частину місць провадження господарської діяльності, на яку було встановлено тариф, так і в цілому на територію провадження господарської діяльності ліцензіата.</w:t>
            </w:r>
          </w:p>
          <w:p w14:paraId="00FE13E6" w14:textId="77777777" w:rsidR="00CC4B28" w:rsidRPr="002D6677" w:rsidRDefault="00CC4B28" w:rsidP="00E03E87">
            <w:pPr>
              <w:pStyle w:val="rvps2"/>
              <w:shd w:val="clear" w:color="auto" w:fill="FFFFFF"/>
              <w:tabs>
                <w:tab w:val="left" w:pos="465"/>
              </w:tabs>
              <w:spacing w:before="0" w:beforeAutospacing="0" w:after="0" w:afterAutospacing="0"/>
              <w:ind w:left="22" w:firstLine="425"/>
              <w:jc w:val="both"/>
              <w:rPr>
                <w:szCs w:val="20"/>
                <w:lang w:eastAsia="en-US"/>
              </w:rPr>
            </w:pPr>
          </w:p>
        </w:tc>
        <w:tc>
          <w:tcPr>
            <w:tcW w:w="7581" w:type="dxa"/>
          </w:tcPr>
          <w:p w14:paraId="42181C0E" w14:textId="1C901F17" w:rsidR="006955F1" w:rsidRDefault="008B6E1C" w:rsidP="00E03E87">
            <w:pPr>
              <w:pStyle w:val="rvps2"/>
              <w:shd w:val="clear" w:color="auto" w:fill="FFFFFF"/>
              <w:tabs>
                <w:tab w:val="left" w:pos="465"/>
              </w:tabs>
              <w:spacing w:before="0" w:beforeAutospacing="0" w:after="0" w:afterAutospacing="0"/>
              <w:ind w:left="22" w:firstLine="431"/>
              <w:jc w:val="both"/>
              <w:rPr>
                <w:szCs w:val="20"/>
                <w:lang w:eastAsia="en-US"/>
              </w:rPr>
            </w:pPr>
            <w:bookmarkStart w:id="11" w:name="_Hlk211436414"/>
            <w:r w:rsidRPr="008B6E1C">
              <w:rPr>
                <w:szCs w:val="20"/>
                <w:lang w:eastAsia="en-US"/>
              </w:rPr>
              <w:lastRenderedPageBreak/>
              <w:t>1. Тариф на послуги розподілу природного газу встановлюється НКРЕКП за умови провадження ліцензіатом господарської діяльності з розподілу природного газу або одночасно з видачею ліцензії на право провадження господарської діяльності з розподілу природного газу.</w:t>
            </w:r>
          </w:p>
          <w:p w14:paraId="3A753AAE" w14:textId="1CC1A85C" w:rsidR="006955F1" w:rsidRDefault="00806A26" w:rsidP="00E03E87">
            <w:pPr>
              <w:pStyle w:val="rvps2"/>
              <w:shd w:val="clear" w:color="auto" w:fill="FFFFFF"/>
              <w:tabs>
                <w:tab w:val="left" w:pos="465"/>
              </w:tabs>
              <w:spacing w:before="0" w:beforeAutospacing="0" w:after="0" w:afterAutospacing="0"/>
              <w:ind w:left="22" w:firstLine="431"/>
              <w:jc w:val="both"/>
              <w:rPr>
                <w:szCs w:val="20"/>
                <w:lang w:eastAsia="en-US"/>
              </w:rPr>
            </w:pPr>
            <w:r>
              <w:rPr>
                <w:szCs w:val="20"/>
                <w:lang w:eastAsia="en-US"/>
              </w:rPr>
              <w:t>…</w:t>
            </w:r>
          </w:p>
          <w:p w14:paraId="4FDD20A5" w14:textId="77777777" w:rsidR="006955F1" w:rsidRDefault="006955F1" w:rsidP="00E03E87">
            <w:pPr>
              <w:pStyle w:val="rvps2"/>
              <w:shd w:val="clear" w:color="auto" w:fill="FFFFFF"/>
              <w:tabs>
                <w:tab w:val="left" w:pos="465"/>
              </w:tabs>
              <w:spacing w:before="0" w:beforeAutospacing="0" w:after="0" w:afterAutospacing="0"/>
              <w:ind w:left="22" w:firstLine="431"/>
              <w:jc w:val="both"/>
              <w:rPr>
                <w:szCs w:val="20"/>
                <w:lang w:eastAsia="en-US"/>
              </w:rPr>
            </w:pPr>
          </w:p>
          <w:p w14:paraId="6D87A2DB" w14:textId="31F90D05" w:rsidR="00D17618" w:rsidRPr="007078F8" w:rsidRDefault="00D17618" w:rsidP="00E03E87">
            <w:pPr>
              <w:pStyle w:val="rvps2"/>
              <w:shd w:val="clear" w:color="auto" w:fill="FFFFFF"/>
              <w:tabs>
                <w:tab w:val="left" w:pos="465"/>
              </w:tabs>
              <w:spacing w:before="0" w:beforeAutospacing="0" w:after="0" w:afterAutospacing="0"/>
              <w:ind w:left="22" w:firstLine="431"/>
              <w:jc w:val="both"/>
              <w:rPr>
                <w:szCs w:val="20"/>
                <w:lang w:eastAsia="en-US"/>
              </w:rPr>
            </w:pPr>
            <w:r w:rsidRPr="007078F8">
              <w:rPr>
                <w:szCs w:val="20"/>
                <w:lang w:eastAsia="en-US"/>
              </w:rPr>
              <w:t>19. У разі зміни даних щодо місць провадження господарської діяльності суб’єкта господарювання не менше ніж на 50 000 точок приєднання суб'єктів ринку природного газу, встановлення тарифу на послуги розподілу природного газу може здійснюватись на частину місць провадження господарської діяльності, на яку відбувається зміна.</w:t>
            </w:r>
          </w:p>
          <w:p w14:paraId="783BE529" w14:textId="77777777" w:rsidR="00E03E87" w:rsidRPr="007078F8" w:rsidRDefault="00E03E87" w:rsidP="00E03E87">
            <w:pPr>
              <w:pStyle w:val="rvps2"/>
              <w:shd w:val="clear" w:color="auto" w:fill="FFFFFF"/>
              <w:tabs>
                <w:tab w:val="left" w:pos="465"/>
              </w:tabs>
              <w:spacing w:before="0" w:beforeAutospacing="0" w:after="0" w:afterAutospacing="0"/>
              <w:ind w:left="22" w:firstLine="425"/>
              <w:jc w:val="both"/>
              <w:rPr>
                <w:szCs w:val="20"/>
                <w:lang w:eastAsia="en-US"/>
              </w:rPr>
            </w:pPr>
            <w:bookmarkStart w:id="12" w:name="_Hlk211443467"/>
            <w:r w:rsidRPr="007078F8">
              <w:rPr>
                <w:szCs w:val="20"/>
                <w:lang w:eastAsia="en-US"/>
              </w:rPr>
              <w:t>Одночасно із повідомленням про зміни даних щодо місць провадження господарської діяльності, суб’єкт господарювання подає до НКРЕКП заяву про встановлення тарифу на послуги розподілу природного газу та відповідний перелік документів, визначений пунктом 6 цього розділу, на частину місць провадження господарської діяльності, на яку відбувається зміна.</w:t>
            </w:r>
          </w:p>
          <w:p w14:paraId="18E9F949" w14:textId="77777777" w:rsidR="00D17618" w:rsidRPr="00E03E87" w:rsidRDefault="00D17618" w:rsidP="00E03E87">
            <w:pPr>
              <w:pStyle w:val="rvps2"/>
              <w:shd w:val="clear" w:color="auto" w:fill="FFFFFF"/>
              <w:tabs>
                <w:tab w:val="left" w:pos="465"/>
              </w:tabs>
              <w:spacing w:before="0" w:beforeAutospacing="0" w:after="0" w:afterAutospacing="0"/>
              <w:ind w:left="22" w:firstLine="431"/>
              <w:jc w:val="both"/>
              <w:rPr>
                <w:b/>
                <w:szCs w:val="20"/>
                <w:lang w:eastAsia="en-US"/>
              </w:rPr>
            </w:pPr>
          </w:p>
          <w:p w14:paraId="77C41592" w14:textId="5926C45E" w:rsidR="007C4E27" w:rsidRDefault="00D17618" w:rsidP="00E03E87">
            <w:pPr>
              <w:pStyle w:val="rvps2"/>
              <w:shd w:val="clear" w:color="auto" w:fill="FFFFFF"/>
              <w:tabs>
                <w:tab w:val="left" w:pos="465"/>
              </w:tabs>
              <w:spacing w:before="0" w:beforeAutospacing="0" w:after="0" w:afterAutospacing="0"/>
              <w:ind w:left="22" w:firstLine="431"/>
              <w:jc w:val="both"/>
              <w:rPr>
                <w:szCs w:val="20"/>
                <w:lang w:eastAsia="en-US"/>
              </w:rPr>
            </w:pPr>
            <w:r w:rsidRPr="007078F8">
              <w:rPr>
                <w:szCs w:val="20"/>
                <w:lang w:eastAsia="en-US"/>
              </w:rPr>
              <w:t>Подальший перегляд тарифу може здійснюватись як на частину місць провадження господарської діяльності, на яку було встановлено тариф, так і в цілому на територію провадження господарської діяльності</w:t>
            </w:r>
            <w:bookmarkEnd w:id="11"/>
            <w:r w:rsidR="00BE5F1C">
              <w:rPr>
                <w:szCs w:val="20"/>
                <w:lang w:eastAsia="en-US"/>
              </w:rPr>
              <w:t xml:space="preserve"> ліцензіата</w:t>
            </w:r>
            <w:r w:rsidR="000B62D9">
              <w:rPr>
                <w:szCs w:val="20"/>
                <w:lang w:eastAsia="en-US"/>
              </w:rPr>
              <w:t>.</w:t>
            </w:r>
            <w:bookmarkEnd w:id="12"/>
          </w:p>
          <w:p w14:paraId="3F481DC5" w14:textId="627C96B6" w:rsidR="00E03E87" w:rsidRDefault="00E03E87" w:rsidP="00E03E87">
            <w:pPr>
              <w:pStyle w:val="rvps2"/>
              <w:shd w:val="clear" w:color="auto" w:fill="FFFFFF"/>
              <w:tabs>
                <w:tab w:val="left" w:pos="465"/>
              </w:tabs>
              <w:spacing w:before="0" w:beforeAutospacing="0" w:after="0" w:afterAutospacing="0"/>
              <w:ind w:left="22" w:firstLine="431"/>
              <w:jc w:val="both"/>
              <w:rPr>
                <w:szCs w:val="20"/>
                <w:lang w:eastAsia="en-US"/>
              </w:rPr>
            </w:pPr>
          </w:p>
          <w:p w14:paraId="2E4DFDBA" w14:textId="7355C855" w:rsidR="00CC4B28" w:rsidRPr="0096142F" w:rsidRDefault="0096142F" w:rsidP="00E03E87">
            <w:pPr>
              <w:pStyle w:val="rvps2"/>
              <w:shd w:val="clear" w:color="auto" w:fill="FFFFFF"/>
              <w:tabs>
                <w:tab w:val="left" w:pos="465"/>
              </w:tabs>
              <w:spacing w:before="0" w:beforeAutospacing="0" w:after="0" w:afterAutospacing="0"/>
              <w:ind w:firstLine="431"/>
              <w:jc w:val="both"/>
              <w:rPr>
                <w:b/>
                <w:lang w:val="ru-RU" w:eastAsia="en-US"/>
              </w:rPr>
            </w:pPr>
            <w:r w:rsidRPr="0096142F">
              <w:rPr>
                <w:b/>
              </w:rPr>
              <w:t>У разі необхідності встановлення єдиної структури тарифів на послуги розподілу природного газу на всю територію провадження господарської діяльності ліцензіата Оператор ГРМ додатково до документів про встановлення (перегляд) тарифу на послуги розподілу природного газу на кожну окрему частину місць провадження господарської діяльності подає до НКРЕКП заяву про встановлення тарифу на послуги розподілу природного газу та документи, визначені пунктом 6 цього розділу, які містять консолідовані дані</w:t>
            </w:r>
            <w:r>
              <w:rPr>
                <w:b/>
              </w:rPr>
              <w:t>.</w:t>
            </w:r>
          </w:p>
        </w:tc>
      </w:tr>
      <w:tr w:rsidR="007078F8" w:rsidRPr="002D6677" w14:paraId="71FF5A7B" w14:textId="77777777" w:rsidTr="005611FC">
        <w:trPr>
          <w:gridAfter w:val="1"/>
          <w:wAfter w:w="12" w:type="dxa"/>
          <w:jc w:val="center"/>
        </w:trPr>
        <w:tc>
          <w:tcPr>
            <w:tcW w:w="15231" w:type="dxa"/>
            <w:gridSpan w:val="2"/>
          </w:tcPr>
          <w:p w14:paraId="7508E9D4" w14:textId="1FDB7459" w:rsidR="007078F8" w:rsidRPr="002D6677" w:rsidRDefault="007078F8" w:rsidP="007078F8">
            <w:pPr>
              <w:pStyle w:val="rvps2"/>
              <w:shd w:val="clear" w:color="auto" w:fill="FFFFFF"/>
              <w:tabs>
                <w:tab w:val="left" w:pos="465"/>
              </w:tabs>
              <w:spacing w:before="0" w:beforeAutospacing="0" w:after="0" w:afterAutospacing="0"/>
              <w:ind w:left="22"/>
              <w:jc w:val="center"/>
              <w:rPr>
                <w:szCs w:val="20"/>
                <w:lang w:eastAsia="en-US"/>
              </w:rPr>
            </w:pPr>
            <w:bookmarkStart w:id="13" w:name="_Hlk211436504"/>
            <w:r w:rsidRPr="002D6677">
              <w:rPr>
                <w:b/>
                <w:bCs/>
                <w:szCs w:val="20"/>
                <w:lang w:eastAsia="en-US"/>
              </w:rPr>
              <w:lastRenderedPageBreak/>
              <w:t>XI. Особливості встановлення та перегляду тарифів на послуги розподілу природного газу протягом дії воєнного стану в Україні та шести місяців після місяця, в якому воєнний стан буде припинено або скасовано</w:t>
            </w:r>
            <w:bookmarkEnd w:id="13"/>
          </w:p>
        </w:tc>
      </w:tr>
      <w:tr w:rsidR="007078F8" w:rsidRPr="002D6677" w14:paraId="773319F5" w14:textId="77777777" w:rsidTr="001E44F4">
        <w:trPr>
          <w:gridAfter w:val="1"/>
          <w:wAfter w:w="12" w:type="dxa"/>
          <w:jc w:val="center"/>
        </w:trPr>
        <w:tc>
          <w:tcPr>
            <w:tcW w:w="7650" w:type="dxa"/>
          </w:tcPr>
          <w:p w14:paraId="75A8D339" w14:textId="77777777" w:rsidR="007078F8" w:rsidRPr="002D6677" w:rsidRDefault="007078F8" w:rsidP="00E03E87">
            <w:pPr>
              <w:pStyle w:val="rvps2"/>
              <w:shd w:val="clear" w:color="auto" w:fill="FFFFFF"/>
              <w:tabs>
                <w:tab w:val="left" w:pos="465"/>
              </w:tabs>
              <w:spacing w:before="0" w:beforeAutospacing="0" w:after="0" w:afterAutospacing="0"/>
              <w:ind w:left="22" w:firstLine="425"/>
              <w:jc w:val="both"/>
              <w:rPr>
                <w:szCs w:val="20"/>
                <w:lang w:eastAsia="en-US"/>
              </w:rPr>
            </w:pPr>
            <w:r w:rsidRPr="007078F8">
              <w:rPr>
                <w:szCs w:val="20"/>
              </w:rPr>
              <w:t>1</w:t>
            </w:r>
            <w:r w:rsidRPr="007078F8">
              <w:rPr>
                <w:szCs w:val="20"/>
                <w:lang w:eastAsia="en-US"/>
              </w:rPr>
              <w:t>. В умовах мораторію на підвищення тарифів на послуги розподілу природного газу для побутових споживачів, запровадженого </w:t>
            </w:r>
            <w:hyperlink r:id="rId8" w:anchor="n8" w:tgtFrame="_blank" w:history="1">
              <w:r w:rsidRPr="007078F8">
                <w:rPr>
                  <w:lang w:eastAsia="en-US"/>
                </w:rPr>
                <w:t>частиною першою</w:t>
              </w:r>
            </w:hyperlink>
            <w:r w:rsidRPr="007078F8">
              <w:rPr>
                <w:szCs w:val="20"/>
                <w:lang w:eastAsia="en-US"/>
              </w:rPr>
              <w:t xml:space="preserve"> статті 1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w:t>
            </w:r>
            <w:r w:rsidRPr="007078F8">
              <w:rPr>
                <w:szCs w:val="20"/>
                <w:lang w:eastAsia="en-US"/>
              </w:rPr>
              <w:lastRenderedPageBreak/>
              <w:t>розрахунок тарифу здійснюється виходячи із загальної планованої річної тарифної виручки та загальної планованої річної замовленої потужності розподілу природного газу ліцензіата.</w:t>
            </w:r>
          </w:p>
          <w:p w14:paraId="1208A83B" w14:textId="77777777" w:rsidR="007078F8" w:rsidRPr="007078F8" w:rsidRDefault="007078F8" w:rsidP="00E03E87">
            <w:pPr>
              <w:pStyle w:val="rvps2"/>
              <w:shd w:val="clear" w:color="auto" w:fill="FFFFFF"/>
              <w:tabs>
                <w:tab w:val="left" w:pos="465"/>
              </w:tabs>
              <w:spacing w:before="0" w:beforeAutospacing="0" w:after="0" w:afterAutospacing="0"/>
              <w:ind w:left="22" w:firstLine="425"/>
              <w:jc w:val="both"/>
              <w:rPr>
                <w:szCs w:val="20"/>
                <w:lang w:eastAsia="en-US"/>
              </w:rPr>
            </w:pPr>
          </w:p>
          <w:p w14:paraId="2CBB1E2C" w14:textId="1D5632A9" w:rsidR="007078F8" w:rsidRDefault="007078F8" w:rsidP="00E03E87">
            <w:pPr>
              <w:pStyle w:val="rvps2"/>
              <w:shd w:val="clear" w:color="auto" w:fill="FFFFFF"/>
              <w:tabs>
                <w:tab w:val="left" w:pos="465"/>
              </w:tabs>
              <w:spacing w:before="0" w:beforeAutospacing="0" w:after="0" w:afterAutospacing="0"/>
              <w:ind w:left="22" w:firstLine="425"/>
              <w:jc w:val="both"/>
              <w:rPr>
                <w:szCs w:val="20"/>
                <w:lang w:eastAsia="en-US"/>
              </w:rPr>
            </w:pPr>
            <w:bookmarkStart w:id="14" w:name="n522"/>
            <w:bookmarkEnd w:id="14"/>
            <w:r w:rsidRPr="007078F8">
              <w:rPr>
                <w:szCs w:val="20"/>
                <w:lang w:eastAsia="en-US"/>
              </w:rPr>
              <w:t>У разі встановлення тарифу на послуги розподілу природного газу на частину місць провадження господарської діяльності ліцензіата, розрахунок тарифу здійснюється виходячи із загальної планованої річної тарифної виручки та загальної планованої річної замовленої потужності розподілу природного газу для такої території.</w:t>
            </w:r>
          </w:p>
          <w:p w14:paraId="0EE24674" w14:textId="77777777" w:rsidR="00E03E87" w:rsidRDefault="00E03E87" w:rsidP="00E03E87">
            <w:pPr>
              <w:pStyle w:val="rvps2"/>
              <w:shd w:val="clear" w:color="auto" w:fill="FFFFFF"/>
              <w:tabs>
                <w:tab w:val="left" w:pos="465"/>
              </w:tabs>
              <w:spacing w:before="0" w:beforeAutospacing="0" w:after="0" w:afterAutospacing="0"/>
              <w:ind w:left="22" w:firstLine="425"/>
              <w:jc w:val="both"/>
              <w:rPr>
                <w:szCs w:val="20"/>
                <w:lang w:eastAsia="en-US"/>
              </w:rPr>
            </w:pPr>
          </w:p>
          <w:p w14:paraId="00FD8DF4" w14:textId="5C9A0F9F" w:rsidR="00E03E87" w:rsidRPr="002D6677" w:rsidRDefault="00E03E87" w:rsidP="00E03E87">
            <w:pPr>
              <w:pStyle w:val="rvps2"/>
              <w:shd w:val="clear" w:color="auto" w:fill="FFFFFF"/>
              <w:tabs>
                <w:tab w:val="left" w:pos="465"/>
              </w:tabs>
              <w:spacing w:before="0" w:beforeAutospacing="0" w:after="0" w:afterAutospacing="0"/>
              <w:ind w:left="22" w:firstLine="425"/>
              <w:jc w:val="both"/>
              <w:rPr>
                <w:szCs w:val="20"/>
                <w:lang w:eastAsia="en-US"/>
              </w:rPr>
            </w:pPr>
            <w:r>
              <w:rPr>
                <w:szCs w:val="20"/>
                <w:lang w:eastAsia="en-US"/>
              </w:rPr>
              <w:t>…</w:t>
            </w:r>
          </w:p>
        </w:tc>
        <w:tc>
          <w:tcPr>
            <w:tcW w:w="7581" w:type="dxa"/>
          </w:tcPr>
          <w:p w14:paraId="1A3B7CE5" w14:textId="77777777" w:rsidR="007078F8" w:rsidRPr="002D6677" w:rsidRDefault="007078F8" w:rsidP="00CC4B28">
            <w:pPr>
              <w:pStyle w:val="rvps2"/>
              <w:shd w:val="clear" w:color="auto" w:fill="FFFFFF"/>
              <w:tabs>
                <w:tab w:val="left" w:pos="465"/>
              </w:tabs>
              <w:spacing w:before="0" w:beforeAutospacing="0" w:after="0" w:afterAutospacing="0"/>
              <w:ind w:left="22"/>
              <w:jc w:val="both"/>
              <w:rPr>
                <w:szCs w:val="20"/>
                <w:lang w:eastAsia="en-US"/>
              </w:rPr>
            </w:pPr>
          </w:p>
        </w:tc>
      </w:tr>
    </w:tbl>
    <w:p w14:paraId="6DAD7E0D" w14:textId="77777777" w:rsidR="007E47BB" w:rsidRPr="00BE5F1C" w:rsidRDefault="007E47BB" w:rsidP="00950ED1">
      <w:pPr>
        <w:pStyle w:val="a4"/>
        <w:spacing w:before="0" w:beforeAutospacing="0" w:after="0" w:afterAutospacing="0"/>
        <w:rPr>
          <w:b/>
        </w:rPr>
      </w:pPr>
    </w:p>
    <w:sectPr w:rsidR="007E47BB" w:rsidRPr="00BE5F1C" w:rsidSect="00274430">
      <w:pgSz w:w="16838" w:h="11906" w:orient="landscape"/>
      <w:pgMar w:top="170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A1161" w14:textId="77777777" w:rsidR="00A51BD9" w:rsidRPr="002D6677" w:rsidRDefault="00A51BD9" w:rsidP="00257C3A">
      <w:pPr>
        <w:spacing w:after="0" w:line="240" w:lineRule="auto"/>
      </w:pPr>
      <w:r w:rsidRPr="002D6677">
        <w:separator/>
      </w:r>
    </w:p>
  </w:endnote>
  <w:endnote w:type="continuationSeparator" w:id="0">
    <w:p w14:paraId="2F7F73C4" w14:textId="77777777" w:rsidR="00A51BD9" w:rsidRPr="002D6677" w:rsidRDefault="00A51BD9" w:rsidP="00257C3A">
      <w:pPr>
        <w:spacing w:after="0" w:line="240" w:lineRule="auto"/>
      </w:pPr>
      <w:r w:rsidRPr="002D667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C3F852" w14:textId="77777777" w:rsidR="00A51BD9" w:rsidRPr="002D6677" w:rsidRDefault="00A51BD9" w:rsidP="00257C3A">
      <w:pPr>
        <w:spacing w:after="0" w:line="240" w:lineRule="auto"/>
      </w:pPr>
      <w:r w:rsidRPr="002D6677">
        <w:separator/>
      </w:r>
    </w:p>
  </w:footnote>
  <w:footnote w:type="continuationSeparator" w:id="0">
    <w:p w14:paraId="76BF090C" w14:textId="77777777" w:rsidR="00A51BD9" w:rsidRPr="002D6677" w:rsidRDefault="00A51BD9" w:rsidP="00257C3A">
      <w:pPr>
        <w:spacing w:after="0" w:line="240" w:lineRule="auto"/>
      </w:pPr>
      <w:r w:rsidRPr="002D6677">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B0269"/>
    <w:multiLevelType w:val="hybridMultilevel"/>
    <w:tmpl w:val="E9A2A7C2"/>
    <w:lvl w:ilvl="0" w:tplc="D8EA2886">
      <w:start w:val="1"/>
      <w:numFmt w:val="decimal"/>
      <w:lvlText w:val="10.%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28421542"/>
    <w:multiLevelType w:val="hybridMultilevel"/>
    <w:tmpl w:val="2B62C964"/>
    <w:lvl w:ilvl="0" w:tplc="4DA2BBAC">
      <w:start w:val="1"/>
      <w:numFmt w:val="decimal"/>
      <w:suff w:val="space"/>
      <w:lvlText w:val="%1)"/>
      <w:lvlJc w:val="left"/>
      <w:pPr>
        <w:ind w:left="107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2" w15:restartNumberingAfterBreak="0">
    <w:nsid w:val="3DF22F0A"/>
    <w:multiLevelType w:val="hybridMultilevel"/>
    <w:tmpl w:val="990CD2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2055813147">
    <w:abstractNumId w:val="0"/>
  </w:num>
  <w:num w:numId="2" w16cid:durableId="1596011971">
    <w:abstractNumId w:val="2"/>
  </w:num>
  <w:num w:numId="3" w16cid:durableId="7894731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99A"/>
    <w:rsid w:val="000060D0"/>
    <w:rsid w:val="000230C8"/>
    <w:rsid w:val="000262DF"/>
    <w:rsid w:val="000308F8"/>
    <w:rsid w:val="000364AB"/>
    <w:rsid w:val="00036C3A"/>
    <w:rsid w:val="00060EB0"/>
    <w:rsid w:val="00061A64"/>
    <w:rsid w:val="00064BDE"/>
    <w:rsid w:val="000655D7"/>
    <w:rsid w:val="00072BBB"/>
    <w:rsid w:val="00080C55"/>
    <w:rsid w:val="000835D8"/>
    <w:rsid w:val="000A67A6"/>
    <w:rsid w:val="000B62D9"/>
    <w:rsid w:val="000C43F0"/>
    <w:rsid w:val="000C6C8F"/>
    <w:rsid w:val="000D4A84"/>
    <w:rsid w:val="000E2860"/>
    <w:rsid w:val="000E2D6E"/>
    <w:rsid w:val="000F1B73"/>
    <w:rsid w:val="000F5CE7"/>
    <w:rsid w:val="001029DC"/>
    <w:rsid w:val="00103119"/>
    <w:rsid w:val="00104F6D"/>
    <w:rsid w:val="001120F8"/>
    <w:rsid w:val="00117221"/>
    <w:rsid w:val="00117684"/>
    <w:rsid w:val="00141C7C"/>
    <w:rsid w:val="00142A0B"/>
    <w:rsid w:val="0014406E"/>
    <w:rsid w:val="00144CDF"/>
    <w:rsid w:val="00146C72"/>
    <w:rsid w:val="00152EF0"/>
    <w:rsid w:val="001562B4"/>
    <w:rsid w:val="00156D30"/>
    <w:rsid w:val="00157AAD"/>
    <w:rsid w:val="00161270"/>
    <w:rsid w:val="001676C5"/>
    <w:rsid w:val="00180A6F"/>
    <w:rsid w:val="00186964"/>
    <w:rsid w:val="001904D7"/>
    <w:rsid w:val="00195C53"/>
    <w:rsid w:val="001A0AA5"/>
    <w:rsid w:val="001A3309"/>
    <w:rsid w:val="001A3FBA"/>
    <w:rsid w:val="001A66A8"/>
    <w:rsid w:val="001B0C28"/>
    <w:rsid w:val="001B2E0C"/>
    <w:rsid w:val="001B2E23"/>
    <w:rsid w:val="001B4EB7"/>
    <w:rsid w:val="001C5DBA"/>
    <w:rsid w:val="001D4068"/>
    <w:rsid w:val="001D71AF"/>
    <w:rsid w:val="001D7431"/>
    <w:rsid w:val="001E40B0"/>
    <w:rsid w:val="001E44F4"/>
    <w:rsid w:val="001E6A9B"/>
    <w:rsid w:val="001E77F5"/>
    <w:rsid w:val="001E7BDD"/>
    <w:rsid w:val="00201D8E"/>
    <w:rsid w:val="00206BD2"/>
    <w:rsid w:val="002278EC"/>
    <w:rsid w:val="00231BE0"/>
    <w:rsid w:val="002405B2"/>
    <w:rsid w:val="002548EB"/>
    <w:rsid w:val="00257C3A"/>
    <w:rsid w:val="002601DF"/>
    <w:rsid w:val="00260417"/>
    <w:rsid w:val="00274430"/>
    <w:rsid w:val="00296464"/>
    <w:rsid w:val="002A0ED1"/>
    <w:rsid w:val="002C381F"/>
    <w:rsid w:val="002D6677"/>
    <w:rsid w:val="00310ACD"/>
    <w:rsid w:val="00317B33"/>
    <w:rsid w:val="003217E7"/>
    <w:rsid w:val="0032437F"/>
    <w:rsid w:val="003305B9"/>
    <w:rsid w:val="00332DBD"/>
    <w:rsid w:val="00342C3F"/>
    <w:rsid w:val="00342DA3"/>
    <w:rsid w:val="00345F6F"/>
    <w:rsid w:val="0034721F"/>
    <w:rsid w:val="0035017A"/>
    <w:rsid w:val="00350F52"/>
    <w:rsid w:val="00351BD6"/>
    <w:rsid w:val="00354CDF"/>
    <w:rsid w:val="00362659"/>
    <w:rsid w:val="003663C2"/>
    <w:rsid w:val="00371C14"/>
    <w:rsid w:val="003737EF"/>
    <w:rsid w:val="00373FC7"/>
    <w:rsid w:val="003752F4"/>
    <w:rsid w:val="00375C7C"/>
    <w:rsid w:val="0038199A"/>
    <w:rsid w:val="00382C0C"/>
    <w:rsid w:val="00382CFB"/>
    <w:rsid w:val="003B065A"/>
    <w:rsid w:val="003B2BAC"/>
    <w:rsid w:val="003D3487"/>
    <w:rsid w:val="003D3AAA"/>
    <w:rsid w:val="003F1ADF"/>
    <w:rsid w:val="00406DC9"/>
    <w:rsid w:val="0041343E"/>
    <w:rsid w:val="004224A0"/>
    <w:rsid w:val="00422DD1"/>
    <w:rsid w:val="004234B5"/>
    <w:rsid w:val="00432BD2"/>
    <w:rsid w:val="004364E2"/>
    <w:rsid w:val="004377DB"/>
    <w:rsid w:val="00437EBF"/>
    <w:rsid w:val="004469A8"/>
    <w:rsid w:val="00450866"/>
    <w:rsid w:val="00452931"/>
    <w:rsid w:val="004602ED"/>
    <w:rsid w:val="00464BE8"/>
    <w:rsid w:val="00465894"/>
    <w:rsid w:val="004878C2"/>
    <w:rsid w:val="00494269"/>
    <w:rsid w:val="004A31E8"/>
    <w:rsid w:val="004B57E5"/>
    <w:rsid w:val="004B6C89"/>
    <w:rsid w:val="004B6EAB"/>
    <w:rsid w:val="004B7A30"/>
    <w:rsid w:val="004C2300"/>
    <w:rsid w:val="004C7326"/>
    <w:rsid w:val="004D46F2"/>
    <w:rsid w:val="004D5DAB"/>
    <w:rsid w:val="004D61F3"/>
    <w:rsid w:val="004E724A"/>
    <w:rsid w:val="004E7CFE"/>
    <w:rsid w:val="004F1B6B"/>
    <w:rsid w:val="004F24A0"/>
    <w:rsid w:val="004F2D47"/>
    <w:rsid w:val="004F2FED"/>
    <w:rsid w:val="004F4582"/>
    <w:rsid w:val="005017BF"/>
    <w:rsid w:val="00504E5B"/>
    <w:rsid w:val="00510F09"/>
    <w:rsid w:val="005172FB"/>
    <w:rsid w:val="00526BAA"/>
    <w:rsid w:val="00554FE8"/>
    <w:rsid w:val="00555640"/>
    <w:rsid w:val="00560EDA"/>
    <w:rsid w:val="0056401B"/>
    <w:rsid w:val="005771E4"/>
    <w:rsid w:val="005A002C"/>
    <w:rsid w:val="005A1DC6"/>
    <w:rsid w:val="005A5715"/>
    <w:rsid w:val="005A7964"/>
    <w:rsid w:val="005B3FC2"/>
    <w:rsid w:val="005B4A0D"/>
    <w:rsid w:val="005C324D"/>
    <w:rsid w:val="005C5DBF"/>
    <w:rsid w:val="005D3D26"/>
    <w:rsid w:val="005E160C"/>
    <w:rsid w:val="005E53C2"/>
    <w:rsid w:val="005E73E8"/>
    <w:rsid w:val="005F076E"/>
    <w:rsid w:val="005F5810"/>
    <w:rsid w:val="005F611B"/>
    <w:rsid w:val="005F65D0"/>
    <w:rsid w:val="006047F6"/>
    <w:rsid w:val="00611DE4"/>
    <w:rsid w:val="0061732C"/>
    <w:rsid w:val="006216A1"/>
    <w:rsid w:val="006231A9"/>
    <w:rsid w:val="006300E0"/>
    <w:rsid w:val="00634A90"/>
    <w:rsid w:val="0064268E"/>
    <w:rsid w:val="006449DD"/>
    <w:rsid w:val="00645A75"/>
    <w:rsid w:val="00663837"/>
    <w:rsid w:val="0067686E"/>
    <w:rsid w:val="006955F1"/>
    <w:rsid w:val="006A3459"/>
    <w:rsid w:val="006B08FC"/>
    <w:rsid w:val="006B346C"/>
    <w:rsid w:val="006B466C"/>
    <w:rsid w:val="006C5907"/>
    <w:rsid w:val="006D3393"/>
    <w:rsid w:val="006D427C"/>
    <w:rsid w:val="006D4E1C"/>
    <w:rsid w:val="006D5963"/>
    <w:rsid w:val="006E3F4E"/>
    <w:rsid w:val="0070425A"/>
    <w:rsid w:val="0070485E"/>
    <w:rsid w:val="007078F8"/>
    <w:rsid w:val="00711783"/>
    <w:rsid w:val="00711D6F"/>
    <w:rsid w:val="007128D3"/>
    <w:rsid w:val="00742FE8"/>
    <w:rsid w:val="00747D1E"/>
    <w:rsid w:val="007533AF"/>
    <w:rsid w:val="007560AD"/>
    <w:rsid w:val="007621B2"/>
    <w:rsid w:val="0076285C"/>
    <w:rsid w:val="00762AC4"/>
    <w:rsid w:val="00762E0C"/>
    <w:rsid w:val="007739DD"/>
    <w:rsid w:val="00776520"/>
    <w:rsid w:val="007766E6"/>
    <w:rsid w:val="00782C0B"/>
    <w:rsid w:val="00784C22"/>
    <w:rsid w:val="007B13AB"/>
    <w:rsid w:val="007C4E27"/>
    <w:rsid w:val="007D2194"/>
    <w:rsid w:val="007D3460"/>
    <w:rsid w:val="007D425B"/>
    <w:rsid w:val="007D6F81"/>
    <w:rsid w:val="007E0022"/>
    <w:rsid w:val="007E1F45"/>
    <w:rsid w:val="007E3644"/>
    <w:rsid w:val="007E47BB"/>
    <w:rsid w:val="007F0BB3"/>
    <w:rsid w:val="007F40B9"/>
    <w:rsid w:val="007F42F5"/>
    <w:rsid w:val="007F52CF"/>
    <w:rsid w:val="00806A26"/>
    <w:rsid w:val="00807083"/>
    <w:rsid w:val="00814E5B"/>
    <w:rsid w:val="00815D48"/>
    <w:rsid w:val="00820228"/>
    <w:rsid w:val="00827785"/>
    <w:rsid w:val="00832E07"/>
    <w:rsid w:val="00847444"/>
    <w:rsid w:val="00852EC0"/>
    <w:rsid w:val="008612F1"/>
    <w:rsid w:val="00875902"/>
    <w:rsid w:val="008810B7"/>
    <w:rsid w:val="00883697"/>
    <w:rsid w:val="008A4AA0"/>
    <w:rsid w:val="008A52CD"/>
    <w:rsid w:val="008A5EF0"/>
    <w:rsid w:val="008A6F51"/>
    <w:rsid w:val="008B6E1C"/>
    <w:rsid w:val="008C0250"/>
    <w:rsid w:val="008C1724"/>
    <w:rsid w:val="008C17E2"/>
    <w:rsid w:val="008D554C"/>
    <w:rsid w:val="008F0689"/>
    <w:rsid w:val="008F1999"/>
    <w:rsid w:val="00906D98"/>
    <w:rsid w:val="0091476E"/>
    <w:rsid w:val="00915A7B"/>
    <w:rsid w:val="00916DD6"/>
    <w:rsid w:val="00916E5B"/>
    <w:rsid w:val="00925A62"/>
    <w:rsid w:val="00925C1B"/>
    <w:rsid w:val="00926320"/>
    <w:rsid w:val="00934C4C"/>
    <w:rsid w:val="00937CF8"/>
    <w:rsid w:val="009412D9"/>
    <w:rsid w:val="009417FE"/>
    <w:rsid w:val="00950ED1"/>
    <w:rsid w:val="00951941"/>
    <w:rsid w:val="00953132"/>
    <w:rsid w:val="00955621"/>
    <w:rsid w:val="00957DCF"/>
    <w:rsid w:val="0096142F"/>
    <w:rsid w:val="00962E2A"/>
    <w:rsid w:val="00963171"/>
    <w:rsid w:val="00963229"/>
    <w:rsid w:val="00975DBA"/>
    <w:rsid w:val="009817C0"/>
    <w:rsid w:val="009820AE"/>
    <w:rsid w:val="00986697"/>
    <w:rsid w:val="0099247E"/>
    <w:rsid w:val="00994DDD"/>
    <w:rsid w:val="009A0ABB"/>
    <w:rsid w:val="009A1C70"/>
    <w:rsid w:val="009B4ECA"/>
    <w:rsid w:val="009C29DA"/>
    <w:rsid w:val="009C6367"/>
    <w:rsid w:val="009D4C99"/>
    <w:rsid w:val="009D4D33"/>
    <w:rsid w:val="009D5DB9"/>
    <w:rsid w:val="009D7239"/>
    <w:rsid w:val="009D7E83"/>
    <w:rsid w:val="009E453F"/>
    <w:rsid w:val="00A04CB8"/>
    <w:rsid w:val="00A07BE4"/>
    <w:rsid w:val="00A12AE1"/>
    <w:rsid w:val="00A16AA2"/>
    <w:rsid w:val="00A2644A"/>
    <w:rsid w:val="00A274C1"/>
    <w:rsid w:val="00A40DD6"/>
    <w:rsid w:val="00A4717B"/>
    <w:rsid w:val="00A51BD9"/>
    <w:rsid w:val="00A530F7"/>
    <w:rsid w:val="00A61421"/>
    <w:rsid w:val="00A6422D"/>
    <w:rsid w:val="00A72F7B"/>
    <w:rsid w:val="00A73FF2"/>
    <w:rsid w:val="00A845AE"/>
    <w:rsid w:val="00A916F5"/>
    <w:rsid w:val="00A94676"/>
    <w:rsid w:val="00A9669C"/>
    <w:rsid w:val="00A97247"/>
    <w:rsid w:val="00AA31C1"/>
    <w:rsid w:val="00AA3E40"/>
    <w:rsid w:val="00AA429F"/>
    <w:rsid w:val="00AA5EEE"/>
    <w:rsid w:val="00AA75F8"/>
    <w:rsid w:val="00AB64AB"/>
    <w:rsid w:val="00AB6C11"/>
    <w:rsid w:val="00AC28DA"/>
    <w:rsid w:val="00AE33EF"/>
    <w:rsid w:val="00AE74EC"/>
    <w:rsid w:val="00AF02ED"/>
    <w:rsid w:val="00B062A9"/>
    <w:rsid w:val="00B06BBE"/>
    <w:rsid w:val="00B06E6A"/>
    <w:rsid w:val="00B61842"/>
    <w:rsid w:val="00B642FD"/>
    <w:rsid w:val="00B66834"/>
    <w:rsid w:val="00B72921"/>
    <w:rsid w:val="00B75A3F"/>
    <w:rsid w:val="00B77F4D"/>
    <w:rsid w:val="00B82A37"/>
    <w:rsid w:val="00B8307F"/>
    <w:rsid w:val="00B8658B"/>
    <w:rsid w:val="00B870BA"/>
    <w:rsid w:val="00B87809"/>
    <w:rsid w:val="00BA4B2A"/>
    <w:rsid w:val="00BB1155"/>
    <w:rsid w:val="00BB2465"/>
    <w:rsid w:val="00BC5BC3"/>
    <w:rsid w:val="00BE5F1C"/>
    <w:rsid w:val="00BF1961"/>
    <w:rsid w:val="00BF1D24"/>
    <w:rsid w:val="00C023D9"/>
    <w:rsid w:val="00C033AB"/>
    <w:rsid w:val="00C03B53"/>
    <w:rsid w:val="00C044F2"/>
    <w:rsid w:val="00C118F8"/>
    <w:rsid w:val="00C12C7A"/>
    <w:rsid w:val="00C34806"/>
    <w:rsid w:val="00C41EFE"/>
    <w:rsid w:val="00C5038B"/>
    <w:rsid w:val="00C52BFC"/>
    <w:rsid w:val="00C55881"/>
    <w:rsid w:val="00C57D41"/>
    <w:rsid w:val="00C6382E"/>
    <w:rsid w:val="00C6767A"/>
    <w:rsid w:val="00C7147A"/>
    <w:rsid w:val="00C72706"/>
    <w:rsid w:val="00C80C45"/>
    <w:rsid w:val="00C81459"/>
    <w:rsid w:val="00C8526B"/>
    <w:rsid w:val="00C85762"/>
    <w:rsid w:val="00CB2057"/>
    <w:rsid w:val="00CB3BF2"/>
    <w:rsid w:val="00CC01A7"/>
    <w:rsid w:val="00CC4B28"/>
    <w:rsid w:val="00CE0D56"/>
    <w:rsid w:val="00CE6063"/>
    <w:rsid w:val="00D10A79"/>
    <w:rsid w:val="00D10FC2"/>
    <w:rsid w:val="00D13FAB"/>
    <w:rsid w:val="00D17618"/>
    <w:rsid w:val="00D22B2E"/>
    <w:rsid w:val="00D2523A"/>
    <w:rsid w:val="00D42064"/>
    <w:rsid w:val="00D42539"/>
    <w:rsid w:val="00D42CC9"/>
    <w:rsid w:val="00D42E86"/>
    <w:rsid w:val="00D5157D"/>
    <w:rsid w:val="00D54D45"/>
    <w:rsid w:val="00D66017"/>
    <w:rsid w:val="00D66AA6"/>
    <w:rsid w:val="00D74096"/>
    <w:rsid w:val="00D76A13"/>
    <w:rsid w:val="00D8000E"/>
    <w:rsid w:val="00D85997"/>
    <w:rsid w:val="00D85C6C"/>
    <w:rsid w:val="00D9036A"/>
    <w:rsid w:val="00D96FE9"/>
    <w:rsid w:val="00DA6603"/>
    <w:rsid w:val="00DB37FF"/>
    <w:rsid w:val="00DB5C20"/>
    <w:rsid w:val="00DB7FB5"/>
    <w:rsid w:val="00DC7E59"/>
    <w:rsid w:val="00DD548E"/>
    <w:rsid w:val="00DE680C"/>
    <w:rsid w:val="00DF4E6A"/>
    <w:rsid w:val="00DF627D"/>
    <w:rsid w:val="00E03E87"/>
    <w:rsid w:val="00E175FC"/>
    <w:rsid w:val="00E21438"/>
    <w:rsid w:val="00E366EA"/>
    <w:rsid w:val="00E44B0F"/>
    <w:rsid w:val="00E627A1"/>
    <w:rsid w:val="00E70CD5"/>
    <w:rsid w:val="00E77D8A"/>
    <w:rsid w:val="00E83421"/>
    <w:rsid w:val="00E85DD3"/>
    <w:rsid w:val="00E92847"/>
    <w:rsid w:val="00E97856"/>
    <w:rsid w:val="00EA0439"/>
    <w:rsid w:val="00EA06F1"/>
    <w:rsid w:val="00EB2E8C"/>
    <w:rsid w:val="00EB4EF5"/>
    <w:rsid w:val="00EB60BA"/>
    <w:rsid w:val="00EB679A"/>
    <w:rsid w:val="00EB75F1"/>
    <w:rsid w:val="00EC04F3"/>
    <w:rsid w:val="00EC4368"/>
    <w:rsid w:val="00EC4613"/>
    <w:rsid w:val="00EF1BF5"/>
    <w:rsid w:val="00EF1E3C"/>
    <w:rsid w:val="00EF481D"/>
    <w:rsid w:val="00EF501F"/>
    <w:rsid w:val="00EF5966"/>
    <w:rsid w:val="00EF5CFA"/>
    <w:rsid w:val="00F01085"/>
    <w:rsid w:val="00F07759"/>
    <w:rsid w:val="00F11A42"/>
    <w:rsid w:val="00F125CB"/>
    <w:rsid w:val="00F23428"/>
    <w:rsid w:val="00F30D95"/>
    <w:rsid w:val="00F31947"/>
    <w:rsid w:val="00F54531"/>
    <w:rsid w:val="00F64526"/>
    <w:rsid w:val="00F95CA3"/>
    <w:rsid w:val="00FA49E5"/>
    <w:rsid w:val="00FB07E6"/>
    <w:rsid w:val="00FB10B0"/>
    <w:rsid w:val="00FB420E"/>
    <w:rsid w:val="00FB4BBC"/>
    <w:rsid w:val="00FC01C4"/>
    <w:rsid w:val="00FC47C4"/>
    <w:rsid w:val="00FD54C2"/>
    <w:rsid w:val="00FE5C02"/>
    <w:rsid w:val="00FF5F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0514B"/>
  <w15:chartTrackingRefBased/>
  <w15:docId w15:val="{0AE46050-5488-4991-B541-0919225A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73E8"/>
    <w:pPr>
      <w:spacing w:after="200" w:line="276" w:lineRule="auto"/>
    </w:pPr>
  </w:style>
  <w:style w:type="paragraph" w:styleId="2">
    <w:name w:val="heading 2"/>
    <w:basedOn w:val="a"/>
    <w:next w:val="a"/>
    <w:link w:val="20"/>
    <w:uiPriority w:val="9"/>
    <w:semiHidden/>
    <w:unhideWhenUsed/>
    <w:qFormat/>
    <w:rsid w:val="0096142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3737EF"/>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3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3737EF"/>
    <w:rPr>
      <w:rFonts w:ascii="Times New Roman" w:eastAsia="Times New Roman" w:hAnsi="Times New Roman" w:cs="Times New Roman"/>
      <w:b/>
      <w:bCs/>
      <w:sz w:val="27"/>
      <w:szCs w:val="27"/>
      <w:lang w:eastAsia="uk-UA"/>
    </w:rPr>
  </w:style>
  <w:style w:type="paragraph" w:styleId="a4">
    <w:name w:val="Normal (Web)"/>
    <w:basedOn w:val="a"/>
    <w:uiPriority w:val="99"/>
    <w:unhideWhenUsed/>
    <w:rsid w:val="003737E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List Paragraph"/>
    <w:basedOn w:val="a"/>
    <w:uiPriority w:val="34"/>
    <w:qFormat/>
    <w:rsid w:val="003737EF"/>
    <w:pPr>
      <w:spacing w:after="0" w:line="240" w:lineRule="auto"/>
      <w:ind w:left="720"/>
      <w:contextualSpacing/>
    </w:pPr>
    <w:rPr>
      <w:rFonts w:ascii="Calibri" w:eastAsia="Calibri" w:hAnsi="Calibri" w:cs="Times New Roman"/>
      <w:sz w:val="24"/>
      <w:szCs w:val="24"/>
      <w:lang w:val="en-US"/>
    </w:rPr>
  </w:style>
  <w:style w:type="paragraph" w:customStyle="1" w:styleId="rvps2">
    <w:name w:val="rvps2"/>
    <w:basedOn w:val="a"/>
    <w:rsid w:val="00560ED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560EDA"/>
  </w:style>
  <w:style w:type="character" w:styleId="a6">
    <w:name w:val="Hyperlink"/>
    <w:basedOn w:val="a0"/>
    <w:uiPriority w:val="99"/>
    <w:unhideWhenUsed/>
    <w:rsid w:val="00560EDA"/>
    <w:rPr>
      <w:color w:val="0000FF"/>
      <w:u w:val="single"/>
    </w:rPr>
  </w:style>
  <w:style w:type="character" w:styleId="a7">
    <w:name w:val="annotation reference"/>
    <w:basedOn w:val="a0"/>
    <w:uiPriority w:val="99"/>
    <w:semiHidden/>
    <w:unhideWhenUsed/>
    <w:rsid w:val="00437EBF"/>
    <w:rPr>
      <w:sz w:val="16"/>
      <w:szCs w:val="16"/>
    </w:rPr>
  </w:style>
  <w:style w:type="paragraph" w:styleId="a8">
    <w:name w:val="annotation text"/>
    <w:basedOn w:val="a"/>
    <w:link w:val="a9"/>
    <w:uiPriority w:val="99"/>
    <w:unhideWhenUsed/>
    <w:rsid w:val="00437EBF"/>
    <w:pPr>
      <w:spacing w:line="240" w:lineRule="auto"/>
    </w:pPr>
    <w:rPr>
      <w:sz w:val="20"/>
      <w:szCs w:val="20"/>
    </w:rPr>
  </w:style>
  <w:style w:type="character" w:customStyle="1" w:styleId="a9">
    <w:name w:val="Текст примітки Знак"/>
    <w:basedOn w:val="a0"/>
    <w:link w:val="a8"/>
    <w:uiPriority w:val="99"/>
    <w:rsid w:val="00437EBF"/>
    <w:rPr>
      <w:sz w:val="20"/>
      <w:szCs w:val="20"/>
      <w:lang w:val="ru-RU"/>
    </w:rPr>
  </w:style>
  <w:style w:type="paragraph" w:styleId="aa">
    <w:name w:val="annotation subject"/>
    <w:basedOn w:val="a8"/>
    <w:next w:val="a8"/>
    <w:link w:val="ab"/>
    <w:uiPriority w:val="99"/>
    <w:semiHidden/>
    <w:unhideWhenUsed/>
    <w:rsid w:val="00437EBF"/>
    <w:rPr>
      <w:b/>
      <w:bCs/>
    </w:rPr>
  </w:style>
  <w:style w:type="character" w:customStyle="1" w:styleId="ab">
    <w:name w:val="Тема примітки Знак"/>
    <w:basedOn w:val="a9"/>
    <w:link w:val="aa"/>
    <w:uiPriority w:val="99"/>
    <w:semiHidden/>
    <w:rsid w:val="00437EBF"/>
    <w:rPr>
      <w:b/>
      <w:bCs/>
      <w:sz w:val="20"/>
      <w:szCs w:val="20"/>
      <w:lang w:val="ru-RU"/>
    </w:rPr>
  </w:style>
  <w:style w:type="paragraph" w:styleId="ac">
    <w:name w:val="Balloon Text"/>
    <w:basedOn w:val="a"/>
    <w:link w:val="ad"/>
    <w:uiPriority w:val="99"/>
    <w:semiHidden/>
    <w:unhideWhenUsed/>
    <w:rsid w:val="00437EBF"/>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437EBF"/>
    <w:rPr>
      <w:rFonts w:ascii="Segoe UI" w:hAnsi="Segoe UI" w:cs="Segoe UI"/>
      <w:sz w:val="18"/>
      <w:szCs w:val="18"/>
      <w:lang w:val="ru-RU"/>
    </w:rPr>
  </w:style>
  <w:style w:type="character" w:styleId="ae">
    <w:name w:val="Placeholder Text"/>
    <w:basedOn w:val="a0"/>
    <w:uiPriority w:val="99"/>
    <w:semiHidden/>
    <w:rsid w:val="004469A8"/>
    <w:rPr>
      <w:color w:val="666666"/>
    </w:rPr>
  </w:style>
  <w:style w:type="paragraph" w:styleId="af">
    <w:name w:val="Revision"/>
    <w:hidden/>
    <w:uiPriority w:val="99"/>
    <w:semiHidden/>
    <w:rsid w:val="00D85997"/>
    <w:pPr>
      <w:spacing w:after="0" w:line="240" w:lineRule="auto"/>
    </w:pPr>
    <w:rPr>
      <w:lang w:val="ru-RU"/>
    </w:rPr>
  </w:style>
  <w:style w:type="paragraph" w:styleId="af0">
    <w:name w:val="header"/>
    <w:basedOn w:val="a"/>
    <w:link w:val="af1"/>
    <w:uiPriority w:val="99"/>
    <w:unhideWhenUsed/>
    <w:rsid w:val="00257C3A"/>
    <w:pPr>
      <w:tabs>
        <w:tab w:val="center" w:pos="4819"/>
        <w:tab w:val="right" w:pos="9639"/>
      </w:tabs>
      <w:spacing w:after="0" w:line="240" w:lineRule="auto"/>
    </w:pPr>
  </w:style>
  <w:style w:type="character" w:customStyle="1" w:styleId="af1">
    <w:name w:val="Верхній колонтитул Знак"/>
    <w:basedOn w:val="a0"/>
    <w:link w:val="af0"/>
    <w:uiPriority w:val="99"/>
    <w:rsid w:val="00257C3A"/>
    <w:rPr>
      <w:lang w:val="ru-RU"/>
    </w:rPr>
  </w:style>
  <w:style w:type="paragraph" w:styleId="af2">
    <w:name w:val="footer"/>
    <w:basedOn w:val="a"/>
    <w:link w:val="af3"/>
    <w:uiPriority w:val="99"/>
    <w:unhideWhenUsed/>
    <w:rsid w:val="00257C3A"/>
    <w:pPr>
      <w:tabs>
        <w:tab w:val="center" w:pos="4819"/>
        <w:tab w:val="right" w:pos="9639"/>
      </w:tabs>
      <w:spacing w:after="0" w:line="240" w:lineRule="auto"/>
    </w:pPr>
  </w:style>
  <w:style w:type="character" w:customStyle="1" w:styleId="af3">
    <w:name w:val="Нижній колонтитул Знак"/>
    <w:basedOn w:val="a0"/>
    <w:link w:val="af2"/>
    <w:uiPriority w:val="99"/>
    <w:rsid w:val="00257C3A"/>
    <w:rPr>
      <w:lang w:val="ru-RU"/>
    </w:rPr>
  </w:style>
  <w:style w:type="character" w:styleId="af4">
    <w:name w:val="Unresolved Mention"/>
    <w:basedOn w:val="a0"/>
    <w:uiPriority w:val="99"/>
    <w:semiHidden/>
    <w:unhideWhenUsed/>
    <w:rsid w:val="00D76A13"/>
    <w:rPr>
      <w:color w:val="605E5C"/>
      <w:shd w:val="clear" w:color="auto" w:fill="E1DFDD"/>
    </w:rPr>
  </w:style>
  <w:style w:type="character" w:customStyle="1" w:styleId="20">
    <w:name w:val="Заголовок 2 Знак"/>
    <w:basedOn w:val="a0"/>
    <w:link w:val="2"/>
    <w:uiPriority w:val="9"/>
    <w:semiHidden/>
    <w:rsid w:val="0096142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78056">
      <w:bodyDiv w:val="1"/>
      <w:marLeft w:val="0"/>
      <w:marRight w:val="0"/>
      <w:marTop w:val="0"/>
      <w:marBottom w:val="0"/>
      <w:divBdr>
        <w:top w:val="none" w:sz="0" w:space="0" w:color="auto"/>
        <w:left w:val="none" w:sz="0" w:space="0" w:color="auto"/>
        <w:bottom w:val="none" w:sz="0" w:space="0" w:color="auto"/>
        <w:right w:val="none" w:sz="0" w:space="0" w:color="auto"/>
      </w:divBdr>
    </w:div>
    <w:div w:id="50814552">
      <w:bodyDiv w:val="1"/>
      <w:marLeft w:val="0"/>
      <w:marRight w:val="0"/>
      <w:marTop w:val="0"/>
      <w:marBottom w:val="0"/>
      <w:divBdr>
        <w:top w:val="none" w:sz="0" w:space="0" w:color="auto"/>
        <w:left w:val="none" w:sz="0" w:space="0" w:color="auto"/>
        <w:bottom w:val="none" w:sz="0" w:space="0" w:color="auto"/>
        <w:right w:val="none" w:sz="0" w:space="0" w:color="auto"/>
      </w:divBdr>
      <w:divsChild>
        <w:div w:id="1926299656">
          <w:marLeft w:val="0"/>
          <w:marRight w:val="0"/>
          <w:marTop w:val="0"/>
          <w:marBottom w:val="150"/>
          <w:divBdr>
            <w:top w:val="none" w:sz="0" w:space="0" w:color="auto"/>
            <w:left w:val="none" w:sz="0" w:space="0" w:color="auto"/>
            <w:bottom w:val="none" w:sz="0" w:space="0" w:color="auto"/>
            <w:right w:val="none" w:sz="0" w:space="0" w:color="auto"/>
          </w:divBdr>
        </w:div>
        <w:div w:id="1013844305">
          <w:marLeft w:val="0"/>
          <w:marRight w:val="0"/>
          <w:marTop w:val="0"/>
          <w:marBottom w:val="150"/>
          <w:divBdr>
            <w:top w:val="none" w:sz="0" w:space="0" w:color="auto"/>
            <w:left w:val="none" w:sz="0" w:space="0" w:color="auto"/>
            <w:bottom w:val="none" w:sz="0" w:space="0" w:color="auto"/>
            <w:right w:val="none" w:sz="0" w:space="0" w:color="auto"/>
          </w:divBdr>
        </w:div>
        <w:div w:id="343213025">
          <w:marLeft w:val="0"/>
          <w:marRight w:val="0"/>
          <w:marTop w:val="0"/>
          <w:marBottom w:val="150"/>
          <w:divBdr>
            <w:top w:val="none" w:sz="0" w:space="0" w:color="auto"/>
            <w:left w:val="none" w:sz="0" w:space="0" w:color="auto"/>
            <w:bottom w:val="none" w:sz="0" w:space="0" w:color="auto"/>
            <w:right w:val="none" w:sz="0" w:space="0" w:color="auto"/>
          </w:divBdr>
        </w:div>
        <w:div w:id="1657807058">
          <w:marLeft w:val="0"/>
          <w:marRight w:val="0"/>
          <w:marTop w:val="0"/>
          <w:marBottom w:val="150"/>
          <w:divBdr>
            <w:top w:val="none" w:sz="0" w:space="0" w:color="auto"/>
            <w:left w:val="none" w:sz="0" w:space="0" w:color="auto"/>
            <w:bottom w:val="none" w:sz="0" w:space="0" w:color="auto"/>
            <w:right w:val="none" w:sz="0" w:space="0" w:color="auto"/>
          </w:divBdr>
        </w:div>
        <w:div w:id="390664333">
          <w:marLeft w:val="0"/>
          <w:marRight w:val="0"/>
          <w:marTop w:val="0"/>
          <w:marBottom w:val="150"/>
          <w:divBdr>
            <w:top w:val="none" w:sz="0" w:space="0" w:color="auto"/>
            <w:left w:val="none" w:sz="0" w:space="0" w:color="auto"/>
            <w:bottom w:val="none" w:sz="0" w:space="0" w:color="auto"/>
            <w:right w:val="none" w:sz="0" w:space="0" w:color="auto"/>
          </w:divBdr>
        </w:div>
      </w:divsChild>
    </w:div>
    <w:div w:id="59602088">
      <w:bodyDiv w:val="1"/>
      <w:marLeft w:val="0"/>
      <w:marRight w:val="0"/>
      <w:marTop w:val="0"/>
      <w:marBottom w:val="0"/>
      <w:divBdr>
        <w:top w:val="none" w:sz="0" w:space="0" w:color="auto"/>
        <w:left w:val="none" w:sz="0" w:space="0" w:color="auto"/>
        <w:bottom w:val="none" w:sz="0" w:space="0" w:color="auto"/>
        <w:right w:val="none" w:sz="0" w:space="0" w:color="auto"/>
      </w:divBdr>
    </w:div>
    <w:div w:id="60521762">
      <w:bodyDiv w:val="1"/>
      <w:marLeft w:val="0"/>
      <w:marRight w:val="0"/>
      <w:marTop w:val="0"/>
      <w:marBottom w:val="0"/>
      <w:divBdr>
        <w:top w:val="none" w:sz="0" w:space="0" w:color="auto"/>
        <w:left w:val="none" w:sz="0" w:space="0" w:color="auto"/>
        <w:bottom w:val="none" w:sz="0" w:space="0" w:color="auto"/>
        <w:right w:val="none" w:sz="0" w:space="0" w:color="auto"/>
      </w:divBdr>
      <w:divsChild>
        <w:div w:id="199510874">
          <w:marLeft w:val="0"/>
          <w:marRight w:val="0"/>
          <w:marTop w:val="0"/>
          <w:marBottom w:val="150"/>
          <w:divBdr>
            <w:top w:val="none" w:sz="0" w:space="0" w:color="auto"/>
            <w:left w:val="none" w:sz="0" w:space="0" w:color="auto"/>
            <w:bottom w:val="none" w:sz="0" w:space="0" w:color="auto"/>
            <w:right w:val="none" w:sz="0" w:space="0" w:color="auto"/>
          </w:divBdr>
        </w:div>
        <w:div w:id="521628425">
          <w:marLeft w:val="0"/>
          <w:marRight w:val="0"/>
          <w:marTop w:val="0"/>
          <w:marBottom w:val="150"/>
          <w:divBdr>
            <w:top w:val="none" w:sz="0" w:space="0" w:color="auto"/>
            <w:left w:val="none" w:sz="0" w:space="0" w:color="auto"/>
            <w:bottom w:val="none" w:sz="0" w:space="0" w:color="auto"/>
            <w:right w:val="none" w:sz="0" w:space="0" w:color="auto"/>
          </w:divBdr>
        </w:div>
        <w:div w:id="212696127">
          <w:marLeft w:val="0"/>
          <w:marRight w:val="0"/>
          <w:marTop w:val="0"/>
          <w:marBottom w:val="150"/>
          <w:divBdr>
            <w:top w:val="none" w:sz="0" w:space="0" w:color="auto"/>
            <w:left w:val="none" w:sz="0" w:space="0" w:color="auto"/>
            <w:bottom w:val="none" w:sz="0" w:space="0" w:color="auto"/>
            <w:right w:val="none" w:sz="0" w:space="0" w:color="auto"/>
          </w:divBdr>
        </w:div>
        <w:div w:id="172375775">
          <w:marLeft w:val="0"/>
          <w:marRight w:val="0"/>
          <w:marTop w:val="0"/>
          <w:marBottom w:val="150"/>
          <w:divBdr>
            <w:top w:val="none" w:sz="0" w:space="0" w:color="auto"/>
            <w:left w:val="none" w:sz="0" w:space="0" w:color="auto"/>
            <w:bottom w:val="none" w:sz="0" w:space="0" w:color="auto"/>
            <w:right w:val="none" w:sz="0" w:space="0" w:color="auto"/>
          </w:divBdr>
        </w:div>
        <w:div w:id="1809127912">
          <w:marLeft w:val="0"/>
          <w:marRight w:val="0"/>
          <w:marTop w:val="0"/>
          <w:marBottom w:val="150"/>
          <w:divBdr>
            <w:top w:val="none" w:sz="0" w:space="0" w:color="auto"/>
            <w:left w:val="none" w:sz="0" w:space="0" w:color="auto"/>
            <w:bottom w:val="none" w:sz="0" w:space="0" w:color="auto"/>
            <w:right w:val="none" w:sz="0" w:space="0" w:color="auto"/>
          </w:divBdr>
        </w:div>
      </w:divsChild>
    </w:div>
    <w:div w:id="290523993">
      <w:bodyDiv w:val="1"/>
      <w:marLeft w:val="0"/>
      <w:marRight w:val="0"/>
      <w:marTop w:val="0"/>
      <w:marBottom w:val="0"/>
      <w:divBdr>
        <w:top w:val="none" w:sz="0" w:space="0" w:color="auto"/>
        <w:left w:val="none" w:sz="0" w:space="0" w:color="auto"/>
        <w:bottom w:val="none" w:sz="0" w:space="0" w:color="auto"/>
        <w:right w:val="none" w:sz="0" w:space="0" w:color="auto"/>
      </w:divBdr>
    </w:div>
    <w:div w:id="355278871">
      <w:bodyDiv w:val="1"/>
      <w:marLeft w:val="0"/>
      <w:marRight w:val="0"/>
      <w:marTop w:val="0"/>
      <w:marBottom w:val="0"/>
      <w:divBdr>
        <w:top w:val="none" w:sz="0" w:space="0" w:color="auto"/>
        <w:left w:val="none" w:sz="0" w:space="0" w:color="auto"/>
        <w:bottom w:val="none" w:sz="0" w:space="0" w:color="auto"/>
        <w:right w:val="none" w:sz="0" w:space="0" w:color="auto"/>
      </w:divBdr>
    </w:div>
    <w:div w:id="471558147">
      <w:bodyDiv w:val="1"/>
      <w:marLeft w:val="0"/>
      <w:marRight w:val="0"/>
      <w:marTop w:val="0"/>
      <w:marBottom w:val="0"/>
      <w:divBdr>
        <w:top w:val="none" w:sz="0" w:space="0" w:color="auto"/>
        <w:left w:val="none" w:sz="0" w:space="0" w:color="auto"/>
        <w:bottom w:val="none" w:sz="0" w:space="0" w:color="auto"/>
        <w:right w:val="none" w:sz="0" w:space="0" w:color="auto"/>
      </w:divBdr>
    </w:div>
    <w:div w:id="789668701">
      <w:bodyDiv w:val="1"/>
      <w:marLeft w:val="0"/>
      <w:marRight w:val="0"/>
      <w:marTop w:val="0"/>
      <w:marBottom w:val="0"/>
      <w:divBdr>
        <w:top w:val="none" w:sz="0" w:space="0" w:color="auto"/>
        <w:left w:val="none" w:sz="0" w:space="0" w:color="auto"/>
        <w:bottom w:val="none" w:sz="0" w:space="0" w:color="auto"/>
        <w:right w:val="none" w:sz="0" w:space="0" w:color="auto"/>
      </w:divBdr>
    </w:div>
    <w:div w:id="923761332">
      <w:bodyDiv w:val="1"/>
      <w:marLeft w:val="0"/>
      <w:marRight w:val="0"/>
      <w:marTop w:val="0"/>
      <w:marBottom w:val="0"/>
      <w:divBdr>
        <w:top w:val="none" w:sz="0" w:space="0" w:color="auto"/>
        <w:left w:val="none" w:sz="0" w:space="0" w:color="auto"/>
        <w:bottom w:val="none" w:sz="0" w:space="0" w:color="auto"/>
        <w:right w:val="none" w:sz="0" w:space="0" w:color="auto"/>
      </w:divBdr>
    </w:div>
    <w:div w:id="926964980">
      <w:bodyDiv w:val="1"/>
      <w:marLeft w:val="0"/>
      <w:marRight w:val="0"/>
      <w:marTop w:val="0"/>
      <w:marBottom w:val="0"/>
      <w:divBdr>
        <w:top w:val="none" w:sz="0" w:space="0" w:color="auto"/>
        <w:left w:val="none" w:sz="0" w:space="0" w:color="auto"/>
        <w:bottom w:val="none" w:sz="0" w:space="0" w:color="auto"/>
        <w:right w:val="none" w:sz="0" w:space="0" w:color="auto"/>
      </w:divBdr>
    </w:div>
    <w:div w:id="996110603">
      <w:bodyDiv w:val="1"/>
      <w:marLeft w:val="0"/>
      <w:marRight w:val="0"/>
      <w:marTop w:val="0"/>
      <w:marBottom w:val="0"/>
      <w:divBdr>
        <w:top w:val="none" w:sz="0" w:space="0" w:color="auto"/>
        <w:left w:val="none" w:sz="0" w:space="0" w:color="auto"/>
        <w:bottom w:val="none" w:sz="0" w:space="0" w:color="auto"/>
        <w:right w:val="none" w:sz="0" w:space="0" w:color="auto"/>
      </w:divBdr>
    </w:div>
    <w:div w:id="1393120095">
      <w:bodyDiv w:val="1"/>
      <w:marLeft w:val="0"/>
      <w:marRight w:val="0"/>
      <w:marTop w:val="0"/>
      <w:marBottom w:val="0"/>
      <w:divBdr>
        <w:top w:val="none" w:sz="0" w:space="0" w:color="auto"/>
        <w:left w:val="none" w:sz="0" w:space="0" w:color="auto"/>
        <w:bottom w:val="none" w:sz="0" w:space="0" w:color="auto"/>
        <w:right w:val="none" w:sz="0" w:space="0" w:color="auto"/>
      </w:divBdr>
    </w:div>
    <w:div w:id="1570312863">
      <w:bodyDiv w:val="1"/>
      <w:marLeft w:val="0"/>
      <w:marRight w:val="0"/>
      <w:marTop w:val="0"/>
      <w:marBottom w:val="0"/>
      <w:divBdr>
        <w:top w:val="none" w:sz="0" w:space="0" w:color="auto"/>
        <w:left w:val="none" w:sz="0" w:space="0" w:color="auto"/>
        <w:bottom w:val="none" w:sz="0" w:space="0" w:color="auto"/>
        <w:right w:val="none" w:sz="0" w:space="0" w:color="auto"/>
      </w:divBdr>
      <w:divsChild>
        <w:div w:id="616447892">
          <w:marLeft w:val="0"/>
          <w:marRight w:val="0"/>
          <w:marTop w:val="0"/>
          <w:marBottom w:val="150"/>
          <w:divBdr>
            <w:top w:val="none" w:sz="0" w:space="0" w:color="auto"/>
            <w:left w:val="none" w:sz="0" w:space="0" w:color="auto"/>
            <w:bottom w:val="none" w:sz="0" w:space="0" w:color="auto"/>
            <w:right w:val="none" w:sz="0" w:space="0" w:color="auto"/>
          </w:divBdr>
        </w:div>
        <w:div w:id="2014530552">
          <w:marLeft w:val="0"/>
          <w:marRight w:val="0"/>
          <w:marTop w:val="0"/>
          <w:marBottom w:val="150"/>
          <w:divBdr>
            <w:top w:val="none" w:sz="0" w:space="0" w:color="auto"/>
            <w:left w:val="none" w:sz="0" w:space="0" w:color="auto"/>
            <w:bottom w:val="none" w:sz="0" w:space="0" w:color="auto"/>
            <w:right w:val="none" w:sz="0" w:space="0" w:color="auto"/>
          </w:divBdr>
        </w:div>
        <w:div w:id="660239589">
          <w:marLeft w:val="0"/>
          <w:marRight w:val="0"/>
          <w:marTop w:val="0"/>
          <w:marBottom w:val="150"/>
          <w:divBdr>
            <w:top w:val="none" w:sz="0" w:space="0" w:color="auto"/>
            <w:left w:val="none" w:sz="0" w:space="0" w:color="auto"/>
            <w:bottom w:val="none" w:sz="0" w:space="0" w:color="auto"/>
            <w:right w:val="none" w:sz="0" w:space="0" w:color="auto"/>
          </w:divBdr>
        </w:div>
        <w:div w:id="1617326190">
          <w:marLeft w:val="0"/>
          <w:marRight w:val="0"/>
          <w:marTop w:val="0"/>
          <w:marBottom w:val="150"/>
          <w:divBdr>
            <w:top w:val="none" w:sz="0" w:space="0" w:color="auto"/>
            <w:left w:val="none" w:sz="0" w:space="0" w:color="auto"/>
            <w:bottom w:val="none" w:sz="0" w:space="0" w:color="auto"/>
            <w:right w:val="none" w:sz="0" w:space="0" w:color="auto"/>
          </w:divBdr>
        </w:div>
        <w:div w:id="320543532">
          <w:marLeft w:val="0"/>
          <w:marRight w:val="0"/>
          <w:marTop w:val="0"/>
          <w:marBottom w:val="150"/>
          <w:divBdr>
            <w:top w:val="none" w:sz="0" w:space="0" w:color="auto"/>
            <w:left w:val="none" w:sz="0" w:space="0" w:color="auto"/>
            <w:bottom w:val="none" w:sz="0" w:space="0" w:color="auto"/>
            <w:right w:val="none" w:sz="0" w:space="0" w:color="auto"/>
          </w:divBdr>
        </w:div>
      </w:divsChild>
    </w:div>
    <w:div w:id="1608151946">
      <w:bodyDiv w:val="1"/>
      <w:marLeft w:val="0"/>
      <w:marRight w:val="0"/>
      <w:marTop w:val="0"/>
      <w:marBottom w:val="0"/>
      <w:divBdr>
        <w:top w:val="none" w:sz="0" w:space="0" w:color="auto"/>
        <w:left w:val="none" w:sz="0" w:space="0" w:color="auto"/>
        <w:bottom w:val="none" w:sz="0" w:space="0" w:color="auto"/>
        <w:right w:val="none" w:sz="0" w:space="0" w:color="auto"/>
      </w:divBdr>
    </w:div>
    <w:div w:id="1645351490">
      <w:bodyDiv w:val="1"/>
      <w:marLeft w:val="0"/>
      <w:marRight w:val="0"/>
      <w:marTop w:val="0"/>
      <w:marBottom w:val="0"/>
      <w:divBdr>
        <w:top w:val="none" w:sz="0" w:space="0" w:color="auto"/>
        <w:left w:val="none" w:sz="0" w:space="0" w:color="auto"/>
        <w:bottom w:val="none" w:sz="0" w:space="0" w:color="auto"/>
        <w:right w:val="none" w:sz="0" w:space="0" w:color="auto"/>
      </w:divBdr>
      <w:divsChild>
        <w:div w:id="659651066">
          <w:marLeft w:val="0"/>
          <w:marRight w:val="0"/>
          <w:marTop w:val="0"/>
          <w:marBottom w:val="150"/>
          <w:divBdr>
            <w:top w:val="none" w:sz="0" w:space="0" w:color="auto"/>
            <w:left w:val="none" w:sz="0" w:space="0" w:color="auto"/>
            <w:bottom w:val="none" w:sz="0" w:space="0" w:color="auto"/>
            <w:right w:val="none" w:sz="0" w:space="0" w:color="auto"/>
          </w:divBdr>
        </w:div>
        <w:div w:id="1005941987">
          <w:marLeft w:val="0"/>
          <w:marRight w:val="0"/>
          <w:marTop w:val="0"/>
          <w:marBottom w:val="150"/>
          <w:divBdr>
            <w:top w:val="none" w:sz="0" w:space="0" w:color="auto"/>
            <w:left w:val="none" w:sz="0" w:space="0" w:color="auto"/>
            <w:bottom w:val="none" w:sz="0" w:space="0" w:color="auto"/>
            <w:right w:val="none" w:sz="0" w:space="0" w:color="auto"/>
          </w:divBdr>
        </w:div>
        <w:div w:id="543257634">
          <w:marLeft w:val="0"/>
          <w:marRight w:val="0"/>
          <w:marTop w:val="0"/>
          <w:marBottom w:val="150"/>
          <w:divBdr>
            <w:top w:val="none" w:sz="0" w:space="0" w:color="auto"/>
            <w:left w:val="none" w:sz="0" w:space="0" w:color="auto"/>
            <w:bottom w:val="none" w:sz="0" w:space="0" w:color="auto"/>
            <w:right w:val="none" w:sz="0" w:space="0" w:color="auto"/>
          </w:divBdr>
        </w:div>
        <w:div w:id="1763642094">
          <w:marLeft w:val="0"/>
          <w:marRight w:val="0"/>
          <w:marTop w:val="0"/>
          <w:marBottom w:val="150"/>
          <w:divBdr>
            <w:top w:val="none" w:sz="0" w:space="0" w:color="auto"/>
            <w:left w:val="none" w:sz="0" w:space="0" w:color="auto"/>
            <w:bottom w:val="none" w:sz="0" w:space="0" w:color="auto"/>
            <w:right w:val="none" w:sz="0" w:space="0" w:color="auto"/>
          </w:divBdr>
        </w:div>
        <w:div w:id="1112628957">
          <w:marLeft w:val="0"/>
          <w:marRight w:val="0"/>
          <w:marTop w:val="0"/>
          <w:marBottom w:val="150"/>
          <w:divBdr>
            <w:top w:val="none" w:sz="0" w:space="0" w:color="auto"/>
            <w:left w:val="none" w:sz="0" w:space="0" w:color="auto"/>
            <w:bottom w:val="none" w:sz="0" w:space="0" w:color="auto"/>
            <w:right w:val="none" w:sz="0" w:space="0" w:color="auto"/>
          </w:divBdr>
        </w:div>
      </w:divsChild>
    </w:div>
    <w:div w:id="1721052203">
      <w:bodyDiv w:val="1"/>
      <w:marLeft w:val="0"/>
      <w:marRight w:val="0"/>
      <w:marTop w:val="0"/>
      <w:marBottom w:val="0"/>
      <w:divBdr>
        <w:top w:val="none" w:sz="0" w:space="0" w:color="auto"/>
        <w:left w:val="none" w:sz="0" w:space="0" w:color="auto"/>
        <w:bottom w:val="none" w:sz="0" w:space="0" w:color="auto"/>
        <w:right w:val="none" w:sz="0" w:space="0" w:color="auto"/>
      </w:divBdr>
    </w:div>
    <w:div w:id="1736784147">
      <w:bodyDiv w:val="1"/>
      <w:marLeft w:val="0"/>
      <w:marRight w:val="0"/>
      <w:marTop w:val="0"/>
      <w:marBottom w:val="0"/>
      <w:divBdr>
        <w:top w:val="none" w:sz="0" w:space="0" w:color="auto"/>
        <w:left w:val="none" w:sz="0" w:space="0" w:color="auto"/>
        <w:bottom w:val="none" w:sz="0" w:space="0" w:color="auto"/>
        <w:right w:val="none" w:sz="0" w:space="0" w:color="auto"/>
      </w:divBdr>
    </w:div>
    <w:div w:id="1987589629">
      <w:bodyDiv w:val="1"/>
      <w:marLeft w:val="0"/>
      <w:marRight w:val="0"/>
      <w:marTop w:val="0"/>
      <w:marBottom w:val="0"/>
      <w:divBdr>
        <w:top w:val="none" w:sz="0" w:space="0" w:color="auto"/>
        <w:left w:val="none" w:sz="0" w:space="0" w:color="auto"/>
        <w:bottom w:val="none" w:sz="0" w:space="0" w:color="auto"/>
        <w:right w:val="none" w:sz="0" w:space="0" w:color="auto"/>
      </w:divBdr>
    </w:div>
    <w:div w:id="20257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79-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4879E-7AF5-4C53-94AF-3995D41C0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4971</Words>
  <Characters>2835</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Кулажина</dc:creator>
  <cp:keywords/>
  <dc:description/>
  <cp:lastModifiedBy>Андрій Максимов</cp:lastModifiedBy>
  <cp:revision>5</cp:revision>
  <cp:lastPrinted>2025-05-27T12:08:00Z</cp:lastPrinted>
  <dcterms:created xsi:type="dcterms:W3CDTF">2025-11-05T08:03:00Z</dcterms:created>
  <dcterms:modified xsi:type="dcterms:W3CDTF">2025-11-11T08:01:00Z</dcterms:modified>
</cp:coreProperties>
</file>