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91F1F" w14:textId="05AF0962" w:rsidR="0013721F" w:rsidRPr="00DE6B3C" w:rsidRDefault="00DB7E24" w:rsidP="0013721F">
      <w:pPr>
        <w:jc w:val="center"/>
        <w:rPr>
          <w:i/>
          <w:sz w:val="28"/>
          <w:szCs w:val="28"/>
          <w:lang w:val="uk-UA"/>
        </w:rPr>
      </w:pPr>
      <w:r w:rsidRPr="002B148F">
        <w:rPr>
          <w:rFonts w:eastAsia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707BAD0" wp14:editId="77C9C524">
            <wp:extent cx="432000" cy="626400"/>
            <wp:effectExtent l="0" t="0" r="6350" b="2540"/>
            <wp:docPr id="865040876" name="Рисунок 865040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2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BDB20" w14:textId="77777777" w:rsidR="0013721F" w:rsidRPr="00DE6B3C" w:rsidRDefault="0013721F" w:rsidP="0013721F">
      <w:pPr>
        <w:jc w:val="center"/>
        <w:rPr>
          <w:rFonts w:ascii="Academy" w:hAnsi="Academy"/>
          <w:b/>
          <w:lang w:val="uk-UA"/>
        </w:rPr>
      </w:pPr>
    </w:p>
    <w:p w14:paraId="417DE631" w14:textId="77777777" w:rsidR="00DB7E24" w:rsidRDefault="0013721F" w:rsidP="0013721F">
      <w:pPr>
        <w:jc w:val="center"/>
        <w:rPr>
          <w:b/>
          <w:sz w:val="28"/>
          <w:szCs w:val="28"/>
          <w:lang w:val="en-GB"/>
        </w:rPr>
      </w:pPr>
      <w:r w:rsidRPr="00DE6B3C">
        <w:rPr>
          <w:b/>
          <w:sz w:val="28"/>
          <w:szCs w:val="28"/>
          <w:lang w:val="uk-UA"/>
        </w:rPr>
        <w:t xml:space="preserve">НАЦІОНАЛЬНА КОМІСІЯ, ЩО ЗДІЙСНЮЄ </w:t>
      </w:r>
    </w:p>
    <w:p w14:paraId="75B14CC4" w14:textId="68D34EF9" w:rsidR="0013721F" w:rsidRPr="00DE6B3C" w:rsidRDefault="0013721F" w:rsidP="00DB7E24">
      <w:pPr>
        <w:jc w:val="center"/>
        <w:rPr>
          <w:b/>
          <w:sz w:val="28"/>
          <w:szCs w:val="28"/>
          <w:lang w:val="uk-UA"/>
        </w:rPr>
      </w:pPr>
      <w:r w:rsidRPr="00DE6B3C">
        <w:rPr>
          <w:b/>
          <w:sz w:val="28"/>
          <w:szCs w:val="28"/>
          <w:lang w:val="uk-UA"/>
        </w:rPr>
        <w:t>ДЕРЖАВНЕ</w:t>
      </w:r>
      <w:r w:rsidR="00DB7E24">
        <w:rPr>
          <w:b/>
          <w:sz w:val="28"/>
          <w:szCs w:val="28"/>
          <w:lang w:val="en-GB"/>
        </w:rPr>
        <w:t xml:space="preserve"> </w:t>
      </w:r>
      <w:r w:rsidRPr="00DE6B3C">
        <w:rPr>
          <w:b/>
          <w:sz w:val="28"/>
          <w:szCs w:val="28"/>
          <w:lang w:val="uk-UA"/>
        </w:rPr>
        <w:t>РЕГУЛЮВАННЯ У СФЕРАХ ЕНЕРГЕТИКИ</w:t>
      </w:r>
    </w:p>
    <w:p w14:paraId="2DDAF9E9" w14:textId="77777777" w:rsidR="0013721F" w:rsidRPr="00DE6B3C" w:rsidRDefault="0013721F" w:rsidP="0013721F">
      <w:pPr>
        <w:jc w:val="center"/>
        <w:rPr>
          <w:b/>
          <w:sz w:val="28"/>
          <w:szCs w:val="28"/>
          <w:lang w:val="uk-UA"/>
        </w:rPr>
      </w:pPr>
      <w:r w:rsidRPr="00DE6B3C">
        <w:rPr>
          <w:b/>
          <w:sz w:val="28"/>
          <w:szCs w:val="28"/>
          <w:lang w:val="uk-UA"/>
        </w:rPr>
        <w:t>ТА КОМУНАЛЬНИХ ПОСЛУГ</w:t>
      </w:r>
    </w:p>
    <w:p w14:paraId="44B2191D" w14:textId="77777777" w:rsidR="0013721F" w:rsidRPr="00DE6B3C" w:rsidRDefault="0013721F" w:rsidP="0013721F">
      <w:pPr>
        <w:jc w:val="center"/>
        <w:rPr>
          <w:b/>
          <w:sz w:val="28"/>
          <w:szCs w:val="28"/>
          <w:lang w:val="uk-UA"/>
        </w:rPr>
      </w:pPr>
      <w:r w:rsidRPr="00DE6B3C">
        <w:rPr>
          <w:b/>
          <w:sz w:val="28"/>
          <w:szCs w:val="28"/>
          <w:lang w:val="uk-UA"/>
        </w:rPr>
        <w:t>(НКРЕКП)</w:t>
      </w:r>
    </w:p>
    <w:p w14:paraId="12E58A78" w14:textId="77777777" w:rsidR="0013721F" w:rsidRPr="00DB7E24" w:rsidRDefault="0013721F" w:rsidP="0013721F">
      <w:pPr>
        <w:pStyle w:val="a3"/>
        <w:jc w:val="center"/>
        <w:rPr>
          <w:b/>
          <w:bCs/>
          <w:sz w:val="28"/>
          <w:szCs w:val="28"/>
          <w:lang w:val="uk-UA"/>
        </w:rPr>
      </w:pPr>
      <w:r w:rsidRPr="00DB7E24">
        <w:rPr>
          <w:b/>
          <w:bCs/>
          <w:sz w:val="28"/>
          <w:szCs w:val="28"/>
          <w:lang w:val="uk-UA"/>
        </w:rPr>
        <w:t>ПОСТАНОВА</w:t>
      </w:r>
    </w:p>
    <w:p w14:paraId="0AFDE381" w14:textId="77777777" w:rsidR="0013721F" w:rsidRPr="00DB7E24" w:rsidRDefault="0013721F" w:rsidP="0013721F">
      <w:pPr>
        <w:pStyle w:val="a3"/>
        <w:rPr>
          <w:b/>
          <w:bCs/>
          <w:sz w:val="28"/>
          <w:szCs w:val="28"/>
          <w:lang w:val="en-GB"/>
        </w:rPr>
      </w:pP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13721F" w:rsidRPr="00DE6B3C" w14:paraId="7279312A" w14:textId="77777777" w:rsidTr="00A04A1F">
        <w:trPr>
          <w:tblCellSpacing w:w="22" w:type="dxa"/>
          <w:jc w:val="center"/>
        </w:trPr>
        <w:tc>
          <w:tcPr>
            <w:tcW w:w="1669" w:type="pct"/>
          </w:tcPr>
          <w:p w14:paraId="490D9166" w14:textId="77777777" w:rsidR="0013721F" w:rsidRPr="00DB7E24" w:rsidRDefault="0013721F" w:rsidP="00A04A1F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7E24">
              <w:rPr>
                <w:sz w:val="28"/>
                <w:szCs w:val="28"/>
                <w:lang w:val="uk-UA"/>
              </w:rPr>
              <w:t>____________________</w:t>
            </w:r>
          </w:p>
        </w:tc>
        <w:tc>
          <w:tcPr>
            <w:tcW w:w="1621" w:type="pct"/>
          </w:tcPr>
          <w:p w14:paraId="288FBF1D" w14:textId="77777777" w:rsidR="0013721F" w:rsidRPr="00DB7E24" w:rsidRDefault="0013721F" w:rsidP="00A04A1F">
            <w:pPr>
              <w:pStyle w:val="a3"/>
              <w:jc w:val="center"/>
              <w:rPr>
                <w:lang w:val="uk-UA"/>
              </w:rPr>
            </w:pPr>
            <w:r w:rsidRPr="00DB7E24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14:paraId="2DA372D5" w14:textId="77777777" w:rsidR="0013721F" w:rsidRPr="00DB7E24" w:rsidRDefault="0013721F" w:rsidP="00A04A1F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7E24">
              <w:rPr>
                <w:sz w:val="28"/>
                <w:szCs w:val="28"/>
                <w:lang w:val="uk-UA"/>
              </w:rPr>
              <w:t>№ _______________</w:t>
            </w:r>
          </w:p>
        </w:tc>
      </w:tr>
    </w:tbl>
    <w:p w14:paraId="2E6005A8" w14:textId="77777777" w:rsidR="0013721F" w:rsidRPr="00DE6B3C" w:rsidRDefault="0013721F" w:rsidP="0013721F">
      <w:pPr>
        <w:rPr>
          <w:lang w:val="uk-UA"/>
        </w:rPr>
      </w:pPr>
    </w:p>
    <w:p w14:paraId="34C5B900" w14:textId="77777777" w:rsidR="0013721F" w:rsidRPr="00DE6B3C" w:rsidRDefault="0013721F" w:rsidP="0013721F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14:paraId="20570CF8" w14:textId="77777777" w:rsidR="0013721F" w:rsidRPr="00DE6B3C" w:rsidRDefault="0013721F" w:rsidP="0013721F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14:paraId="46994303" w14:textId="62C9B89C" w:rsidR="0013721F" w:rsidRPr="00DE6B3C" w:rsidRDefault="0078613A" w:rsidP="00DB21A0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  <w:r w:rsidRPr="0078613A">
        <w:rPr>
          <w:b w:val="0"/>
          <w:sz w:val="28"/>
          <w:szCs w:val="28"/>
          <w:lang w:val="uk-UA"/>
        </w:rPr>
        <w:t>Про внесення змін до Методики визначення та розрахунку тарифу на послуги розподілу природного газу</w:t>
      </w:r>
    </w:p>
    <w:p w14:paraId="00AC976C" w14:textId="77777777" w:rsidR="0013721F" w:rsidRDefault="0013721F" w:rsidP="0013721F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en-GB"/>
        </w:rPr>
      </w:pPr>
    </w:p>
    <w:p w14:paraId="0AC060E4" w14:textId="77777777" w:rsidR="00D725CC" w:rsidRPr="00D725CC" w:rsidRDefault="00D725CC" w:rsidP="0013721F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en-GB"/>
        </w:rPr>
      </w:pPr>
    </w:p>
    <w:p w14:paraId="7839A8BA" w14:textId="77777777" w:rsidR="0013721F" w:rsidRPr="00DE6B3C" w:rsidRDefault="0013721F" w:rsidP="0013721F">
      <w:pPr>
        <w:ind w:firstLine="708"/>
        <w:jc w:val="both"/>
        <w:rPr>
          <w:bCs/>
          <w:sz w:val="28"/>
          <w:szCs w:val="28"/>
          <w:lang w:val="uk-UA"/>
        </w:rPr>
      </w:pPr>
      <w:r w:rsidRPr="00DE6B3C">
        <w:rPr>
          <w:bCs/>
          <w:sz w:val="28"/>
          <w:szCs w:val="28"/>
          <w:lang w:val="uk-UA"/>
        </w:rPr>
        <w:t>Відповідно до статті 4 Закону України «Про ринок природного газу»</w:t>
      </w:r>
      <w:r w:rsidRPr="00DE6B3C">
        <w:rPr>
          <w:lang w:val="uk-UA"/>
        </w:rPr>
        <w:t xml:space="preserve"> </w:t>
      </w:r>
      <w:r w:rsidRPr="00DE6B3C">
        <w:rPr>
          <w:bCs/>
          <w:sz w:val="28"/>
          <w:szCs w:val="28"/>
          <w:lang w:val="uk-UA"/>
        </w:rPr>
        <w:t xml:space="preserve">та статті 17 Закону України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14:paraId="570AE500" w14:textId="77777777" w:rsidR="0013721F" w:rsidRPr="00DE6B3C" w:rsidRDefault="0013721F" w:rsidP="0013721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80018ED" w14:textId="77777777" w:rsidR="0013721F" w:rsidRPr="00DE6B3C" w:rsidRDefault="0013721F" w:rsidP="00C526ED">
      <w:pPr>
        <w:pStyle w:val="a3"/>
        <w:spacing w:before="0" w:beforeAutospacing="0" w:after="0" w:afterAutospacing="0"/>
        <w:rPr>
          <w:b/>
          <w:bCs/>
          <w:sz w:val="28"/>
          <w:lang w:val="uk-UA"/>
        </w:rPr>
      </w:pPr>
      <w:r w:rsidRPr="00DE6B3C">
        <w:rPr>
          <w:b/>
          <w:sz w:val="28"/>
          <w:szCs w:val="28"/>
          <w:lang w:val="uk-UA"/>
        </w:rPr>
        <w:t>ПОСТАНОВЛЯЄ</w:t>
      </w:r>
      <w:r w:rsidRPr="00DE6B3C">
        <w:rPr>
          <w:sz w:val="28"/>
          <w:szCs w:val="28"/>
          <w:lang w:val="uk-UA"/>
        </w:rPr>
        <w:t>:</w:t>
      </w:r>
      <w:r w:rsidRPr="00DE6B3C">
        <w:rPr>
          <w:b/>
          <w:bCs/>
          <w:sz w:val="28"/>
          <w:lang w:val="uk-UA"/>
        </w:rPr>
        <w:t xml:space="preserve"> </w:t>
      </w:r>
    </w:p>
    <w:p w14:paraId="16C91378" w14:textId="009D1C31" w:rsidR="0013721F" w:rsidRPr="00DE6B3C" w:rsidRDefault="007F01CD" w:rsidP="00EC04B9">
      <w:pPr>
        <w:pStyle w:val="2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 w:rsidRPr="00DE6B3C">
        <w:rPr>
          <w:b w:val="0"/>
          <w:bCs w:val="0"/>
          <w:sz w:val="28"/>
          <w:szCs w:val="28"/>
          <w:lang w:val="uk-UA" w:eastAsia="uk-UA"/>
        </w:rPr>
        <w:t>1. </w:t>
      </w:r>
      <w:r w:rsidR="00EC04B9" w:rsidRPr="00DE6B3C">
        <w:rPr>
          <w:b w:val="0"/>
          <w:bCs w:val="0"/>
          <w:sz w:val="28"/>
          <w:szCs w:val="28"/>
          <w:lang w:val="uk-UA" w:eastAsia="uk-UA"/>
        </w:rPr>
        <w:t>Унести до</w:t>
      </w:r>
      <w:r w:rsidR="0013721F" w:rsidRPr="00DE6B3C">
        <w:rPr>
          <w:b w:val="0"/>
          <w:bCs w:val="0"/>
          <w:sz w:val="28"/>
          <w:szCs w:val="28"/>
          <w:lang w:val="uk-UA" w:eastAsia="uk-UA"/>
        </w:rPr>
        <w:t xml:space="preserve"> </w:t>
      </w:r>
      <w:r w:rsidR="0078613A" w:rsidRPr="0078613A">
        <w:rPr>
          <w:b w:val="0"/>
          <w:bCs w:val="0"/>
          <w:sz w:val="28"/>
          <w:szCs w:val="28"/>
          <w:lang w:val="uk-UA" w:eastAsia="uk-UA"/>
        </w:rPr>
        <w:t>Методики визначення та розрахунку тарифу на послуги розподілу природного газу</w:t>
      </w:r>
      <w:r w:rsidR="0013721F" w:rsidRPr="00DE6B3C">
        <w:rPr>
          <w:b w:val="0"/>
          <w:bCs w:val="0"/>
          <w:sz w:val="28"/>
          <w:szCs w:val="28"/>
          <w:lang w:val="uk-UA" w:eastAsia="uk-UA"/>
        </w:rPr>
        <w:t xml:space="preserve">, </w:t>
      </w:r>
      <w:r w:rsidR="00671A27" w:rsidRPr="00DE6B3C">
        <w:rPr>
          <w:b w:val="0"/>
          <w:bCs w:val="0"/>
          <w:sz w:val="28"/>
          <w:szCs w:val="28"/>
          <w:lang w:val="uk-UA" w:eastAsia="uk-UA"/>
        </w:rPr>
        <w:t xml:space="preserve">затвердженої </w:t>
      </w:r>
      <w:r w:rsidR="0013721F" w:rsidRPr="00DE6B3C">
        <w:rPr>
          <w:b w:val="0"/>
          <w:bCs w:val="0"/>
          <w:sz w:val="28"/>
          <w:szCs w:val="28"/>
          <w:lang w:val="uk-UA" w:eastAsia="uk-UA"/>
        </w:rPr>
        <w:t xml:space="preserve">постановою Національної комісії, що здійснює державне регулювання у сферах енергетики та комунальних послуг, </w:t>
      </w:r>
      <w:r w:rsidR="0078613A" w:rsidRPr="00B835B3">
        <w:rPr>
          <w:b w:val="0"/>
          <w:bCs w:val="0"/>
          <w:sz w:val="28"/>
          <w:szCs w:val="28"/>
          <w:lang w:val="uk-UA" w:eastAsia="uk-UA"/>
        </w:rPr>
        <w:t>від</w:t>
      </w:r>
      <w:r w:rsidR="00B835B3">
        <w:rPr>
          <w:b w:val="0"/>
          <w:bCs w:val="0"/>
          <w:sz w:val="28"/>
          <w:szCs w:val="28"/>
          <w:lang w:val="uk-UA" w:eastAsia="uk-UA"/>
        </w:rPr>
        <w:t> </w:t>
      </w:r>
      <w:r w:rsidR="0078613A" w:rsidRPr="0078613A">
        <w:rPr>
          <w:b w:val="0"/>
          <w:bCs w:val="0"/>
          <w:sz w:val="28"/>
          <w:szCs w:val="28"/>
          <w:lang w:val="uk-UA" w:eastAsia="uk-UA"/>
        </w:rPr>
        <w:t>25 лютого 2016 року № 236, зареєстрован</w:t>
      </w:r>
      <w:r w:rsidR="00B835B3">
        <w:rPr>
          <w:b w:val="0"/>
          <w:bCs w:val="0"/>
          <w:sz w:val="28"/>
          <w:szCs w:val="28"/>
          <w:lang w:val="uk-UA" w:eastAsia="uk-UA"/>
        </w:rPr>
        <w:t>ої</w:t>
      </w:r>
      <w:r w:rsidR="0078613A" w:rsidRPr="0078613A">
        <w:rPr>
          <w:b w:val="0"/>
          <w:bCs w:val="0"/>
          <w:sz w:val="28"/>
          <w:szCs w:val="28"/>
          <w:lang w:val="uk-UA" w:eastAsia="uk-UA"/>
        </w:rPr>
        <w:t xml:space="preserve"> в Міністерстві юстиції України</w:t>
      </w:r>
      <w:r w:rsidR="00B835B3">
        <w:rPr>
          <w:b w:val="0"/>
          <w:bCs w:val="0"/>
          <w:sz w:val="28"/>
          <w:szCs w:val="28"/>
          <w:lang w:val="uk-UA" w:eastAsia="uk-UA"/>
        </w:rPr>
        <w:t xml:space="preserve"> </w:t>
      </w:r>
      <w:r w:rsidR="0078613A" w:rsidRPr="0078613A">
        <w:rPr>
          <w:b w:val="0"/>
          <w:bCs w:val="0"/>
          <w:sz w:val="28"/>
          <w:szCs w:val="28"/>
          <w:lang w:val="uk-UA" w:eastAsia="uk-UA"/>
        </w:rPr>
        <w:t>03 листопада 2016 року за № 1434/29564,</w:t>
      </w:r>
      <w:r w:rsidR="0013721F" w:rsidRPr="00DE6B3C">
        <w:rPr>
          <w:b w:val="0"/>
          <w:bCs w:val="0"/>
          <w:sz w:val="28"/>
          <w:szCs w:val="28"/>
          <w:lang w:val="uk-UA" w:eastAsia="uk-UA"/>
        </w:rPr>
        <w:t xml:space="preserve"> </w:t>
      </w:r>
      <w:r w:rsidR="000853FF" w:rsidRPr="00DE6B3C">
        <w:rPr>
          <w:b w:val="0"/>
          <w:bCs w:val="0"/>
          <w:sz w:val="28"/>
          <w:szCs w:val="28"/>
          <w:lang w:val="uk-UA" w:eastAsia="uk-UA"/>
        </w:rPr>
        <w:t>такі зміни:</w:t>
      </w:r>
    </w:p>
    <w:p w14:paraId="7B2C673F" w14:textId="138D8E14" w:rsidR="0078613A" w:rsidRDefault="000853FF" w:rsidP="00B16CA2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 w:rsidRPr="00DE6B3C">
        <w:rPr>
          <w:b w:val="0"/>
          <w:bCs w:val="0"/>
          <w:sz w:val="28"/>
          <w:szCs w:val="28"/>
          <w:lang w:val="uk-UA" w:eastAsia="uk-UA"/>
        </w:rPr>
        <w:t xml:space="preserve">1) </w:t>
      </w:r>
      <w:r w:rsidR="0078613A">
        <w:rPr>
          <w:b w:val="0"/>
          <w:bCs w:val="0"/>
          <w:sz w:val="28"/>
          <w:szCs w:val="28"/>
          <w:lang w:val="uk-UA" w:eastAsia="uk-UA"/>
        </w:rPr>
        <w:t xml:space="preserve">абзац </w:t>
      </w:r>
      <w:r w:rsidR="00DB795B">
        <w:rPr>
          <w:b w:val="0"/>
          <w:bCs w:val="0"/>
          <w:sz w:val="28"/>
          <w:szCs w:val="28"/>
          <w:lang w:val="uk-UA" w:eastAsia="uk-UA"/>
        </w:rPr>
        <w:t>восьмий</w:t>
      </w:r>
      <w:r w:rsidR="0078613A">
        <w:rPr>
          <w:b w:val="0"/>
          <w:bCs w:val="0"/>
          <w:sz w:val="28"/>
          <w:szCs w:val="28"/>
          <w:lang w:val="uk-UA" w:eastAsia="uk-UA"/>
        </w:rPr>
        <w:t xml:space="preserve"> п</w:t>
      </w:r>
      <w:r w:rsidR="0078613A" w:rsidRPr="0078613A">
        <w:rPr>
          <w:b w:val="0"/>
          <w:bCs w:val="0"/>
          <w:sz w:val="28"/>
          <w:szCs w:val="28"/>
          <w:lang w:val="uk-UA" w:eastAsia="uk-UA"/>
        </w:rPr>
        <w:t>ункт</w:t>
      </w:r>
      <w:r w:rsidR="0078613A">
        <w:rPr>
          <w:b w:val="0"/>
          <w:bCs w:val="0"/>
          <w:sz w:val="28"/>
          <w:szCs w:val="28"/>
          <w:lang w:val="uk-UA" w:eastAsia="uk-UA"/>
        </w:rPr>
        <w:t>у</w:t>
      </w:r>
      <w:r w:rsidR="0078613A" w:rsidRPr="0078613A">
        <w:rPr>
          <w:b w:val="0"/>
          <w:bCs w:val="0"/>
          <w:sz w:val="28"/>
          <w:szCs w:val="28"/>
          <w:lang w:val="uk-UA" w:eastAsia="uk-UA"/>
        </w:rPr>
        <w:t xml:space="preserve"> 14</w:t>
      </w:r>
      <w:r w:rsidR="0078613A">
        <w:rPr>
          <w:b w:val="0"/>
          <w:bCs w:val="0"/>
          <w:sz w:val="28"/>
          <w:szCs w:val="28"/>
          <w:lang w:val="uk-UA" w:eastAsia="uk-UA"/>
        </w:rPr>
        <w:t xml:space="preserve"> </w:t>
      </w:r>
      <w:r w:rsidR="00B16CA2" w:rsidRPr="00DE6B3C">
        <w:rPr>
          <w:b w:val="0"/>
          <w:bCs w:val="0"/>
          <w:sz w:val="28"/>
          <w:szCs w:val="28"/>
          <w:lang w:val="uk-UA" w:eastAsia="uk-UA"/>
        </w:rPr>
        <w:t>розділ</w:t>
      </w:r>
      <w:r w:rsidR="00B16CA2">
        <w:rPr>
          <w:b w:val="0"/>
          <w:bCs w:val="0"/>
          <w:sz w:val="28"/>
          <w:szCs w:val="28"/>
          <w:lang w:val="uk-UA" w:eastAsia="uk-UA"/>
        </w:rPr>
        <w:t>у</w:t>
      </w:r>
      <w:r w:rsidR="00B16CA2" w:rsidRPr="00DE6B3C">
        <w:rPr>
          <w:b w:val="0"/>
          <w:bCs w:val="0"/>
          <w:sz w:val="28"/>
          <w:szCs w:val="28"/>
          <w:lang w:val="uk-UA" w:eastAsia="uk-UA"/>
        </w:rPr>
        <w:t xml:space="preserve"> ІІ</w:t>
      </w:r>
      <w:r w:rsidR="00B16CA2">
        <w:rPr>
          <w:b w:val="0"/>
          <w:bCs w:val="0"/>
          <w:sz w:val="28"/>
          <w:szCs w:val="28"/>
          <w:lang w:val="uk-UA" w:eastAsia="uk-UA"/>
        </w:rPr>
        <w:t xml:space="preserve">І </w:t>
      </w:r>
      <w:r w:rsidR="000D0A6D">
        <w:rPr>
          <w:b w:val="0"/>
          <w:bCs w:val="0"/>
          <w:sz w:val="28"/>
          <w:szCs w:val="28"/>
          <w:lang w:val="uk-UA" w:eastAsia="uk-UA"/>
        </w:rPr>
        <w:t>замінити</w:t>
      </w:r>
      <w:r w:rsidR="0078613A">
        <w:rPr>
          <w:b w:val="0"/>
          <w:bCs w:val="0"/>
          <w:sz w:val="28"/>
          <w:szCs w:val="28"/>
          <w:lang w:val="uk-UA" w:eastAsia="uk-UA"/>
        </w:rPr>
        <w:t xml:space="preserve"> </w:t>
      </w:r>
      <w:r w:rsidR="000D0A6D">
        <w:rPr>
          <w:b w:val="0"/>
          <w:bCs w:val="0"/>
          <w:sz w:val="28"/>
          <w:szCs w:val="28"/>
          <w:lang w:val="uk-UA" w:eastAsia="uk-UA"/>
        </w:rPr>
        <w:t>трьома новими</w:t>
      </w:r>
      <w:r w:rsidR="0078613A" w:rsidRPr="0078613A">
        <w:rPr>
          <w:b w:val="0"/>
          <w:bCs w:val="0"/>
          <w:sz w:val="28"/>
          <w:szCs w:val="28"/>
          <w:lang w:val="uk-UA" w:eastAsia="uk-UA"/>
        </w:rPr>
        <w:t xml:space="preserve"> абзацами такого змісту:</w:t>
      </w:r>
    </w:p>
    <w:p w14:paraId="3C3FDCBF" w14:textId="129D0006" w:rsidR="00200CDC" w:rsidRPr="00200CDC" w:rsidRDefault="00200CDC" w:rsidP="00200CDC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>
        <w:rPr>
          <w:b w:val="0"/>
          <w:bCs w:val="0"/>
          <w:sz w:val="28"/>
          <w:szCs w:val="28"/>
          <w:lang w:val="uk-UA" w:eastAsia="uk-UA"/>
        </w:rPr>
        <w:t>«</w:t>
      </w:r>
      <w:r w:rsidRPr="00200CDC">
        <w:rPr>
          <w:b w:val="0"/>
          <w:bCs w:val="0"/>
          <w:sz w:val="28"/>
          <w:szCs w:val="28"/>
          <w:lang w:val="uk-UA" w:eastAsia="uk-UA"/>
        </w:rPr>
        <w:t>У разі встановлення (перегляду) тариф</w:t>
      </w:r>
      <w:r w:rsidR="00DA5EFC">
        <w:rPr>
          <w:b w:val="0"/>
          <w:bCs w:val="0"/>
          <w:sz w:val="28"/>
          <w:szCs w:val="28"/>
          <w:lang w:val="uk-UA" w:eastAsia="uk-UA"/>
        </w:rPr>
        <w:t>у</w:t>
      </w:r>
      <w:r w:rsidRPr="00200CDC">
        <w:rPr>
          <w:b w:val="0"/>
          <w:bCs w:val="0"/>
          <w:sz w:val="28"/>
          <w:szCs w:val="28"/>
          <w:lang w:val="uk-UA" w:eastAsia="uk-UA"/>
        </w:rPr>
        <w:t xml:space="preserve"> на послуги розподілу природного газу на окрем</w:t>
      </w:r>
      <w:r w:rsidR="00033701">
        <w:rPr>
          <w:b w:val="0"/>
          <w:bCs w:val="0"/>
          <w:sz w:val="28"/>
          <w:szCs w:val="28"/>
          <w:lang w:val="uk-UA" w:eastAsia="uk-UA"/>
        </w:rPr>
        <w:t>у</w:t>
      </w:r>
      <w:r w:rsidRPr="00200CDC">
        <w:rPr>
          <w:b w:val="0"/>
          <w:bCs w:val="0"/>
          <w:sz w:val="28"/>
          <w:szCs w:val="28"/>
          <w:lang w:val="uk-UA" w:eastAsia="uk-UA"/>
        </w:rPr>
        <w:t xml:space="preserve"> частин</w:t>
      </w:r>
      <w:r w:rsidR="00033701">
        <w:rPr>
          <w:b w:val="0"/>
          <w:bCs w:val="0"/>
          <w:sz w:val="28"/>
          <w:szCs w:val="28"/>
          <w:lang w:val="uk-UA" w:eastAsia="uk-UA"/>
        </w:rPr>
        <w:t>у</w:t>
      </w:r>
      <w:r w:rsidRPr="00200CDC">
        <w:rPr>
          <w:b w:val="0"/>
          <w:bCs w:val="0"/>
          <w:sz w:val="28"/>
          <w:szCs w:val="28"/>
          <w:lang w:val="uk-UA" w:eastAsia="uk-UA"/>
        </w:rPr>
        <w:t xml:space="preserve"> місць провадження господарської діяльності ліцензіата для Оператора ГРМ може бути встановлена єдина структура тарифів на послуги розподілу природного газу на всю територію провадження господарської діяльності.</w:t>
      </w:r>
    </w:p>
    <w:p w14:paraId="790468E5" w14:textId="550A86BD" w:rsidR="00200CDC" w:rsidRPr="00200CDC" w:rsidRDefault="00DB7E24" w:rsidP="00200CDC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>
        <w:rPr>
          <w:b w:val="0"/>
          <w:bCs w:val="0"/>
          <w:sz w:val="28"/>
          <w:szCs w:val="28"/>
          <w:lang w:val="uk-UA" w:eastAsia="uk-UA"/>
        </w:rPr>
        <w:t>У</w:t>
      </w:r>
      <w:r w:rsidR="00200CDC" w:rsidRPr="00200CDC">
        <w:rPr>
          <w:b w:val="0"/>
          <w:bCs w:val="0"/>
          <w:sz w:val="28"/>
          <w:szCs w:val="28"/>
          <w:lang w:val="uk-UA" w:eastAsia="uk-UA"/>
        </w:rPr>
        <w:t xml:space="preserve"> такому разі єдина структура тарифів на послуги розподілу природного газу формується як сума відповідних показників, врахованих при визначенні та </w:t>
      </w:r>
      <w:r w:rsidR="00200CDC" w:rsidRPr="00200CDC">
        <w:rPr>
          <w:b w:val="0"/>
          <w:bCs w:val="0"/>
          <w:sz w:val="28"/>
          <w:szCs w:val="28"/>
          <w:lang w:val="uk-UA" w:eastAsia="uk-UA"/>
        </w:rPr>
        <w:lastRenderedPageBreak/>
        <w:t>розрахунку тарифів на послуги розподілу природного газу для окремих частин місць провадження господарської діяльності ліцензіата.</w:t>
      </w:r>
    </w:p>
    <w:p w14:paraId="0B7CE107" w14:textId="192779AD" w:rsidR="00200CDC" w:rsidRDefault="00DB7E24" w:rsidP="00200CDC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>
        <w:rPr>
          <w:b w:val="0"/>
          <w:bCs w:val="0"/>
          <w:sz w:val="28"/>
          <w:szCs w:val="28"/>
          <w:lang w:val="uk-UA" w:eastAsia="uk-UA"/>
        </w:rPr>
        <w:t>В</w:t>
      </w:r>
      <w:r w:rsidR="00200CDC" w:rsidRPr="00200CDC">
        <w:rPr>
          <w:b w:val="0"/>
          <w:bCs w:val="0"/>
          <w:sz w:val="28"/>
          <w:szCs w:val="28"/>
          <w:lang w:val="uk-UA" w:eastAsia="uk-UA"/>
        </w:rPr>
        <w:t xml:space="preserve"> іншому випадку структура тарифу на послуги розподілу природного газу є єдиною в межах частини місць провадження господарської діяльності ліцензіата для якої встановлено тариф.</w:t>
      </w:r>
      <w:r w:rsidR="00200CDC">
        <w:rPr>
          <w:b w:val="0"/>
          <w:bCs w:val="0"/>
          <w:sz w:val="28"/>
          <w:szCs w:val="28"/>
          <w:lang w:val="uk-UA" w:eastAsia="uk-UA"/>
        </w:rPr>
        <w:t>»</w:t>
      </w:r>
      <w:r w:rsidR="00DB795B">
        <w:rPr>
          <w:b w:val="0"/>
          <w:bCs w:val="0"/>
          <w:sz w:val="28"/>
          <w:szCs w:val="28"/>
          <w:lang w:val="uk-UA" w:eastAsia="uk-UA"/>
        </w:rPr>
        <w:t>;</w:t>
      </w:r>
    </w:p>
    <w:p w14:paraId="0E3F9C74" w14:textId="77777777" w:rsidR="00200CDC" w:rsidRDefault="00200CDC" w:rsidP="00200CDC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</w:p>
    <w:p w14:paraId="76BDB706" w14:textId="4C960BC6" w:rsidR="00200CDC" w:rsidRDefault="00200CDC" w:rsidP="00200CDC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>
        <w:rPr>
          <w:b w:val="0"/>
          <w:bCs w:val="0"/>
          <w:sz w:val="28"/>
          <w:szCs w:val="28"/>
          <w:lang w:val="uk-UA" w:eastAsia="uk-UA"/>
        </w:rPr>
        <w:t xml:space="preserve">2) </w:t>
      </w:r>
      <w:r w:rsidR="00B16CA2">
        <w:rPr>
          <w:b w:val="0"/>
          <w:bCs w:val="0"/>
          <w:sz w:val="28"/>
          <w:szCs w:val="28"/>
          <w:lang w:val="uk-UA" w:eastAsia="uk-UA"/>
        </w:rPr>
        <w:t>пункт 19</w:t>
      </w:r>
      <w:r>
        <w:rPr>
          <w:b w:val="0"/>
          <w:bCs w:val="0"/>
          <w:sz w:val="28"/>
          <w:szCs w:val="28"/>
          <w:lang w:val="uk-UA" w:eastAsia="uk-UA"/>
        </w:rPr>
        <w:t xml:space="preserve"> розділ</w:t>
      </w:r>
      <w:r w:rsidR="00B16CA2">
        <w:rPr>
          <w:b w:val="0"/>
          <w:bCs w:val="0"/>
          <w:sz w:val="28"/>
          <w:szCs w:val="28"/>
          <w:lang w:val="uk-UA" w:eastAsia="uk-UA"/>
        </w:rPr>
        <w:t>у</w:t>
      </w:r>
      <w:r>
        <w:rPr>
          <w:b w:val="0"/>
          <w:bCs w:val="0"/>
          <w:sz w:val="28"/>
          <w:szCs w:val="28"/>
          <w:lang w:val="uk-UA" w:eastAsia="uk-UA"/>
        </w:rPr>
        <w:t xml:space="preserve"> </w:t>
      </w:r>
      <w:r w:rsidRPr="00200CDC">
        <w:rPr>
          <w:b w:val="0"/>
          <w:bCs w:val="0"/>
          <w:sz w:val="28"/>
          <w:szCs w:val="28"/>
          <w:lang w:val="uk-UA" w:eastAsia="uk-UA"/>
        </w:rPr>
        <w:t>X</w:t>
      </w:r>
      <w:r>
        <w:rPr>
          <w:b w:val="0"/>
          <w:bCs w:val="0"/>
          <w:sz w:val="28"/>
          <w:szCs w:val="28"/>
          <w:lang w:val="uk-UA" w:eastAsia="uk-UA"/>
        </w:rPr>
        <w:t xml:space="preserve"> </w:t>
      </w:r>
      <w:r w:rsidRPr="00200CDC">
        <w:rPr>
          <w:b w:val="0"/>
          <w:bCs w:val="0"/>
          <w:sz w:val="28"/>
          <w:szCs w:val="28"/>
          <w:lang w:val="uk-UA" w:eastAsia="uk-UA"/>
        </w:rPr>
        <w:t>доповнити новим абзацом такого змісту:</w:t>
      </w:r>
    </w:p>
    <w:p w14:paraId="06903758" w14:textId="1A739DB8" w:rsidR="00200CDC" w:rsidRDefault="00200CDC" w:rsidP="00200CDC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>
        <w:rPr>
          <w:b w:val="0"/>
          <w:bCs w:val="0"/>
          <w:sz w:val="28"/>
          <w:szCs w:val="28"/>
          <w:lang w:val="uk-UA" w:eastAsia="uk-UA"/>
        </w:rPr>
        <w:t>«</w:t>
      </w:r>
      <w:r w:rsidRPr="00200CDC">
        <w:rPr>
          <w:b w:val="0"/>
          <w:bCs w:val="0"/>
          <w:sz w:val="28"/>
          <w:szCs w:val="28"/>
          <w:lang w:val="uk-UA" w:eastAsia="uk-UA"/>
        </w:rPr>
        <w:t>У разі необхідності встановлення єдиної структури тарифів на послуги розподілу природного газу на всю територію провадження господарської діяльності ліцензіата Оператор ГРМ додатково до документів про встановлення (перегляд) тариф</w:t>
      </w:r>
      <w:r w:rsidR="00050536">
        <w:rPr>
          <w:b w:val="0"/>
          <w:bCs w:val="0"/>
          <w:sz w:val="28"/>
          <w:szCs w:val="28"/>
          <w:lang w:val="uk-UA" w:eastAsia="uk-UA"/>
        </w:rPr>
        <w:t>у</w:t>
      </w:r>
      <w:r w:rsidRPr="00200CDC">
        <w:rPr>
          <w:b w:val="0"/>
          <w:bCs w:val="0"/>
          <w:sz w:val="28"/>
          <w:szCs w:val="28"/>
          <w:lang w:val="uk-UA" w:eastAsia="uk-UA"/>
        </w:rPr>
        <w:t xml:space="preserve"> на послуги розподілу природного газу на </w:t>
      </w:r>
      <w:r w:rsidR="00033701">
        <w:rPr>
          <w:b w:val="0"/>
          <w:bCs w:val="0"/>
          <w:sz w:val="28"/>
          <w:szCs w:val="28"/>
          <w:lang w:val="uk-UA" w:eastAsia="uk-UA"/>
        </w:rPr>
        <w:t xml:space="preserve">кожну </w:t>
      </w:r>
      <w:r w:rsidRPr="00200CDC">
        <w:rPr>
          <w:b w:val="0"/>
          <w:bCs w:val="0"/>
          <w:sz w:val="28"/>
          <w:szCs w:val="28"/>
          <w:lang w:val="uk-UA" w:eastAsia="uk-UA"/>
        </w:rPr>
        <w:t>окрем</w:t>
      </w:r>
      <w:r w:rsidR="00033701">
        <w:rPr>
          <w:b w:val="0"/>
          <w:bCs w:val="0"/>
          <w:sz w:val="28"/>
          <w:szCs w:val="28"/>
          <w:lang w:val="uk-UA" w:eastAsia="uk-UA"/>
        </w:rPr>
        <w:t>у</w:t>
      </w:r>
      <w:r w:rsidRPr="00200CDC">
        <w:rPr>
          <w:b w:val="0"/>
          <w:bCs w:val="0"/>
          <w:sz w:val="28"/>
          <w:szCs w:val="28"/>
          <w:lang w:val="uk-UA" w:eastAsia="uk-UA"/>
        </w:rPr>
        <w:t xml:space="preserve"> частин</w:t>
      </w:r>
      <w:r w:rsidR="00033701">
        <w:rPr>
          <w:b w:val="0"/>
          <w:bCs w:val="0"/>
          <w:sz w:val="28"/>
          <w:szCs w:val="28"/>
          <w:lang w:val="uk-UA" w:eastAsia="uk-UA"/>
        </w:rPr>
        <w:t>у</w:t>
      </w:r>
      <w:r w:rsidRPr="00200CDC">
        <w:rPr>
          <w:b w:val="0"/>
          <w:bCs w:val="0"/>
          <w:sz w:val="28"/>
          <w:szCs w:val="28"/>
          <w:lang w:val="uk-UA" w:eastAsia="uk-UA"/>
        </w:rPr>
        <w:t xml:space="preserve"> місць провадження господарської діяльності подає до НКРЕКП заяву про встановлення тарифу на послуги розподілу природного газу та </w:t>
      </w:r>
      <w:r w:rsidR="00033701">
        <w:rPr>
          <w:b w:val="0"/>
          <w:bCs w:val="0"/>
          <w:sz w:val="28"/>
          <w:szCs w:val="28"/>
          <w:lang w:val="uk-UA" w:eastAsia="uk-UA"/>
        </w:rPr>
        <w:t xml:space="preserve">документи, </w:t>
      </w:r>
      <w:r w:rsidR="00033701" w:rsidRPr="00200CDC">
        <w:rPr>
          <w:b w:val="0"/>
          <w:bCs w:val="0"/>
          <w:sz w:val="28"/>
          <w:szCs w:val="28"/>
          <w:lang w:val="uk-UA" w:eastAsia="uk-UA"/>
        </w:rPr>
        <w:t>визначен</w:t>
      </w:r>
      <w:r w:rsidR="00033701">
        <w:rPr>
          <w:b w:val="0"/>
          <w:bCs w:val="0"/>
          <w:sz w:val="28"/>
          <w:szCs w:val="28"/>
          <w:lang w:val="uk-UA" w:eastAsia="uk-UA"/>
        </w:rPr>
        <w:t>і</w:t>
      </w:r>
      <w:r w:rsidR="00033701" w:rsidRPr="00200CDC">
        <w:rPr>
          <w:b w:val="0"/>
          <w:bCs w:val="0"/>
          <w:sz w:val="28"/>
          <w:szCs w:val="28"/>
          <w:lang w:val="uk-UA" w:eastAsia="uk-UA"/>
        </w:rPr>
        <w:t xml:space="preserve"> пунктом 6 цього розділу</w:t>
      </w:r>
      <w:r w:rsidR="00033701">
        <w:rPr>
          <w:b w:val="0"/>
          <w:bCs w:val="0"/>
          <w:sz w:val="28"/>
          <w:szCs w:val="28"/>
          <w:lang w:val="uk-UA" w:eastAsia="uk-UA"/>
        </w:rPr>
        <w:t>, які</w:t>
      </w:r>
      <w:r w:rsidR="00DB795B">
        <w:rPr>
          <w:b w:val="0"/>
          <w:bCs w:val="0"/>
          <w:sz w:val="28"/>
          <w:szCs w:val="28"/>
          <w:lang w:val="uk-UA" w:eastAsia="uk-UA"/>
        </w:rPr>
        <w:t xml:space="preserve"> міст</w:t>
      </w:r>
      <w:r w:rsidR="00033701">
        <w:rPr>
          <w:b w:val="0"/>
          <w:bCs w:val="0"/>
          <w:sz w:val="28"/>
          <w:szCs w:val="28"/>
          <w:lang w:val="uk-UA" w:eastAsia="uk-UA"/>
        </w:rPr>
        <w:t>ять</w:t>
      </w:r>
      <w:r w:rsidR="00DB795B">
        <w:rPr>
          <w:b w:val="0"/>
          <w:bCs w:val="0"/>
          <w:sz w:val="28"/>
          <w:szCs w:val="28"/>
          <w:lang w:val="uk-UA" w:eastAsia="uk-UA"/>
        </w:rPr>
        <w:t xml:space="preserve"> консолідовані дані</w:t>
      </w:r>
      <w:r w:rsidRPr="00200CDC">
        <w:rPr>
          <w:b w:val="0"/>
          <w:bCs w:val="0"/>
          <w:sz w:val="28"/>
          <w:szCs w:val="28"/>
          <w:lang w:val="uk-UA" w:eastAsia="uk-UA"/>
        </w:rPr>
        <w:t>.</w:t>
      </w:r>
      <w:r>
        <w:rPr>
          <w:b w:val="0"/>
          <w:bCs w:val="0"/>
          <w:sz w:val="28"/>
          <w:szCs w:val="28"/>
          <w:lang w:val="uk-UA" w:eastAsia="uk-UA"/>
        </w:rPr>
        <w:t>»</w:t>
      </w:r>
      <w:r w:rsidR="00DB795B">
        <w:rPr>
          <w:b w:val="0"/>
          <w:bCs w:val="0"/>
          <w:sz w:val="28"/>
          <w:szCs w:val="28"/>
          <w:lang w:val="uk-UA" w:eastAsia="uk-UA"/>
        </w:rPr>
        <w:t>.</w:t>
      </w:r>
    </w:p>
    <w:p w14:paraId="6B340401" w14:textId="77777777" w:rsidR="00200CDC" w:rsidRDefault="00200CDC" w:rsidP="00200CDC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</w:p>
    <w:p w14:paraId="386D40E5" w14:textId="77777777" w:rsidR="00964084" w:rsidRPr="00DE6B3C" w:rsidRDefault="000853FF" w:rsidP="00964084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DE6B3C">
        <w:rPr>
          <w:sz w:val="28"/>
          <w:szCs w:val="28"/>
          <w:lang w:val="uk-UA" w:eastAsia="uk-UA"/>
        </w:rPr>
        <w:t>2</w:t>
      </w:r>
      <w:r w:rsidR="0013721F" w:rsidRPr="00DE6B3C">
        <w:rPr>
          <w:sz w:val="28"/>
          <w:szCs w:val="28"/>
          <w:lang w:val="uk-UA" w:eastAsia="uk-UA"/>
        </w:rPr>
        <w:t xml:space="preserve">. </w:t>
      </w:r>
      <w:r w:rsidR="00964084" w:rsidRPr="00DE6B3C">
        <w:rPr>
          <w:sz w:val="28"/>
          <w:szCs w:val="28"/>
          <w:lang w:val="uk-UA" w:eastAsia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525F5899" w14:textId="77777777" w:rsidR="00964084" w:rsidRPr="00DE6B3C" w:rsidRDefault="001F4AD0" w:rsidP="00964084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DE6B3C">
        <w:rPr>
          <w:sz w:val="28"/>
          <w:szCs w:val="28"/>
          <w:lang w:val="uk-UA" w:eastAsia="uk-UA"/>
        </w:rPr>
        <w:t xml:space="preserve"> </w:t>
      </w:r>
    </w:p>
    <w:p w14:paraId="2ED6C365" w14:textId="77777777" w:rsidR="00964084" w:rsidRPr="00DE6B3C" w:rsidRDefault="00964084" w:rsidP="00964084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</w:p>
    <w:p w14:paraId="69EB80E0" w14:textId="18A81D57" w:rsidR="0013721F" w:rsidRPr="00DE6B3C" w:rsidRDefault="0013721F" w:rsidP="0013721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DE6B3C">
        <w:rPr>
          <w:b w:val="0"/>
          <w:sz w:val="28"/>
          <w:szCs w:val="28"/>
          <w:lang w:val="uk-UA"/>
        </w:rPr>
        <w:t>Голова НКРЕКП</w:t>
      </w:r>
      <w:r w:rsidRPr="00DE6B3C">
        <w:rPr>
          <w:b w:val="0"/>
          <w:sz w:val="28"/>
          <w:szCs w:val="28"/>
          <w:lang w:val="uk-UA"/>
        </w:rPr>
        <w:tab/>
      </w:r>
      <w:r w:rsidRPr="00DE6B3C">
        <w:rPr>
          <w:b w:val="0"/>
          <w:sz w:val="28"/>
          <w:szCs w:val="28"/>
          <w:lang w:val="uk-UA"/>
        </w:rPr>
        <w:tab/>
      </w:r>
      <w:r w:rsidRPr="00DE6B3C">
        <w:rPr>
          <w:b w:val="0"/>
          <w:sz w:val="28"/>
          <w:szCs w:val="28"/>
          <w:lang w:val="uk-UA"/>
        </w:rPr>
        <w:tab/>
      </w:r>
      <w:r w:rsidRPr="00DE6B3C">
        <w:rPr>
          <w:b w:val="0"/>
          <w:sz w:val="28"/>
          <w:szCs w:val="28"/>
          <w:lang w:val="uk-UA"/>
        </w:rPr>
        <w:tab/>
      </w:r>
      <w:r w:rsidRPr="00DE6B3C">
        <w:rPr>
          <w:b w:val="0"/>
          <w:sz w:val="28"/>
          <w:szCs w:val="28"/>
          <w:lang w:val="uk-UA"/>
        </w:rPr>
        <w:tab/>
      </w:r>
      <w:r w:rsidRPr="00DE6B3C">
        <w:rPr>
          <w:b w:val="0"/>
          <w:sz w:val="28"/>
          <w:szCs w:val="28"/>
          <w:lang w:val="uk-UA"/>
        </w:rPr>
        <w:tab/>
      </w:r>
      <w:r w:rsidR="00B835B3">
        <w:rPr>
          <w:b w:val="0"/>
          <w:sz w:val="28"/>
          <w:szCs w:val="28"/>
          <w:lang w:val="uk-UA"/>
        </w:rPr>
        <w:tab/>
      </w:r>
      <w:r w:rsidR="00B835B3">
        <w:rPr>
          <w:b w:val="0"/>
          <w:sz w:val="28"/>
          <w:szCs w:val="28"/>
          <w:lang w:val="uk-UA"/>
        </w:rPr>
        <w:tab/>
      </w:r>
      <w:r w:rsidR="00540EC2" w:rsidRPr="00DE6B3C">
        <w:rPr>
          <w:rFonts w:eastAsia="Times New Roman"/>
          <w:b w:val="0"/>
          <w:bCs w:val="0"/>
          <w:position w:val="-1"/>
          <w:sz w:val="28"/>
          <w:szCs w:val="28"/>
          <w:lang w:val="uk-UA"/>
        </w:rPr>
        <w:t>Юрій ВЛАСЕНКО</w:t>
      </w:r>
    </w:p>
    <w:sectPr w:rsidR="0013721F" w:rsidRPr="00DE6B3C" w:rsidSect="00842EB9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D5BA5" w14:textId="77777777" w:rsidR="006D0630" w:rsidRDefault="006D0630">
      <w:r>
        <w:separator/>
      </w:r>
    </w:p>
  </w:endnote>
  <w:endnote w:type="continuationSeparator" w:id="0">
    <w:p w14:paraId="6BE97BEB" w14:textId="77777777" w:rsidR="006D0630" w:rsidRDefault="006D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cademy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A8A15" w14:textId="77777777" w:rsidR="006D0630" w:rsidRDefault="006D0630">
      <w:r>
        <w:separator/>
      </w:r>
    </w:p>
  </w:footnote>
  <w:footnote w:type="continuationSeparator" w:id="0">
    <w:p w14:paraId="76BCF7C9" w14:textId="77777777" w:rsidR="006D0630" w:rsidRDefault="006D0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A123B" w14:textId="77777777" w:rsidR="00B16CA2" w:rsidRDefault="00015565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4E9A071F" w14:textId="77777777" w:rsidR="00B16CA2" w:rsidRDefault="00B16CA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9F7F0" w14:textId="77777777" w:rsidR="00B16CA2" w:rsidRDefault="00015565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1E99">
      <w:rPr>
        <w:rStyle w:val="a6"/>
        <w:noProof/>
      </w:rPr>
      <w:t>2</w:t>
    </w:r>
    <w:r>
      <w:rPr>
        <w:rStyle w:val="a6"/>
      </w:rPr>
      <w:fldChar w:fldCharType="end"/>
    </w:r>
  </w:p>
  <w:p w14:paraId="0C297F24" w14:textId="77777777" w:rsidR="00B16CA2" w:rsidRDefault="00B16CA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3AB29" w14:textId="263761AA" w:rsidR="00B84F6D" w:rsidRPr="00B84F6D" w:rsidRDefault="00B84F6D" w:rsidP="00B84F6D">
    <w:pPr>
      <w:pStyle w:val="a4"/>
      <w:jc w:val="right"/>
      <w:rPr>
        <w:lang w:val="uk-UA"/>
      </w:rPr>
    </w:pPr>
    <w:r w:rsidRPr="00B84F6D">
      <w:rPr>
        <w:lang w:val="uk-UA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21F"/>
    <w:rsid w:val="00015565"/>
    <w:rsid w:val="00020D11"/>
    <w:rsid w:val="00033701"/>
    <w:rsid w:val="00050536"/>
    <w:rsid w:val="0005470E"/>
    <w:rsid w:val="00077AB9"/>
    <w:rsid w:val="000853FF"/>
    <w:rsid w:val="000D0A6D"/>
    <w:rsid w:val="000D6A8B"/>
    <w:rsid w:val="00123272"/>
    <w:rsid w:val="0013721F"/>
    <w:rsid w:val="00192AD6"/>
    <w:rsid w:val="001F4AD0"/>
    <w:rsid w:val="00200CDC"/>
    <w:rsid w:val="00261DD3"/>
    <w:rsid w:val="002968CB"/>
    <w:rsid w:val="002A5539"/>
    <w:rsid w:val="002B04A2"/>
    <w:rsid w:val="002E2875"/>
    <w:rsid w:val="003755A1"/>
    <w:rsid w:val="003A476C"/>
    <w:rsid w:val="00445AF6"/>
    <w:rsid w:val="00477FD4"/>
    <w:rsid w:val="004F4F17"/>
    <w:rsid w:val="0051236C"/>
    <w:rsid w:val="00540EC2"/>
    <w:rsid w:val="00563E8E"/>
    <w:rsid w:val="00640E50"/>
    <w:rsid w:val="00671A27"/>
    <w:rsid w:val="006750A3"/>
    <w:rsid w:val="006B0B4F"/>
    <w:rsid w:val="006D0630"/>
    <w:rsid w:val="006F3B05"/>
    <w:rsid w:val="007257B6"/>
    <w:rsid w:val="00750259"/>
    <w:rsid w:val="0078613A"/>
    <w:rsid w:val="007A0987"/>
    <w:rsid w:val="007C77C9"/>
    <w:rsid w:val="007D1A8A"/>
    <w:rsid w:val="007E1E99"/>
    <w:rsid w:val="007F01CD"/>
    <w:rsid w:val="00844CB6"/>
    <w:rsid w:val="00906644"/>
    <w:rsid w:val="009067FD"/>
    <w:rsid w:val="00926A67"/>
    <w:rsid w:val="00930F4B"/>
    <w:rsid w:val="00964084"/>
    <w:rsid w:val="009F7B24"/>
    <w:rsid w:val="00A767D1"/>
    <w:rsid w:val="00AA4FD0"/>
    <w:rsid w:val="00B11E31"/>
    <w:rsid w:val="00B16CA2"/>
    <w:rsid w:val="00B31DB8"/>
    <w:rsid w:val="00B37DBD"/>
    <w:rsid w:val="00B835B3"/>
    <w:rsid w:val="00B84F6D"/>
    <w:rsid w:val="00BC2926"/>
    <w:rsid w:val="00C526ED"/>
    <w:rsid w:val="00D725CC"/>
    <w:rsid w:val="00DA5EFC"/>
    <w:rsid w:val="00DB21A0"/>
    <w:rsid w:val="00DB795B"/>
    <w:rsid w:val="00DB7E24"/>
    <w:rsid w:val="00DC7C9C"/>
    <w:rsid w:val="00DE6B3C"/>
    <w:rsid w:val="00DF587B"/>
    <w:rsid w:val="00E9763C"/>
    <w:rsid w:val="00EA6EAB"/>
    <w:rsid w:val="00EC04B9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5BDF1"/>
  <w15:chartTrackingRefBased/>
  <w15:docId w15:val="{3497D019-F9E7-460D-AF4B-245378E0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2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13721F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721F"/>
    <w:rPr>
      <w:rFonts w:ascii="Times New Roman" w:eastAsia="Calibri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rsid w:val="0013721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3721F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13721F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ій колонтитул Знак"/>
    <w:basedOn w:val="a0"/>
    <w:link w:val="a4"/>
    <w:rsid w:val="0013721F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6">
    <w:name w:val="page number"/>
    <w:basedOn w:val="a0"/>
    <w:rsid w:val="0013721F"/>
  </w:style>
  <w:style w:type="paragraph" w:styleId="a7">
    <w:name w:val="Balloon Text"/>
    <w:basedOn w:val="a"/>
    <w:link w:val="a8"/>
    <w:uiPriority w:val="99"/>
    <w:semiHidden/>
    <w:unhideWhenUsed/>
    <w:rsid w:val="007C77C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C77C9"/>
    <w:rPr>
      <w:rFonts w:ascii="Segoe UI" w:eastAsia="Calibri" w:hAnsi="Segoe UI" w:cs="Segoe UI"/>
      <w:sz w:val="18"/>
      <w:szCs w:val="18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40E50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40E50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1636</Words>
  <Characters>933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Андрій Максимов</cp:lastModifiedBy>
  <cp:revision>7</cp:revision>
  <cp:lastPrinted>2025-11-05T11:50:00Z</cp:lastPrinted>
  <dcterms:created xsi:type="dcterms:W3CDTF">2025-11-05T11:46:00Z</dcterms:created>
  <dcterms:modified xsi:type="dcterms:W3CDTF">2025-11-11T07:53:00Z</dcterms:modified>
</cp:coreProperties>
</file>