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1A761" w14:textId="510E6403" w:rsidR="001D099A" w:rsidRPr="00914CFF" w:rsidRDefault="001D099A" w:rsidP="00CA09A6">
      <w:pPr>
        <w:tabs>
          <w:tab w:val="left" w:pos="5812"/>
          <w:tab w:val="left" w:pos="9355"/>
        </w:tabs>
        <w:ind w:left="5954" w:right="-1"/>
        <w:rPr>
          <w:sz w:val="28"/>
          <w:szCs w:val="28"/>
          <w:lang w:val="uk-UA"/>
        </w:rPr>
      </w:pPr>
      <w:r w:rsidRPr="00914CFF">
        <w:rPr>
          <w:sz w:val="28"/>
          <w:szCs w:val="28"/>
          <w:lang w:val="uk-UA"/>
        </w:rPr>
        <w:t>ЗАТВЕРДЖЕНО</w:t>
      </w:r>
    </w:p>
    <w:p w14:paraId="760F1352" w14:textId="77777777" w:rsidR="001D099A" w:rsidRPr="00914CFF" w:rsidRDefault="001D099A" w:rsidP="00CA09A6">
      <w:pPr>
        <w:tabs>
          <w:tab w:val="left" w:pos="5812"/>
          <w:tab w:val="left" w:pos="9355"/>
        </w:tabs>
        <w:ind w:left="5954" w:right="-1"/>
        <w:rPr>
          <w:sz w:val="28"/>
          <w:szCs w:val="28"/>
          <w:lang w:val="uk-UA"/>
        </w:rPr>
      </w:pPr>
      <w:r w:rsidRPr="00914CFF">
        <w:rPr>
          <w:sz w:val="28"/>
          <w:szCs w:val="28"/>
          <w:lang w:val="uk-UA"/>
        </w:rPr>
        <w:t>Постанова Національної комісії, що здійснює державне регулювання у сферах енергетики та комунальних послуг</w:t>
      </w:r>
    </w:p>
    <w:p w14:paraId="3B651DE3" w14:textId="7AD8EF6F" w:rsidR="001D099A" w:rsidRPr="00914CFF" w:rsidRDefault="001D099A" w:rsidP="00CA09A6">
      <w:pPr>
        <w:tabs>
          <w:tab w:val="left" w:pos="5812"/>
          <w:tab w:val="left" w:pos="9355"/>
        </w:tabs>
        <w:ind w:left="5954" w:right="-1"/>
        <w:rPr>
          <w:sz w:val="28"/>
          <w:szCs w:val="28"/>
          <w:lang w:val="uk-UA"/>
        </w:rPr>
      </w:pPr>
      <w:r w:rsidRPr="00914CFF">
        <w:rPr>
          <w:sz w:val="28"/>
          <w:szCs w:val="28"/>
          <w:lang w:val="uk-UA"/>
        </w:rPr>
        <w:t>_____________№_______</w:t>
      </w:r>
    </w:p>
    <w:p w14:paraId="313852ED" w14:textId="77777777" w:rsidR="00DF7497" w:rsidRPr="00914CFF" w:rsidRDefault="00DF7497" w:rsidP="00CA09A6">
      <w:pPr>
        <w:tabs>
          <w:tab w:val="left" w:pos="5812"/>
          <w:tab w:val="left" w:pos="9355"/>
        </w:tabs>
        <w:ind w:left="5954" w:right="-1"/>
        <w:rPr>
          <w:sz w:val="28"/>
          <w:szCs w:val="28"/>
          <w:lang w:val="uk-UA"/>
        </w:rPr>
      </w:pPr>
    </w:p>
    <w:p w14:paraId="58D2102F" w14:textId="77777777" w:rsidR="0084085D" w:rsidRPr="00914CFF" w:rsidRDefault="001D099A" w:rsidP="00CA09A6">
      <w:pPr>
        <w:pStyle w:val="2"/>
        <w:spacing w:before="0" w:beforeAutospacing="0" w:after="0" w:afterAutospacing="0"/>
        <w:jc w:val="center"/>
        <w:rPr>
          <w:sz w:val="28"/>
          <w:szCs w:val="28"/>
          <w:lang w:val="uk-UA" w:eastAsia="uk-UA"/>
        </w:rPr>
      </w:pPr>
      <w:r w:rsidRPr="00914CFF">
        <w:rPr>
          <w:sz w:val="28"/>
          <w:szCs w:val="28"/>
          <w:lang w:val="uk-UA" w:eastAsia="uk-UA"/>
        </w:rPr>
        <w:t xml:space="preserve">Зміни </w:t>
      </w:r>
    </w:p>
    <w:p w14:paraId="29AB608C" w14:textId="2C1AB2B0" w:rsidR="00487B19" w:rsidRPr="00914CFF" w:rsidRDefault="00487B19" w:rsidP="00CA09A6">
      <w:pPr>
        <w:pStyle w:val="2"/>
        <w:spacing w:before="0" w:beforeAutospacing="0" w:after="0" w:afterAutospacing="0"/>
        <w:jc w:val="center"/>
        <w:rPr>
          <w:sz w:val="28"/>
          <w:szCs w:val="28"/>
          <w:lang w:val="uk-UA" w:eastAsia="uk-UA"/>
        </w:rPr>
      </w:pPr>
      <w:r w:rsidRPr="00914CFF">
        <w:rPr>
          <w:sz w:val="28"/>
          <w:szCs w:val="28"/>
          <w:lang w:val="uk-UA" w:eastAsia="uk-UA"/>
        </w:rPr>
        <w:t xml:space="preserve">до </w:t>
      </w:r>
      <w:r w:rsidR="00914CFF" w:rsidRPr="00914CFF">
        <w:rPr>
          <w:sz w:val="28"/>
          <w:szCs w:val="28"/>
          <w:lang w:val="uk-UA" w:eastAsia="uk-UA"/>
        </w:rPr>
        <w:t>Методики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w:t>
      </w:r>
    </w:p>
    <w:p w14:paraId="6B0D0B55" w14:textId="77777777" w:rsidR="00914CFF" w:rsidRPr="00914CFF" w:rsidRDefault="00914CFF" w:rsidP="00CA09A6">
      <w:pPr>
        <w:pStyle w:val="2"/>
        <w:spacing w:before="0" w:beforeAutospacing="0" w:after="0" w:afterAutospacing="0"/>
        <w:jc w:val="center"/>
        <w:rPr>
          <w:sz w:val="28"/>
          <w:szCs w:val="28"/>
          <w:lang w:val="uk-UA" w:eastAsia="uk-UA"/>
        </w:rPr>
      </w:pPr>
    </w:p>
    <w:p w14:paraId="4BB667AD" w14:textId="77777777" w:rsidR="007C593F" w:rsidRDefault="00914CFF" w:rsidP="00914CFF">
      <w:pPr>
        <w:ind w:firstLine="709"/>
        <w:jc w:val="both"/>
        <w:rPr>
          <w:sz w:val="28"/>
          <w:szCs w:val="28"/>
          <w:lang w:val="uk-UA" w:eastAsia="uk-UA"/>
        </w:rPr>
      </w:pPr>
      <w:r>
        <w:rPr>
          <w:sz w:val="28"/>
          <w:szCs w:val="28"/>
          <w:lang w:val="uk-UA" w:eastAsia="uk-UA"/>
        </w:rPr>
        <w:t xml:space="preserve">1. </w:t>
      </w:r>
      <w:r w:rsidRPr="00914CFF">
        <w:rPr>
          <w:sz w:val="28"/>
          <w:szCs w:val="28"/>
          <w:lang w:val="uk-UA" w:eastAsia="uk-UA"/>
        </w:rPr>
        <w:t>У розділі ІІ</w:t>
      </w:r>
      <w:r w:rsidR="007C593F">
        <w:rPr>
          <w:sz w:val="28"/>
          <w:szCs w:val="28"/>
          <w:lang w:val="uk-UA" w:eastAsia="uk-UA"/>
        </w:rPr>
        <w:t>:</w:t>
      </w:r>
    </w:p>
    <w:p w14:paraId="1F120F76" w14:textId="2C2F2F17" w:rsidR="00914CFF" w:rsidRPr="00914CFF" w:rsidRDefault="00914CFF" w:rsidP="00914CFF">
      <w:pPr>
        <w:ind w:firstLine="709"/>
        <w:jc w:val="both"/>
        <w:rPr>
          <w:sz w:val="28"/>
          <w:szCs w:val="28"/>
          <w:lang w:val="uk-UA" w:eastAsia="uk-UA"/>
        </w:rPr>
      </w:pPr>
      <w:r w:rsidRPr="00914CFF">
        <w:rPr>
          <w:sz w:val="28"/>
          <w:szCs w:val="28"/>
          <w:lang w:val="uk-UA" w:eastAsia="uk-UA"/>
        </w:rPr>
        <w:t>абзац дев’ятий пункту 2 викласти в такій редакції:</w:t>
      </w:r>
    </w:p>
    <w:p w14:paraId="12E7D293" w14:textId="77777777" w:rsidR="00914CFF" w:rsidRPr="00914CFF" w:rsidRDefault="00914CFF" w:rsidP="00914CFF">
      <w:pPr>
        <w:ind w:firstLine="708"/>
        <w:jc w:val="both"/>
        <w:rPr>
          <w:sz w:val="28"/>
          <w:szCs w:val="28"/>
          <w:lang w:val="uk-UA" w:eastAsia="uk-UA"/>
        </w:rPr>
      </w:pPr>
      <w:r w:rsidRPr="00914CFF">
        <w:rPr>
          <w:sz w:val="28"/>
          <w:szCs w:val="28"/>
          <w:lang w:val="uk-UA" w:eastAsia="uk-UA"/>
        </w:rPr>
        <w:t>«Економія операційних контрольованих витрат використовується ліцензіатом відповідно до Методики визначення сум додатково отриманого або недоотриманого доходу від здійснення діяльності із транспортування природного газу для оператора газотранспортної системи, який перейшов на стимулююче регулювання, що є додатком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НКРЕКП від 14 червня 2018 року № 428.»;</w:t>
      </w:r>
    </w:p>
    <w:p w14:paraId="6286076D" w14:textId="77777777" w:rsidR="00914CFF" w:rsidRPr="00914CFF" w:rsidRDefault="00914CFF" w:rsidP="00914CFF">
      <w:pPr>
        <w:ind w:firstLine="708"/>
        <w:jc w:val="both"/>
        <w:rPr>
          <w:sz w:val="28"/>
          <w:szCs w:val="28"/>
          <w:lang w:val="uk-UA" w:eastAsia="uk-UA"/>
        </w:rPr>
      </w:pPr>
    </w:p>
    <w:p w14:paraId="3DCDE017" w14:textId="706BEBF0" w:rsidR="00914CFF" w:rsidRDefault="00914CFF" w:rsidP="00914CFF">
      <w:pPr>
        <w:ind w:firstLine="708"/>
        <w:jc w:val="both"/>
        <w:rPr>
          <w:sz w:val="28"/>
          <w:szCs w:val="28"/>
          <w:lang w:val="uk-UA" w:eastAsia="uk-UA"/>
        </w:rPr>
      </w:pPr>
      <w:r>
        <w:rPr>
          <w:sz w:val="28"/>
          <w:szCs w:val="28"/>
          <w:lang w:val="uk-UA" w:eastAsia="uk-UA"/>
        </w:rPr>
        <w:t>2. У розділі ІІІ:</w:t>
      </w:r>
    </w:p>
    <w:p w14:paraId="060694DF" w14:textId="77777777" w:rsidR="00914CFF" w:rsidRDefault="00914CFF" w:rsidP="00914CFF">
      <w:pPr>
        <w:ind w:firstLine="708"/>
        <w:jc w:val="both"/>
        <w:rPr>
          <w:sz w:val="28"/>
          <w:szCs w:val="28"/>
          <w:lang w:val="uk-UA" w:eastAsia="uk-UA"/>
        </w:rPr>
      </w:pPr>
    </w:p>
    <w:p w14:paraId="5DD2D3E4" w14:textId="745E2DF7" w:rsidR="00914CFF" w:rsidRDefault="007C593F" w:rsidP="00914CFF">
      <w:pPr>
        <w:ind w:firstLine="708"/>
        <w:jc w:val="both"/>
        <w:rPr>
          <w:sz w:val="28"/>
          <w:szCs w:val="28"/>
          <w:lang w:val="uk-UA" w:eastAsia="uk-UA"/>
        </w:rPr>
      </w:pPr>
      <w:r>
        <w:rPr>
          <w:sz w:val="28"/>
          <w:szCs w:val="28"/>
          <w:lang w:val="uk-UA" w:eastAsia="uk-UA"/>
        </w:rPr>
        <w:t xml:space="preserve">1) </w:t>
      </w:r>
      <w:r w:rsidR="00914CFF">
        <w:rPr>
          <w:sz w:val="28"/>
          <w:szCs w:val="28"/>
          <w:lang w:val="uk-UA" w:eastAsia="uk-UA"/>
        </w:rPr>
        <w:t>у пункті 3:</w:t>
      </w:r>
    </w:p>
    <w:p w14:paraId="0023BB81" w14:textId="77777777" w:rsidR="00914CFF" w:rsidRPr="00A036BC" w:rsidRDefault="00914CFF" w:rsidP="00914CFF">
      <w:pPr>
        <w:pStyle w:val="a5"/>
        <w:tabs>
          <w:tab w:val="left" w:pos="851"/>
          <w:tab w:val="left" w:pos="993"/>
        </w:tabs>
        <w:spacing w:before="0" w:beforeAutospacing="0" w:after="0" w:afterAutospacing="0"/>
        <w:ind w:firstLine="708"/>
        <w:jc w:val="both"/>
        <w:rPr>
          <w:sz w:val="28"/>
          <w:szCs w:val="28"/>
        </w:rPr>
      </w:pPr>
      <w:r w:rsidRPr="00A036BC">
        <w:rPr>
          <w:sz w:val="28"/>
          <w:szCs w:val="28"/>
        </w:rPr>
        <w:t>в абзаці першому слова «можуть бути віднесені» замінити словом «відносяться»;</w:t>
      </w:r>
    </w:p>
    <w:p w14:paraId="75DCFC6E" w14:textId="258D78C1" w:rsidR="00914CFF" w:rsidRPr="00A036BC" w:rsidRDefault="00914CFF" w:rsidP="00914CFF">
      <w:pPr>
        <w:pStyle w:val="a5"/>
        <w:tabs>
          <w:tab w:val="left" w:pos="709"/>
          <w:tab w:val="left" w:pos="993"/>
        </w:tabs>
        <w:spacing w:before="0" w:beforeAutospacing="0" w:after="0" w:afterAutospacing="0"/>
        <w:ind w:firstLine="708"/>
        <w:jc w:val="both"/>
        <w:rPr>
          <w:color w:val="EE0000"/>
          <w:sz w:val="28"/>
          <w:szCs w:val="28"/>
        </w:rPr>
      </w:pPr>
      <w:r w:rsidRPr="00A036BC">
        <w:rPr>
          <w:color w:val="000000" w:themeColor="text1"/>
          <w:sz w:val="28"/>
          <w:szCs w:val="28"/>
        </w:rPr>
        <w:t xml:space="preserve">після абзацу першого </w:t>
      </w:r>
      <w:r w:rsidRPr="00A036BC">
        <w:rPr>
          <w:sz w:val="28"/>
          <w:szCs w:val="28"/>
        </w:rPr>
        <w:t xml:space="preserve">доповнити </w:t>
      </w:r>
      <w:r w:rsidR="004315B5" w:rsidRPr="0059751E">
        <w:rPr>
          <w:sz w:val="28"/>
          <w:szCs w:val="28"/>
        </w:rPr>
        <w:t>новим</w:t>
      </w:r>
      <w:r w:rsidR="004315B5">
        <w:rPr>
          <w:sz w:val="28"/>
          <w:szCs w:val="28"/>
        </w:rPr>
        <w:t xml:space="preserve"> </w:t>
      </w:r>
      <w:r w:rsidRPr="00A036BC">
        <w:rPr>
          <w:sz w:val="28"/>
          <w:szCs w:val="28"/>
        </w:rPr>
        <w:t>підпунктом 1 такого змісту:</w:t>
      </w:r>
    </w:p>
    <w:p w14:paraId="39CD0D7C" w14:textId="77777777" w:rsidR="00914CFF" w:rsidRPr="00A036BC" w:rsidRDefault="00914CFF" w:rsidP="00914CFF">
      <w:pPr>
        <w:pStyle w:val="a5"/>
        <w:tabs>
          <w:tab w:val="left" w:pos="851"/>
          <w:tab w:val="left" w:pos="993"/>
        </w:tabs>
        <w:spacing w:before="0" w:beforeAutospacing="0" w:after="0" w:afterAutospacing="0"/>
        <w:ind w:firstLine="708"/>
        <w:jc w:val="both"/>
        <w:rPr>
          <w:sz w:val="28"/>
          <w:szCs w:val="28"/>
        </w:rPr>
      </w:pPr>
      <w:r w:rsidRPr="00A036BC">
        <w:rPr>
          <w:sz w:val="28"/>
          <w:szCs w:val="28"/>
        </w:rPr>
        <w:t>«1) відхилення планованого необхідного доходу, врахованого при визначенні та розрахунку тарифів на послуги транспортування природного газу, від фактичного доходу ліцензіата від здійснення діяльності з транспортування природного газу, у тому числі за рахунок: застосування коефіцієнтів, які враховують період та сезон замовлення потужності; надання права користування потужністю з обмеженнями, у тому числі плата за зміну умов (обмежень) користування потужністю з обмеженнями; отримання доходу у вигляді аукціонної надбавки від проведення процедури розподілу потужності в рамках аукціону; підтримання тиску природного газу в газотранспортній системі на заданому рівні відповідно до додатково укладених договорів;».</w:t>
      </w:r>
    </w:p>
    <w:p w14:paraId="0A8B2A23" w14:textId="77777777" w:rsidR="00914CFF" w:rsidRPr="00914CFF" w:rsidRDefault="00914CFF" w:rsidP="00914CFF">
      <w:pPr>
        <w:pStyle w:val="a5"/>
        <w:tabs>
          <w:tab w:val="left" w:pos="851"/>
          <w:tab w:val="left" w:pos="993"/>
        </w:tabs>
        <w:spacing w:before="0" w:beforeAutospacing="0" w:after="0" w:afterAutospacing="0"/>
        <w:ind w:firstLine="708"/>
        <w:jc w:val="both"/>
        <w:rPr>
          <w:sz w:val="28"/>
          <w:szCs w:val="28"/>
        </w:rPr>
      </w:pPr>
      <w:r w:rsidRPr="00914CFF">
        <w:rPr>
          <w:sz w:val="28"/>
          <w:szCs w:val="28"/>
        </w:rPr>
        <w:t>У зв’язку з цим підпункти 1 – 6 вважати відповідно підпунктами 2 – 7;</w:t>
      </w:r>
    </w:p>
    <w:p w14:paraId="17DC3D42" w14:textId="77777777" w:rsidR="00914CFF" w:rsidRPr="00914CFF" w:rsidRDefault="00914CFF" w:rsidP="00914CFF">
      <w:pPr>
        <w:ind w:firstLine="708"/>
        <w:jc w:val="both"/>
        <w:rPr>
          <w:sz w:val="28"/>
          <w:szCs w:val="28"/>
          <w:lang w:val="uk-UA" w:eastAsia="uk-UA"/>
        </w:rPr>
      </w:pPr>
      <w:r w:rsidRPr="00914CFF">
        <w:rPr>
          <w:sz w:val="28"/>
          <w:szCs w:val="28"/>
          <w:lang w:val="uk-UA" w:eastAsia="uk-UA"/>
        </w:rPr>
        <w:lastRenderedPageBreak/>
        <w:t>в абзаці шостому підпункту 2 після слова «прибутком» доповнити словами «на регуляторну базу активів»;</w:t>
      </w:r>
    </w:p>
    <w:p w14:paraId="7726DDD2" w14:textId="77777777" w:rsidR="00914CFF" w:rsidRPr="00914CFF" w:rsidRDefault="00914CFF" w:rsidP="00914CFF">
      <w:pPr>
        <w:ind w:firstLine="708"/>
        <w:jc w:val="both"/>
        <w:rPr>
          <w:sz w:val="28"/>
          <w:szCs w:val="28"/>
          <w:lang w:val="uk-UA" w:eastAsia="uk-UA"/>
        </w:rPr>
      </w:pPr>
      <w:r w:rsidRPr="00914CFF">
        <w:rPr>
          <w:sz w:val="28"/>
          <w:szCs w:val="28"/>
          <w:lang w:val="uk-UA" w:eastAsia="uk-UA"/>
        </w:rPr>
        <w:t>абзац восьмий виключити;</w:t>
      </w:r>
    </w:p>
    <w:p w14:paraId="2CBFFB8E" w14:textId="27D4A29B" w:rsidR="00914CFF" w:rsidRPr="00914CFF" w:rsidRDefault="00914CFF" w:rsidP="00914CFF">
      <w:pPr>
        <w:ind w:firstLine="708"/>
        <w:jc w:val="both"/>
        <w:rPr>
          <w:sz w:val="28"/>
          <w:szCs w:val="28"/>
          <w:lang w:val="uk-UA" w:eastAsia="uk-UA"/>
        </w:rPr>
      </w:pPr>
      <w:r w:rsidRPr="00914CFF">
        <w:rPr>
          <w:sz w:val="28"/>
          <w:szCs w:val="28"/>
          <w:lang w:val="uk-UA" w:eastAsia="uk-UA"/>
        </w:rPr>
        <w:t xml:space="preserve">підпункти 5 – 7 </w:t>
      </w:r>
      <w:r>
        <w:rPr>
          <w:sz w:val="28"/>
          <w:szCs w:val="28"/>
          <w:lang w:val="uk-UA" w:eastAsia="uk-UA"/>
        </w:rPr>
        <w:t xml:space="preserve">замінити </w:t>
      </w:r>
      <w:r w:rsidR="0059751E">
        <w:rPr>
          <w:sz w:val="28"/>
          <w:szCs w:val="28"/>
          <w:lang w:val="uk-UA" w:eastAsia="uk-UA"/>
        </w:rPr>
        <w:t xml:space="preserve">одним </w:t>
      </w:r>
      <w:r w:rsidR="004315B5" w:rsidRPr="0059751E">
        <w:rPr>
          <w:sz w:val="28"/>
          <w:szCs w:val="28"/>
          <w:lang w:val="uk-UA" w:eastAsia="uk-UA"/>
        </w:rPr>
        <w:t>новим</w:t>
      </w:r>
      <w:r w:rsidR="004315B5">
        <w:rPr>
          <w:sz w:val="28"/>
          <w:szCs w:val="28"/>
          <w:lang w:val="uk-UA" w:eastAsia="uk-UA"/>
        </w:rPr>
        <w:t xml:space="preserve"> </w:t>
      </w:r>
      <w:r>
        <w:rPr>
          <w:sz w:val="28"/>
          <w:szCs w:val="28"/>
          <w:lang w:val="uk-UA" w:eastAsia="uk-UA"/>
        </w:rPr>
        <w:t>підпунктом 5 такого змісту:</w:t>
      </w:r>
    </w:p>
    <w:p w14:paraId="2A91217D" w14:textId="77777777" w:rsidR="00914CFF" w:rsidRPr="00914CFF" w:rsidRDefault="00914CFF" w:rsidP="00914CFF">
      <w:pPr>
        <w:ind w:firstLine="708"/>
        <w:jc w:val="both"/>
        <w:rPr>
          <w:sz w:val="28"/>
          <w:szCs w:val="28"/>
          <w:lang w:val="uk-UA" w:eastAsia="uk-UA"/>
        </w:rPr>
      </w:pPr>
      <w:r w:rsidRPr="00914CFF">
        <w:rPr>
          <w:sz w:val="28"/>
          <w:szCs w:val="28"/>
          <w:lang w:val="uk-UA" w:eastAsia="uk-UA"/>
        </w:rPr>
        <w:t>«5) різниця між планованою амортизацією, врахованою при встановленні тарифів на послуги транспортування природного газу, та величиною річної амортизації, яка є джерелом фінансування заходів затвердженої інвестиційної програми Оператора газотранспортної системи (далі – економія амортизаційних відрахувань).</w:t>
      </w:r>
    </w:p>
    <w:p w14:paraId="1CBE7E19" w14:textId="77777777" w:rsidR="00914CFF" w:rsidRPr="00914CFF" w:rsidRDefault="00914CFF" w:rsidP="00914CFF">
      <w:pPr>
        <w:ind w:firstLine="708"/>
        <w:jc w:val="both"/>
        <w:rPr>
          <w:sz w:val="28"/>
          <w:szCs w:val="28"/>
          <w:lang w:val="uk-UA" w:eastAsia="uk-UA"/>
        </w:rPr>
      </w:pPr>
      <w:r w:rsidRPr="00914CFF">
        <w:rPr>
          <w:sz w:val="28"/>
          <w:szCs w:val="28"/>
          <w:lang w:val="uk-UA" w:eastAsia="uk-UA"/>
        </w:rPr>
        <w:t>Економія амортизаційних відрахувань відноситься до складу регуляторного рахунку або субрахунку регуляторного рахунку за весь регуляторний період за результатами передостаннього року регуляторного періоду.»;</w:t>
      </w:r>
    </w:p>
    <w:p w14:paraId="52F835B6" w14:textId="77777777" w:rsidR="00914CFF" w:rsidRPr="00914CFF" w:rsidRDefault="00914CFF" w:rsidP="00914CFF">
      <w:pPr>
        <w:ind w:firstLine="708"/>
        <w:jc w:val="both"/>
        <w:rPr>
          <w:sz w:val="28"/>
          <w:szCs w:val="28"/>
          <w:lang w:val="uk-UA" w:eastAsia="uk-UA"/>
        </w:rPr>
      </w:pPr>
    </w:p>
    <w:p w14:paraId="17315C8A" w14:textId="4889C68B" w:rsidR="00914CFF" w:rsidRPr="00914CFF" w:rsidRDefault="007C593F" w:rsidP="00914CFF">
      <w:pPr>
        <w:ind w:firstLine="708"/>
        <w:jc w:val="both"/>
        <w:rPr>
          <w:sz w:val="28"/>
          <w:szCs w:val="28"/>
          <w:lang w:val="uk-UA" w:eastAsia="uk-UA"/>
        </w:rPr>
      </w:pPr>
      <w:r>
        <w:rPr>
          <w:sz w:val="28"/>
          <w:szCs w:val="28"/>
          <w:lang w:val="uk-UA" w:eastAsia="uk-UA"/>
        </w:rPr>
        <w:t>2</w:t>
      </w:r>
      <w:r w:rsidR="00914CFF" w:rsidRPr="00914CFF">
        <w:rPr>
          <w:sz w:val="28"/>
          <w:szCs w:val="28"/>
          <w:lang w:val="uk-UA" w:eastAsia="uk-UA"/>
        </w:rPr>
        <w:t>) пункт 7</w:t>
      </w:r>
      <w:r w:rsidR="00914CFF">
        <w:rPr>
          <w:sz w:val="28"/>
          <w:szCs w:val="28"/>
          <w:lang w:val="uk-UA" w:eastAsia="uk-UA"/>
        </w:rPr>
        <w:t xml:space="preserve"> виключити</w:t>
      </w:r>
      <w:r w:rsidR="0022453F">
        <w:rPr>
          <w:sz w:val="28"/>
          <w:szCs w:val="28"/>
          <w:lang w:val="uk-UA" w:eastAsia="uk-UA"/>
        </w:rPr>
        <w:t>.</w:t>
      </w:r>
    </w:p>
    <w:p w14:paraId="5BB7D04E" w14:textId="77777777" w:rsidR="00914CFF" w:rsidRPr="00914CFF" w:rsidRDefault="00914CFF" w:rsidP="00914CFF">
      <w:pPr>
        <w:ind w:firstLine="708"/>
        <w:jc w:val="both"/>
        <w:rPr>
          <w:sz w:val="28"/>
          <w:szCs w:val="28"/>
          <w:lang w:val="uk-UA" w:eastAsia="uk-UA"/>
        </w:rPr>
      </w:pPr>
      <w:r w:rsidRPr="00914CFF">
        <w:rPr>
          <w:sz w:val="28"/>
          <w:szCs w:val="28"/>
          <w:lang w:val="uk-UA" w:eastAsia="uk-UA"/>
        </w:rPr>
        <w:t>У зв'язку з цим пункти 8 та 9 вважати відповідно пунктами 7 та 8;</w:t>
      </w:r>
    </w:p>
    <w:p w14:paraId="35BF26B0" w14:textId="77777777" w:rsidR="00914CFF" w:rsidRPr="00914CFF" w:rsidRDefault="00914CFF" w:rsidP="00914CFF">
      <w:pPr>
        <w:ind w:firstLine="708"/>
        <w:jc w:val="both"/>
        <w:rPr>
          <w:sz w:val="28"/>
          <w:szCs w:val="28"/>
          <w:lang w:val="uk-UA" w:eastAsia="uk-UA"/>
        </w:rPr>
      </w:pPr>
    </w:p>
    <w:p w14:paraId="013C0C6D" w14:textId="106741D5" w:rsidR="00914CFF" w:rsidRPr="00914CFF" w:rsidRDefault="007C593F" w:rsidP="00914CFF">
      <w:pPr>
        <w:ind w:firstLine="708"/>
        <w:jc w:val="both"/>
        <w:rPr>
          <w:sz w:val="28"/>
          <w:szCs w:val="28"/>
          <w:lang w:val="uk-UA" w:eastAsia="uk-UA"/>
        </w:rPr>
      </w:pPr>
      <w:r>
        <w:rPr>
          <w:sz w:val="28"/>
          <w:szCs w:val="28"/>
          <w:lang w:val="uk-UA" w:eastAsia="uk-UA"/>
        </w:rPr>
        <w:t>3</w:t>
      </w:r>
      <w:r w:rsidR="00914CFF" w:rsidRPr="00914CFF">
        <w:rPr>
          <w:sz w:val="28"/>
          <w:szCs w:val="28"/>
          <w:lang w:val="uk-UA" w:eastAsia="uk-UA"/>
        </w:rPr>
        <w:t>) додатки 20 та 21 замінити одним новим додатком 20, що додається.</w:t>
      </w:r>
    </w:p>
    <w:p w14:paraId="214A6B9B" w14:textId="77777777" w:rsidR="007248CE" w:rsidRPr="00914CFF" w:rsidRDefault="007248CE" w:rsidP="007248CE">
      <w:pPr>
        <w:ind w:firstLine="708"/>
        <w:jc w:val="both"/>
        <w:rPr>
          <w:sz w:val="28"/>
          <w:szCs w:val="28"/>
          <w:lang w:val="uk-UA" w:eastAsia="uk-UA"/>
        </w:rPr>
      </w:pPr>
    </w:p>
    <w:p w14:paraId="3F0EDA0C" w14:textId="77777777" w:rsidR="007248CE" w:rsidRPr="00914CFF" w:rsidRDefault="007248CE" w:rsidP="007248CE">
      <w:pPr>
        <w:jc w:val="center"/>
        <w:rPr>
          <w:sz w:val="28"/>
          <w:szCs w:val="28"/>
          <w:lang w:val="uk-UA" w:eastAsia="uk-UA"/>
        </w:rPr>
      </w:pPr>
      <w:r w:rsidRPr="00914CFF">
        <w:rPr>
          <w:sz w:val="28"/>
          <w:szCs w:val="28"/>
          <w:lang w:val="uk-UA" w:eastAsia="uk-UA"/>
        </w:rPr>
        <w:t>_____________________________</w:t>
      </w:r>
    </w:p>
    <w:p w14:paraId="349FAD8B" w14:textId="77777777" w:rsidR="000C3A98" w:rsidRPr="00914CFF" w:rsidRDefault="000C3A98" w:rsidP="00CA09A6">
      <w:pPr>
        <w:pStyle w:val="2"/>
        <w:spacing w:before="0" w:beforeAutospacing="0" w:after="0" w:afterAutospacing="0"/>
        <w:jc w:val="both"/>
        <w:rPr>
          <w:b w:val="0"/>
          <w:bCs w:val="0"/>
          <w:sz w:val="28"/>
          <w:szCs w:val="28"/>
          <w:lang w:val="uk-UA"/>
        </w:rPr>
      </w:pPr>
    </w:p>
    <w:sectPr w:rsidR="000C3A98" w:rsidRPr="00914CFF" w:rsidSect="00BE7BAF">
      <w:headerReference w:type="default" r:id="rId8"/>
      <w:pgSz w:w="11906" w:h="16838"/>
      <w:pgMar w:top="1134" w:right="964"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211833" w14:textId="77777777" w:rsidR="00FA5437" w:rsidRDefault="00FA5437" w:rsidP="00406E4F">
      <w:r>
        <w:separator/>
      </w:r>
    </w:p>
  </w:endnote>
  <w:endnote w:type="continuationSeparator" w:id="0">
    <w:p w14:paraId="0216AD54" w14:textId="77777777" w:rsidR="00FA5437" w:rsidRDefault="00FA5437" w:rsidP="00406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17DCF" w14:textId="77777777" w:rsidR="00FA5437" w:rsidRDefault="00FA5437" w:rsidP="00406E4F">
      <w:r>
        <w:separator/>
      </w:r>
    </w:p>
  </w:footnote>
  <w:footnote w:type="continuationSeparator" w:id="0">
    <w:p w14:paraId="22D2751D" w14:textId="77777777" w:rsidR="00FA5437" w:rsidRDefault="00FA5437" w:rsidP="00406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5036338"/>
      <w:docPartObj>
        <w:docPartGallery w:val="Page Numbers (Top of Page)"/>
        <w:docPartUnique/>
      </w:docPartObj>
    </w:sdtPr>
    <w:sdtEndPr/>
    <w:sdtContent>
      <w:p w14:paraId="367B3523" w14:textId="4D59B73C" w:rsidR="00406E4F" w:rsidRDefault="00406E4F">
        <w:pPr>
          <w:pStyle w:val="a8"/>
          <w:jc w:val="center"/>
        </w:pPr>
        <w:r>
          <w:fldChar w:fldCharType="begin"/>
        </w:r>
        <w:r>
          <w:instrText>PAGE   \* MERGEFORMAT</w:instrText>
        </w:r>
        <w:r>
          <w:fldChar w:fldCharType="separate"/>
        </w:r>
        <w:r w:rsidR="0023216C" w:rsidRPr="0023216C">
          <w:rPr>
            <w:noProof/>
            <w:lang w:val="uk-UA"/>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45B14"/>
    <w:multiLevelType w:val="hybridMultilevel"/>
    <w:tmpl w:val="0896E706"/>
    <w:lvl w:ilvl="0" w:tplc="0419000F">
      <w:start w:val="1"/>
      <w:numFmt w:val="decimal"/>
      <w:lvlText w:val="%1."/>
      <w:lvlJc w:val="left"/>
      <w:pPr>
        <w:ind w:left="579"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 w15:restartNumberingAfterBreak="0">
    <w:nsid w:val="0CFD6CA4"/>
    <w:multiLevelType w:val="hybridMultilevel"/>
    <w:tmpl w:val="369A12F6"/>
    <w:lvl w:ilvl="0" w:tplc="EE4ED86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0ED12748"/>
    <w:multiLevelType w:val="hybridMultilevel"/>
    <w:tmpl w:val="6F884312"/>
    <w:lvl w:ilvl="0" w:tplc="804EC78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247140C6"/>
    <w:multiLevelType w:val="hybridMultilevel"/>
    <w:tmpl w:val="B896E1C0"/>
    <w:lvl w:ilvl="0" w:tplc="554CB2A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3AB6165F"/>
    <w:multiLevelType w:val="hybridMultilevel"/>
    <w:tmpl w:val="EB20CD06"/>
    <w:lvl w:ilvl="0" w:tplc="94AAA636">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5" w15:restartNumberingAfterBreak="0">
    <w:nsid w:val="3C902927"/>
    <w:multiLevelType w:val="hybridMultilevel"/>
    <w:tmpl w:val="ABF6B02C"/>
    <w:lvl w:ilvl="0" w:tplc="C590D71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6" w15:restartNumberingAfterBreak="0">
    <w:nsid w:val="4DF90C9C"/>
    <w:multiLevelType w:val="hybridMultilevel"/>
    <w:tmpl w:val="ABEE7544"/>
    <w:lvl w:ilvl="0" w:tplc="4434F85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7" w15:restartNumberingAfterBreak="0">
    <w:nsid w:val="51D807DF"/>
    <w:multiLevelType w:val="hybridMultilevel"/>
    <w:tmpl w:val="4DA07036"/>
    <w:lvl w:ilvl="0" w:tplc="1A7079C8">
      <w:start w:val="1"/>
      <w:numFmt w:val="decimal"/>
      <w:lvlText w:val="%1."/>
      <w:lvlJc w:val="left"/>
      <w:pPr>
        <w:ind w:left="1113" w:hanging="40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53330DBB"/>
    <w:multiLevelType w:val="hybridMultilevel"/>
    <w:tmpl w:val="15163202"/>
    <w:lvl w:ilvl="0" w:tplc="EA80C77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5D205E10"/>
    <w:multiLevelType w:val="hybridMultilevel"/>
    <w:tmpl w:val="B73CECEA"/>
    <w:lvl w:ilvl="0" w:tplc="A27CFC7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15:restartNumberingAfterBreak="0">
    <w:nsid w:val="616936F8"/>
    <w:multiLevelType w:val="hybridMultilevel"/>
    <w:tmpl w:val="89ECB906"/>
    <w:lvl w:ilvl="0" w:tplc="3DD8FC8E">
      <w:start w:val="1"/>
      <w:numFmt w:val="decimal"/>
      <w:lvlText w:val="%1."/>
      <w:lvlJc w:val="left"/>
      <w:pPr>
        <w:ind w:left="1428" w:hanging="360"/>
      </w:pPr>
      <w:rPr>
        <w:rFonts w:hint="default"/>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11" w15:restartNumberingAfterBreak="0">
    <w:nsid w:val="63550BD3"/>
    <w:multiLevelType w:val="hybridMultilevel"/>
    <w:tmpl w:val="4978DC94"/>
    <w:lvl w:ilvl="0" w:tplc="8340BCF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15:restartNumberingAfterBreak="0">
    <w:nsid w:val="646719A2"/>
    <w:multiLevelType w:val="hybridMultilevel"/>
    <w:tmpl w:val="E8D61086"/>
    <w:lvl w:ilvl="0" w:tplc="4B848FD8">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16cid:durableId="990864202">
    <w:abstractNumId w:val="2"/>
  </w:num>
  <w:num w:numId="2" w16cid:durableId="1879975387">
    <w:abstractNumId w:val="0"/>
  </w:num>
  <w:num w:numId="3" w16cid:durableId="1455640384">
    <w:abstractNumId w:val="6"/>
  </w:num>
  <w:num w:numId="4" w16cid:durableId="999891431">
    <w:abstractNumId w:val="3"/>
  </w:num>
  <w:num w:numId="5" w16cid:durableId="1186556476">
    <w:abstractNumId w:val="8"/>
  </w:num>
  <w:num w:numId="6" w16cid:durableId="1981571370">
    <w:abstractNumId w:val="12"/>
  </w:num>
  <w:num w:numId="7" w16cid:durableId="723218290">
    <w:abstractNumId w:val="9"/>
  </w:num>
  <w:num w:numId="8" w16cid:durableId="9769130">
    <w:abstractNumId w:val="11"/>
  </w:num>
  <w:num w:numId="9" w16cid:durableId="118184813">
    <w:abstractNumId w:val="7"/>
  </w:num>
  <w:num w:numId="10" w16cid:durableId="1710031747">
    <w:abstractNumId w:val="10"/>
  </w:num>
  <w:num w:numId="11" w16cid:durableId="751658571">
    <w:abstractNumId w:val="4"/>
  </w:num>
  <w:num w:numId="12" w16cid:durableId="80808080">
    <w:abstractNumId w:val="5"/>
  </w:num>
  <w:num w:numId="13" w16cid:durableId="1368010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319"/>
    <w:rsid w:val="00002D1E"/>
    <w:rsid w:val="000113D0"/>
    <w:rsid w:val="000123CF"/>
    <w:rsid w:val="00012FB2"/>
    <w:rsid w:val="00015D05"/>
    <w:rsid w:val="00016D12"/>
    <w:rsid w:val="000224A4"/>
    <w:rsid w:val="00022BD7"/>
    <w:rsid w:val="000340D1"/>
    <w:rsid w:val="0003588D"/>
    <w:rsid w:val="00052C84"/>
    <w:rsid w:val="00064BDE"/>
    <w:rsid w:val="000751C6"/>
    <w:rsid w:val="0007650C"/>
    <w:rsid w:val="0008137F"/>
    <w:rsid w:val="000865C9"/>
    <w:rsid w:val="00086C81"/>
    <w:rsid w:val="000A3E93"/>
    <w:rsid w:val="000A5E5B"/>
    <w:rsid w:val="000B34D6"/>
    <w:rsid w:val="000B7221"/>
    <w:rsid w:val="000C05E5"/>
    <w:rsid w:val="000C3A98"/>
    <w:rsid w:val="000D3DD7"/>
    <w:rsid w:val="000D7C3B"/>
    <w:rsid w:val="000E6C6E"/>
    <w:rsid w:val="000F105A"/>
    <w:rsid w:val="00127514"/>
    <w:rsid w:val="00132529"/>
    <w:rsid w:val="00135AB0"/>
    <w:rsid w:val="00137405"/>
    <w:rsid w:val="00154AE7"/>
    <w:rsid w:val="00157F8C"/>
    <w:rsid w:val="00160BAD"/>
    <w:rsid w:val="00185ED0"/>
    <w:rsid w:val="00193E9B"/>
    <w:rsid w:val="001B519F"/>
    <w:rsid w:val="001B7349"/>
    <w:rsid w:val="001D099A"/>
    <w:rsid w:val="001D604D"/>
    <w:rsid w:val="001E385D"/>
    <w:rsid w:val="001F4A23"/>
    <w:rsid w:val="001F792D"/>
    <w:rsid w:val="0020478C"/>
    <w:rsid w:val="00204E3A"/>
    <w:rsid w:val="00207E39"/>
    <w:rsid w:val="0022453F"/>
    <w:rsid w:val="00224F12"/>
    <w:rsid w:val="0023216C"/>
    <w:rsid w:val="002406C6"/>
    <w:rsid w:val="0025118A"/>
    <w:rsid w:val="00252758"/>
    <w:rsid w:val="00253EDA"/>
    <w:rsid w:val="00261BA4"/>
    <w:rsid w:val="00271398"/>
    <w:rsid w:val="00282C56"/>
    <w:rsid w:val="00285AFC"/>
    <w:rsid w:val="00285C56"/>
    <w:rsid w:val="0028630B"/>
    <w:rsid w:val="00295E3E"/>
    <w:rsid w:val="002D3293"/>
    <w:rsid w:val="002D4D2D"/>
    <w:rsid w:val="002E7433"/>
    <w:rsid w:val="002E7968"/>
    <w:rsid w:val="003124E0"/>
    <w:rsid w:val="00315C60"/>
    <w:rsid w:val="0033078E"/>
    <w:rsid w:val="00333605"/>
    <w:rsid w:val="00343423"/>
    <w:rsid w:val="00344697"/>
    <w:rsid w:val="00346228"/>
    <w:rsid w:val="00352D91"/>
    <w:rsid w:val="003540E4"/>
    <w:rsid w:val="00372C6F"/>
    <w:rsid w:val="003746A0"/>
    <w:rsid w:val="0037541D"/>
    <w:rsid w:val="003A4111"/>
    <w:rsid w:val="003A6B99"/>
    <w:rsid w:val="003A72B0"/>
    <w:rsid w:val="003C0155"/>
    <w:rsid w:val="003C3B4B"/>
    <w:rsid w:val="003F3BF9"/>
    <w:rsid w:val="003F5CEF"/>
    <w:rsid w:val="00406E4F"/>
    <w:rsid w:val="00406E5D"/>
    <w:rsid w:val="00417617"/>
    <w:rsid w:val="004315B5"/>
    <w:rsid w:val="004331C7"/>
    <w:rsid w:val="0043486B"/>
    <w:rsid w:val="00447FBB"/>
    <w:rsid w:val="0045420A"/>
    <w:rsid w:val="004751C9"/>
    <w:rsid w:val="0048788D"/>
    <w:rsid w:val="00487B19"/>
    <w:rsid w:val="004A5DB2"/>
    <w:rsid w:val="004D27C5"/>
    <w:rsid w:val="004D4A5C"/>
    <w:rsid w:val="004E4E81"/>
    <w:rsid w:val="005036FF"/>
    <w:rsid w:val="00550426"/>
    <w:rsid w:val="00554C40"/>
    <w:rsid w:val="00580068"/>
    <w:rsid w:val="00591CED"/>
    <w:rsid w:val="0059751E"/>
    <w:rsid w:val="00597CC4"/>
    <w:rsid w:val="005A0E5A"/>
    <w:rsid w:val="005A3A4D"/>
    <w:rsid w:val="005A4AB5"/>
    <w:rsid w:val="005D4783"/>
    <w:rsid w:val="005D7565"/>
    <w:rsid w:val="005F09DB"/>
    <w:rsid w:val="006018AB"/>
    <w:rsid w:val="006025E6"/>
    <w:rsid w:val="00602CEA"/>
    <w:rsid w:val="006047F6"/>
    <w:rsid w:val="006063FF"/>
    <w:rsid w:val="00621E15"/>
    <w:rsid w:val="006252B3"/>
    <w:rsid w:val="00626FA8"/>
    <w:rsid w:val="00631BEF"/>
    <w:rsid w:val="00632EC9"/>
    <w:rsid w:val="00640070"/>
    <w:rsid w:val="0065569D"/>
    <w:rsid w:val="00660CFC"/>
    <w:rsid w:val="00685F12"/>
    <w:rsid w:val="00694D8C"/>
    <w:rsid w:val="006969BD"/>
    <w:rsid w:val="006B5CE6"/>
    <w:rsid w:val="006C32B5"/>
    <w:rsid w:val="006D5F1B"/>
    <w:rsid w:val="006E62E3"/>
    <w:rsid w:val="00705F2C"/>
    <w:rsid w:val="00710683"/>
    <w:rsid w:val="007150DF"/>
    <w:rsid w:val="007248CE"/>
    <w:rsid w:val="007425C7"/>
    <w:rsid w:val="0074336D"/>
    <w:rsid w:val="00765F38"/>
    <w:rsid w:val="00793DE6"/>
    <w:rsid w:val="007B4AEE"/>
    <w:rsid w:val="007B5E32"/>
    <w:rsid w:val="007C593F"/>
    <w:rsid w:val="007D2CE0"/>
    <w:rsid w:val="007D7321"/>
    <w:rsid w:val="008157F6"/>
    <w:rsid w:val="008209A6"/>
    <w:rsid w:val="008248E5"/>
    <w:rsid w:val="00833292"/>
    <w:rsid w:val="0084085D"/>
    <w:rsid w:val="0084578E"/>
    <w:rsid w:val="008569EA"/>
    <w:rsid w:val="00866960"/>
    <w:rsid w:val="00892DBE"/>
    <w:rsid w:val="008B1154"/>
    <w:rsid w:val="008C3D5F"/>
    <w:rsid w:val="008C4C49"/>
    <w:rsid w:val="008D06CE"/>
    <w:rsid w:val="008E0FE9"/>
    <w:rsid w:val="008E1E3A"/>
    <w:rsid w:val="008E47AB"/>
    <w:rsid w:val="0090216E"/>
    <w:rsid w:val="00911F31"/>
    <w:rsid w:val="00914CFF"/>
    <w:rsid w:val="0094164A"/>
    <w:rsid w:val="00943982"/>
    <w:rsid w:val="009479F0"/>
    <w:rsid w:val="00956358"/>
    <w:rsid w:val="00962DA3"/>
    <w:rsid w:val="0097642F"/>
    <w:rsid w:val="00990828"/>
    <w:rsid w:val="00995F6A"/>
    <w:rsid w:val="009B3B05"/>
    <w:rsid w:val="009D0163"/>
    <w:rsid w:val="009D78A4"/>
    <w:rsid w:val="009E061C"/>
    <w:rsid w:val="009F31F7"/>
    <w:rsid w:val="00A019FB"/>
    <w:rsid w:val="00A0247F"/>
    <w:rsid w:val="00A14DE3"/>
    <w:rsid w:val="00A17D73"/>
    <w:rsid w:val="00A20C8D"/>
    <w:rsid w:val="00A230AB"/>
    <w:rsid w:val="00A324BA"/>
    <w:rsid w:val="00A445F8"/>
    <w:rsid w:val="00A558AD"/>
    <w:rsid w:val="00A63965"/>
    <w:rsid w:val="00A93565"/>
    <w:rsid w:val="00AA454B"/>
    <w:rsid w:val="00AB2827"/>
    <w:rsid w:val="00AC0C95"/>
    <w:rsid w:val="00AC16AA"/>
    <w:rsid w:val="00AC58E1"/>
    <w:rsid w:val="00AD1789"/>
    <w:rsid w:val="00AF583F"/>
    <w:rsid w:val="00AF6A97"/>
    <w:rsid w:val="00B047D5"/>
    <w:rsid w:val="00B13781"/>
    <w:rsid w:val="00B1526D"/>
    <w:rsid w:val="00B20533"/>
    <w:rsid w:val="00B210D3"/>
    <w:rsid w:val="00B61314"/>
    <w:rsid w:val="00B736D0"/>
    <w:rsid w:val="00B842AD"/>
    <w:rsid w:val="00B965B9"/>
    <w:rsid w:val="00BA6C03"/>
    <w:rsid w:val="00BB1A6C"/>
    <w:rsid w:val="00BB49F6"/>
    <w:rsid w:val="00BD0E47"/>
    <w:rsid w:val="00BD2D3F"/>
    <w:rsid w:val="00BD6B79"/>
    <w:rsid w:val="00BE33AE"/>
    <w:rsid w:val="00BE4BD5"/>
    <w:rsid w:val="00BE7BAF"/>
    <w:rsid w:val="00C01C0E"/>
    <w:rsid w:val="00C05447"/>
    <w:rsid w:val="00C14CB4"/>
    <w:rsid w:val="00C176DD"/>
    <w:rsid w:val="00C269C3"/>
    <w:rsid w:val="00C302B3"/>
    <w:rsid w:val="00C37233"/>
    <w:rsid w:val="00C42A30"/>
    <w:rsid w:val="00C53544"/>
    <w:rsid w:val="00C53AC5"/>
    <w:rsid w:val="00C60522"/>
    <w:rsid w:val="00C71E57"/>
    <w:rsid w:val="00C7270B"/>
    <w:rsid w:val="00C83458"/>
    <w:rsid w:val="00C83E4F"/>
    <w:rsid w:val="00C90319"/>
    <w:rsid w:val="00C97F40"/>
    <w:rsid w:val="00CA04D5"/>
    <w:rsid w:val="00CA09A6"/>
    <w:rsid w:val="00CB24B1"/>
    <w:rsid w:val="00CF3808"/>
    <w:rsid w:val="00CF489E"/>
    <w:rsid w:val="00D2280B"/>
    <w:rsid w:val="00D22A6C"/>
    <w:rsid w:val="00D23D75"/>
    <w:rsid w:val="00D32705"/>
    <w:rsid w:val="00D606AE"/>
    <w:rsid w:val="00D71676"/>
    <w:rsid w:val="00D72514"/>
    <w:rsid w:val="00D80A8E"/>
    <w:rsid w:val="00D842A0"/>
    <w:rsid w:val="00D862CB"/>
    <w:rsid w:val="00D86332"/>
    <w:rsid w:val="00D908BD"/>
    <w:rsid w:val="00D92D19"/>
    <w:rsid w:val="00DB3EA1"/>
    <w:rsid w:val="00DB7FB5"/>
    <w:rsid w:val="00DD2E0C"/>
    <w:rsid w:val="00DF7497"/>
    <w:rsid w:val="00E30674"/>
    <w:rsid w:val="00E36314"/>
    <w:rsid w:val="00E508D0"/>
    <w:rsid w:val="00E548D9"/>
    <w:rsid w:val="00E65399"/>
    <w:rsid w:val="00E70893"/>
    <w:rsid w:val="00E7416E"/>
    <w:rsid w:val="00E972DB"/>
    <w:rsid w:val="00EA13AF"/>
    <w:rsid w:val="00EC1555"/>
    <w:rsid w:val="00ED0288"/>
    <w:rsid w:val="00ED6F90"/>
    <w:rsid w:val="00ED7F9C"/>
    <w:rsid w:val="00EE288F"/>
    <w:rsid w:val="00F06A1B"/>
    <w:rsid w:val="00F31CF5"/>
    <w:rsid w:val="00F60DF7"/>
    <w:rsid w:val="00F62AA7"/>
    <w:rsid w:val="00F76D15"/>
    <w:rsid w:val="00F82010"/>
    <w:rsid w:val="00F86C47"/>
    <w:rsid w:val="00F9600B"/>
    <w:rsid w:val="00FA0024"/>
    <w:rsid w:val="00FA5437"/>
    <w:rsid w:val="00FA697F"/>
    <w:rsid w:val="00FA71C5"/>
    <w:rsid w:val="00FB266C"/>
    <w:rsid w:val="00FF33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8B641"/>
  <w15:chartTrackingRefBased/>
  <w15:docId w15:val="{FF695FF1-AA49-457D-B614-3C567335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099A"/>
    <w:pPr>
      <w:spacing w:after="0" w:line="240" w:lineRule="auto"/>
    </w:pPr>
    <w:rPr>
      <w:rFonts w:ascii="Times New Roman" w:eastAsia="Calibri" w:hAnsi="Times New Roman" w:cs="Times New Roman"/>
      <w:sz w:val="24"/>
      <w:szCs w:val="24"/>
      <w:lang w:val="ru-RU" w:eastAsia="ru-RU"/>
    </w:rPr>
  </w:style>
  <w:style w:type="paragraph" w:styleId="2">
    <w:name w:val="heading 2"/>
    <w:basedOn w:val="a"/>
    <w:link w:val="20"/>
    <w:qFormat/>
    <w:rsid w:val="001D099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D099A"/>
    <w:rPr>
      <w:rFonts w:ascii="Times New Roman" w:eastAsia="Calibri" w:hAnsi="Times New Roman" w:cs="Times New Roman"/>
      <w:b/>
      <w:bCs/>
      <w:sz w:val="36"/>
      <w:szCs w:val="36"/>
      <w:lang w:val="ru-RU" w:eastAsia="ru-RU"/>
    </w:rPr>
  </w:style>
  <w:style w:type="paragraph" w:styleId="a3">
    <w:name w:val="List Paragraph"/>
    <w:basedOn w:val="a"/>
    <w:uiPriority w:val="34"/>
    <w:qFormat/>
    <w:rsid w:val="00185ED0"/>
    <w:pPr>
      <w:ind w:left="720"/>
      <w:contextualSpacing/>
    </w:pPr>
  </w:style>
  <w:style w:type="table" w:styleId="a4">
    <w:name w:val="Table Grid"/>
    <w:basedOn w:val="a1"/>
    <w:uiPriority w:val="39"/>
    <w:rsid w:val="00743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74336D"/>
    <w:pPr>
      <w:spacing w:before="100" w:beforeAutospacing="1" w:after="100" w:afterAutospacing="1"/>
    </w:pPr>
    <w:rPr>
      <w:rFonts w:eastAsia="Times New Roman"/>
      <w:lang w:val="uk-UA" w:eastAsia="uk-UA"/>
    </w:rPr>
  </w:style>
  <w:style w:type="paragraph" w:styleId="a6">
    <w:name w:val="Balloon Text"/>
    <w:basedOn w:val="a"/>
    <w:link w:val="a7"/>
    <w:uiPriority w:val="99"/>
    <w:semiHidden/>
    <w:unhideWhenUsed/>
    <w:rsid w:val="00344697"/>
    <w:rPr>
      <w:rFonts w:ascii="Segoe UI" w:hAnsi="Segoe UI" w:cs="Segoe UI"/>
      <w:sz w:val="18"/>
      <w:szCs w:val="18"/>
    </w:rPr>
  </w:style>
  <w:style w:type="character" w:customStyle="1" w:styleId="a7">
    <w:name w:val="Текст у виносці Знак"/>
    <w:basedOn w:val="a0"/>
    <w:link w:val="a6"/>
    <w:uiPriority w:val="99"/>
    <w:semiHidden/>
    <w:rsid w:val="00344697"/>
    <w:rPr>
      <w:rFonts w:ascii="Segoe UI" w:eastAsia="Calibri" w:hAnsi="Segoe UI" w:cs="Segoe UI"/>
      <w:sz w:val="18"/>
      <w:szCs w:val="18"/>
      <w:lang w:val="ru-RU" w:eastAsia="ru-RU"/>
    </w:rPr>
  </w:style>
  <w:style w:type="paragraph" w:styleId="a8">
    <w:name w:val="header"/>
    <w:basedOn w:val="a"/>
    <w:link w:val="a9"/>
    <w:uiPriority w:val="99"/>
    <w:unhideWhenUsed/>
    <w:rsid w:val="00406E4F"/>
    <w:pPr>
      <w:tabs>
        <w:tab w:val="center" w:pos="4819"/>
        <w:tab w:val="right" w:pos="9639"/>
      </w:tabs>
    </w:pPr>
  </w:style>
  <w:style w:type="character" w:customStyle="1" w:styleId="a9">
    <w:name w:val="Верхній колонтитул Знак"/>
    <w:basedOn w:val="a0"/>
    <w:link w:val="a8"/>
    <w:uiPriority w:val="99"/>
    <w:rsid w:val="00406E4F"/>
    <w:rPr>
      <w:rFonts w:ascii="Times New Roman" w:eastAsia="Calibri" w:hAnsi="Times New Roman" w:cs="Times New Roman"/>
      <w:sz w:val="24"/>
      <w:szCs w:val="24"/>
      <w:lang w:val="ru-RU" w:eastAsia="ru-RU"/>
    </w:rPr>
  </w:style>
  <w:style w:type="paragraph" w:styleId="aa">
    <w:name w:val="footer"/>
    <w:basedOn w:val="a"/>
    <w:link w:val="ab"/>
    <w:uiPriority w:val="99"/>
    <w:unhideWhenUsed/>
    <w:rsid w:val="00406E4F"/>
    <w:pPr>
      <w:tabs>
        <w:tab w:val="center" w:pos="4819"/>
        <w:tab w:val="right" w:pos="9639"/>
      </w:tabs>
    </w:pPr>
  </w:style>
  <w:style w:type="character" w:customStyle="1" w:styleId="ab">
    <w:name w:val="Нижній колонтитул Знак"/>
    <w:basedOn w:val="a0"/>
    <w:link w:val="aa"/>
    <w:uiPriority w:val="99"/>
    <w:rsid w:val="00406E4F"/>
    <w:rPr>
      <w:rFonts w:ascii="Times New Roman" w:eastAsia="Calibri" w:hAnsi="Times New Roman" w:cs="Times New Roman"/>
      <w:sz w:val="24"/>
      <w:szCs w:val="24"/>
      <w:lang w:val="ru-RU" w:eastAsia="ru-RU"/>
    </w:rPr>
  </w:style>
  <w:style w:type="character" w:styleId="ac">
    <w:name w:val="annotation reference"/>
    <w:basedOn w:val="a0"/>
    <w:uiPriority w:val="99"/>
    <w:semiHidden/>
    <w:unhideWhenUsed/>
    <w:rsid w:val="003C0155"/>
    <w:rPr>
      <w:sz w:val="16"/>
      <w:szCs w:val="16"/>
    </w:rPr>
  </w:style>
  <w:style w:type="paragraph" w:styleId="ad">
    <w:name w:val="annotation text"/>
    <w:basedOn w:val="a"/>
    <w:link w:val="ae"/>
    <w:uiPriority w:val="99"/>
    <w:unhideWhenUsed/>
    <w:rsid w:val="003C0155"/>
    <w:rPr>
      <w:sz w:val="20"/>
      <w:szCs w:val="20"/>
    </w:rPr>
  </w:style>
  <w:style w:type="character" w:customStyle="1" w:styleId="ae">
    <w:name w:val="Текст примітки Знак"/>
    <w:basedOn w:val="a0"/>
    <w:link w:val="ad"/>
    <w:uiPriority w:val="99"/>
    <w:rsid w:val="003C0155"/>
    <w:rPr>
      <w:rFonts w:ascii="Times New Roman" w:eastAsia="Calibri" w:hAnsi="Times New Roman" w:cs="Times New Roman"/>
      <w:sz w:val="20"/>
      <w:szCs w:val="20"/>
      <w:lang w:val="ru-RU" w:eastAsia="ru-RU"/>
    </w:rPr>
  </w:style>
  <w:style w:type="paragraph" w:styleId="af">
    <w:name w:val="annotation subject"/>
    <w:basedOn w:val="ad"/>
    <w:next w:val="ad"/>
    <w:link w:val="af0"/>
    <w:uiPriority w:val="99"/>
    <w:semiHidden/>
    <w:unhideWhenUsed/>
    <w:rsid w:val="003C0155"/>
    <w:rPr>
      <w:b/>
      <w:bCs/>
    </w:rPr>
  </w:style>
  <w:style w:type="character" w:customStyle="1" w:styleId="af0">
    <w:name w:val="Тема примітки Знак"/>
    <w:basedOn w:val="ae"/>
    <w:link w:val="af"/>
    <w:uiPriority w:val="99"/>
    <w:semiHidden/>
    <w:rsid w:val="003C0155"/>
    <w:rPr>
      <w:rFonts w:ascii="Times New Roman" w:eastAsia="Calibri" w:hAnsi="Times New Roman" w:cs="Times New Roman"/>
      <w:b/>
      <w:bCs/>
      <w:sz w:val="20"/>
      <w:szCs w:val="20"/>
      <w:lang w:val="ru-RU" w:eastAsia="ru-RU"/>
    </w:rPr>
  </w:style>
  <w:style w:type="character" w:styleId="af1">
    <w:name w:val="Hyperlink"/>
    <w:basedOn w:val="a0"/>
    <w:uiPriority w:val="99"/>
    <w:unhideWhenUsed/>
    <w:rsid w:val="004751C9"/>
    <w:rPr>
      <w:color w:val="0563C1" w:themeColor="hyperlink"/>
      <w:u w:val="single"/>
    </w:rPr>
  </w:style>
  <w:style w:type="paragraph" w:customStyle="1" w:styleId="rvps2">
    <w:name w:val="rvps2"/>
    <w:basedOn w:val="a"/>
    <w:rsid w:val="008D06CE"/>
    <w:pPr>
      <w:spacing w:before="100" w:beforeAutospacing="1" w:after="100" w:afterAutospacing="1"/>
    </w:pPr>
    <w:rPr>
      <w:rFonts w:eastAsia="Times New Roman"/>
      <w:lang w:val="uk-UA" w:eastAsia="uk-UA"/>
    </w:rPr>
  </w:style>
  <w:style w:type="character" w:customStyle="1" w:styleId="1">
    <w:name w:val="Незакрита згадка1"/>
    <w:basedOn w:val="a0"/>
    <w:uiPriority w:val="99"/>
    <w:semiHidden/>
    <w:unhideWhenUsed/>
    <w:rsid w:val="00487B19"/>
    <w:rPr>
      <w:color w:val="605E5C"/>
      <w:shd w:val="clear" w:color="auto" w:fill="E1DFDD"/>
    </w:rPr>
  </w:style>
  <w:style w:type="paragraph" w:styleId="af2">
    <w:name w:val="Revision"/>
    <w:hidden/>
    <w:uiPriority w:val="99"/>
    <w:semiHidden/>
    <w:rsid w:val="0084578E"/>
    <w:pPr>
      <w:spacing w:after="0" w:line="240" w:lineRule="auto"/>
    </w:pPr>
    <w:rPr>
      <w:rFonts w:ascii="Times New Roman" w:eastAsia="Calibri"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080976">
      <w:bodyDiv w:val="1"/>
      <w:marLeft w:val="0"/>
      <w:marRight w:val="0"/>
      <w:marTop w:val="0"/>
      <w:marBottom w:val="0"/>
      <w:divBdr>
        <w:top w:val="none" w:sz="0" w:space="0" w:color="auto"/>
        <w:left w:val="none" w:sz="0" w:space="0" w:color="auto"/>
        <w:bottom w:val="none" w:sz="0" w:space="0" w:color="auto"/>
        <w:right w:val="none" w:sz="0" w:space="0" w:color="auto"/>
      </w:divBdr>
    </w:div>
    <w:div w:id="889340659">
      <w:bodyDiv w:val="1"/>
      <w:marLeft w:val="0"/>
      <w:marRight w:val="0"/>
      <w:marTop w:val="0"/>
      <w:marBottom w:val="0"/>
      <w:divBdr>
        <w:top w:val="none" w:sz="0" w:space="0" w:color="auto"/>
        <w:left w:val="none" w:sz="0" w:space="0" w:color="auto"/>
        <w:bottom w:val="none" w:sz="0" w:space="0" w:color="auto"/>
        <w:right w:val="none" w:sz="0" w:space="0" w:color="auto"/>
      </w:divBdr>
    </w:div>
    <w:div w:id="918444253">
      <w:bodyDiv w:val="1"/>
      <w:marLeft w:val="0"/>
      <w:marRight w:val="0"/>
      <w:marTop w:val="0"/>
      <w:marBottom w:val="0"/>
      <w:divBdr>
        <w:top w:val="none" w:sz="0" w:space="0" w:color="auto"/>
        <w:left w:val="none" w:sz="0" w:space="0" w:color="auto"/>
        <w:bottom w:val="none" w:sz="0" w:space="0" w:color="auto"/>
        <w:right w:val="none" w:sz="0" w:space="0" w:color="auto"/>
      </w:divBdr>
    </w:div>
    <w:div w:id="1402827603">
      <w:bodyDiv w:val="1"/>
      <w:marLeft w:val="0"/>
      <w:marRight w:val="0"/>
      <w:marTop w:val="0"/>
      <w:marBottom w:val="0"/>
      <w:divBdr>
        <w:top w:val="none" w:sz="0" w:space="0" w:color="auto"/>
        <w:left w:val="none" w:sz="0" w:space="0" w:color="auto"/>
        <w:bottom w:val="none" w:sz="0" w:space="0" w:color="auto"/>
        <w:right w:val="none" w:sz="0" w:space="0" w:color="auto"/>
      </w:divBdr>
    </w:div>
    <w:div w:id="1693263142">
      <w:bodyDiv w:val="1"/>
      <w:marLeft w:val="0"/>
      <w:marRight w:val="0"/>
      <w:marTop w:val="0"/>
      <w:marBottom w:val="0"/>
      <w:divBdr>
        <w:top w:val="none" w:sz="0" w:space="0" w:color="auto"/>
        <w:left w:val="none" w:sz="0" w:space="0" w:color="auto"/>
        <w:bottom w:val="none" w:sz="0" w:space="0" w:color="auto"/>
        <w:right w:val="none" w:sz="0" w:space="0" w:color="auto"/>
      </w:divBdr>
    </w:div>
    <w:div w:id="209704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3ED2D-BB4A-4303-9F98-FC4B093D3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1780</Words>
  <Characters>1015</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Кулажина</dc:creator>
  <cp:keywords/>
  <dc:description/>
  <cp:lastModifiedBy>AI</cp:lastModifiedBy>
  <cp:revision>6</cp:revision>
  <cp:lastPrinted>2025-05-21T12:00:00Z</cp:lastPrinted>
  <dcterms:created xsi:type="dcterms:W3CDTF">2025-09-16T09:27:00Z</dcterms:created>
  <dcterms:modified xsi:type="dcterms:W3CDTF">2025-09-17T10:47:00Z</dcterms:modified>
</cp:coreProperties>
</file>