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8BB3D" w14:textId="3DDAFFA7" w:rsidR="00D10FC2" w:rsidRPr="00206BD2" w:rsidRDefault="005E73E8" w:rsidP="00742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  <w:r w:rsidRPr="00206BD2">
        <w:rPr>
          <w:rFonts w:ascii="Times New Roman" w:hAnsi="Times New Roman" w:cs="Times New Roman"/>
          <w:b/>
          <w:sz w:val="28"/>
          <w:lang w:val="uk-UA"/>
        </w:rPr>
        <w:t xml:space="preserve">Порівняльна таблиця до </w:t>
      </w:r>
      <w:proofErr w:type="spellStart"/>
      <w:r w:rsidRPr="00206BD2">
        <w:rPr>
          <w:rFonts w:ascii="Times New Roman" w:hAnsi="Times New Roman" w:cs="Times New Roman"/>
          <w:b/>
          <w:sz w:val="28"/>
          <w:lang w:val="uk-UA"/>
        </w:rPr>
        <w:t>про</w:t>
      </w:r>
      <w:r w:rsidR="00DB5C20" w:rsidRPr="00206BD2">
        <w:rPr>
          <w:rFonts w:ascii="Times New Roman" w:hAnsi="Times New Roman" w:cs="Times New Roman"/>
          <w:b/>
          <w:sz w:val="28"/>
          <w:lang w:val="uk-UA"/>
        </w:rPr>
        <w:t>є</w:t>
      </w:r>
      <w:r w:rsidRPr="00206BD2">
        <w:rPr>
          <w:rFonts w:ascii="Times New Roman" w:hAnsi="Times New Roman" w:cs="Times New Roman"/>
          <w:b/>
          <w:sz w:val="28"/>
          <w:lang w:val="uk-UA"/>
        </w:rPr>
        <w:t>кту</w:t>
      </w:r>
      <w:proofErr w:type="spellEnd"/>
      <w:r w:rsidRPr="00206BD2">
        <w:rPr>
          <w:rFonts w:ascii="Times New Roman" w:hAnsi="Times New Roman" w:cs="Times New Roman"/>
          <w:b/>
          <w:sz w:val="28"/>
          <w:lang w:val="uk-UA"/>
        </w:rPr>
        <w:t xml:space="preserve"> постанови НКРЕКП «Про </w:t>
      </w:r>
      <w:r w:rsidR="00D76A13" w:rsidRPr="00206BD2">
        <w:rPr>
          <w:rFonts w:ascii="Times New Roman" w:hAnsi="Times New Roman" w:cs="Times New Roman"/>
          <w:b/>
          <w:sz w:val="28"/>
          <w:lang w:val="uk-UA"/>
        </w:rPr>
        <w:t>внесення змін</w:t>
      </w:r>
      <w:r w:rsidR="00036C3A">
        <w:rPr>
          <w:rFonts w:ascii="Times New Roman" w:hAnsi="Times New Roman" w:cs="Times New Roman"/>
          <w:b/>
          <w:sz w:val="28"/>
          <w:lang w:val="uk-UA"/>
        </w:rPr>
        <w:t>и</w:t>
      </w:r>
      <w:r w:rsidR="00D76A13" w:rsidRPr="00206BD2">
        <w:rPr>
          <w:rFonts w:ascii="Times New Roman" w:hAnsi="Times New Roman" w:cs="Times New Roman"/>
          <w:b/>
          <w:sz w:val="28"/>
          <w:lang w:val="uk-UA"/>
        </w:rPr>
        <w:t xml:space="preserve"> до</w:t>
      </w:r>
      <w:r w:rsidR="00D76A13" w:rsidRPr="00206BD2">
        <w:rPr>
          <w:rFonts w:ascii="Times New Roman" w:hAnsi="Times New Roman" w:cs="Times New Roman"/>
          <w:b/>
          <w:sz w:val="28"/>
          <w:szCs w:val="24"/>
          <w:lang w:val="uk-UA"/>
        </w:rPr>
        <w:t xml:space="preserve"> Методики визначення та розрахунку тарифу на послуги розподілу природного газу</w:t>
      </w:r>
      <w:r w:rsidR="00D10FC2" w:rsidRPr="00206BD2">
        <w:rPr>
          <w:rFonts w:ascii="Times New Roman" w:hAnsi="Times New Roman" w:cs="Times New Roman"/>
          <w:b/>
          <w:sz w:val="28"/>
          <w:szCs w:val="24"/>
          <w:lang w:val="uk-UA"/>
        </w:rPr>
        <w:t xml:space="preserve">», </w:t>
      </w:r>
      <w:r w:rsidR="00D10FC2" w:rsidRPr="00206BD2">
        <w:rPr>
          <w:rFonts w:ascii="Times New Roman" w:hAnsi="Times New Roman" w:cs="Times New Roman"/>
          <w:b/>
          <w:sz w:val="28"/>
          <w:lang w:val="uk-UA"/>
        </w:rPr>
        <w:t xml:space="preserve">що має ознаки регуляторного </w:t>
      </w:r>
      <w:proofErr w:type="spellStart"/>
      <w:r w:rsidR="00D10FC2" w:rsidRPr="00206BD2">
        <w:rPr>
          <w:rFonts w:ascii="Times New Roman" w:hAnsi="Times New Roman" w:cs="Times New Roman"/>
          <w:b/>
          <w:sz w:val="28"/>
          <w:lang w:val="uk-UA"/>
        </w:rPr>
        <w:t>акта</w:t>
      </w:r>
      <w:proofErr w:type="spellEnd"/>
    </w:p>
    <w:p w14:paraId="3BFBB833" w14:textId="3F6E0CDA" w:rsidR="005E73E8" w:rsidRPr="00206BD2" w:rsidRDefault="005E73E8" w:rsidP="00742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p w14:paraId="42D651A5" w14:textId="77777777" w:rsidR="00AA31C1" w:rsidRPr="00206BD2" w:rsidRDefault="00AA31C1" w:rsidP="00742F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lang w:val="uk-UA"/>
        </w:rPr>
      </w:pPr>
    </w:p>
    <w:tbl>
      <w:tblPr>
        <w:tblStyle w:val="a3"/>
        <w:tblW w:w="15243" w:type="dxa"/>
        <w:jc w:val="center"/>
        <w:tblLayout w:type="fixed"/>
        <w:tblLook w:val="04A0" w:firstRow="1" w:lastRow="0" w:firstColumn="1" w:lastColumn="0" w:noHBand="0" w:noVBand="1"/>
      </w:tblPr>
      <w:tblGrid>
        <w:gridCol w:w="7650"/>
        <w:gridCol w:w="7581"/>
        <w:gridCol w:w="12"/>
      </w:tblGrid>
      <w:tr w:rsidR="003D3487" w:rsidRPr="00206BD2" w14:paraId="5F889EA9" w14:textId="77777777" w:rsidTr="006D4E1C">
        <w:trPr>
          <w:gridAfter w:val="1"/>
          <w:wAfter w:w="12" w:type="dxa"/>
          <w:jc w:val="center"/>
        </w:trPr>
        <w:tc>
          <w:tcPr>
            <w:tcW w:w="7650" w:type="dxa"/>
          </w:tcPr>
          <w:p w14:paraId="33070DF8" w14:textId="77777777" w:rsidR="003737EF" w:rsidRPr="00206BD2" w:rsidRDefault="00AA31C1" w:rsidP="00742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06BD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ЗМІСТ ДІЮЧОЇ РЕДАКЦІЇ НОРМАТИВНО-ПРАВОВОГО АКТУ</w:t>
            </w:r>
          </w:p>
        </w:tc>
        <w:tc>
          <w:tcPr>
            <w:tcW w:w="7581" w:type="dxa"/>
          </w:tcPr>
          <w:p w14:paraId="30AFB391" w14:textId="77777777" w:rsidR="003737EF" w:rsidRPr="00206BD2" w:rsidRDefault="003737EF" w:rsidP="00742FE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06BD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ЗМІСТ ПОЛОЖЕНЬ ПРО</w:t>
            </w:r>
            <w:r w:rsidR="00BA4B2A" w:rsidRPr="00206BD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Є</w:t>
            </w:r>
            <w:r w:rsidRPr="00206BD2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КТУ ПОСТАНОВИ</w:t>
            </w:r>
          </w:p>
        </w:tc>
      </w:tr>
      <w:tr w:rsidR="00465894" w:rsidRPr="00206BD2" w14:paraId="191AB02C" w14:textId="77777777" w:rsidTr="000E7A80">
        <w:trPr>
          <w:jc w:val="center"/>
        </w:trPr>
        <w:tc>
          <w:tcPr>
            <w:tcW w:w="15243" w:type="dxa"/>
            <w:gridSpan w:val="3"/>
          </w:tcPr>
          <w:p w14:paraId="7FF97566" w14:textId="77777777" w:rsidR="00465894" w:rsidRPr="00206BD2" w:rsidRDefault="00465894" w:rsidP="00742FE8">
            <w:pPr>
              <w:shd w:val="clear" w:color="auto" w:fill="FFFFFF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</w:pPr>
            <w:r w:rsidRPr="00206BD2">
              <w:rPr>
                <w:rFonts w:ascii="Times New Roman" w:hAnsi="Times New Roman" w:cs="Times New Roman"/>
                <w:b/>
                <w:sz w:val="28"/>
                <w:szCs w:val="24"/>
                <w:lang w:val="uk-UA"/>
              </w:rPr>
              <w:t>Методика визначення та розрахунку тарифу на послуги розподілу природного газу</w:t>
            </w:r>
          </w:p>
          <w:p w14:paraId="2019CEAE" w14:textId="77777777" w:rsidR="00465894" w:rsidRPr="00206BD2" w:rsidRDefault="00465894" w:rsidP="00742FE8">
            <w:pPr>
              <w:shd w:val="clear" w:color="auto" w:fill="FFFFFF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06BD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(постанова НКРЕКП від 25.02.2016  № 236)</w:t>
            </w:r>
          </w:p>
        </w:tc>
      </w:tr>
      <w:tr w:rsidR="00465894" w:rsidRPr="00206BD2" w14:paraId="083B0EA3" w14:textId="77777777" w:rsidTr="000E7A80">
        <w:trPr>
          <w:jc w:val="center"/>
        </w:trPr>
        <w:tc>
          <w:tcPr>
            <w:tcW w:w="15243" w:type="dxa"/>
            <w:gridSpan w:val="3"/>
          </w:tcPr>
          <w:p w14:paraId="2FE53BFC" w14:textId="2C98C23E" w:rsidR="00465894" w:rsidRPr="00206BD2" w:rsidRDefault="00D76A13" w:rsidP="00742FE8">
            <w:pPr>
              <w:shd w:val="clear" w:color="auto" w:fill="FFFFFF"/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206BD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XI. Особливості встановлення та перегляду тарифів на послуги розподілу природного газу протягом дії воєнного стану в Україні та шести місяців після місяця, в якому воєнний стан буде припинено або скасовано</w:t>
            </w:r>
          </w:p>
        </w:tc>
      </w:tr>
      <w:tr w:rsidR="00465894" w:rsidRPr="004F2FED" w14:paraId="0EAD48EC" w14:textId="77777777" w:rsidTr="001E44F4">
        <w:trPr>
          <w:gridAfter w:val="1"/>
          <w:wAfter w:w="12" w:type="dxa"/>
          <w:jc w:val="center"/>
        </w:trPr>
        <w:tc>
          <w:tcPr>
            <w:tcW w:w="7650" w:type="dxa"/>
          </w:tcPr>
          <w:p w14:paraId="4F6083B9" w14:textId="77777777" w:rsidR="00465894" w:rsidRPr="00206BD2" w:rsidRDefault="00D76A13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szCs w:val="20"/>
                <w:lang w:eastAsia="en-US"/>
              </w:rPr>
            </w:pPr>
            <w:r w:rsidRPr="00206BD2">
              <w:rPr>
                <w:szCs w:val="20"/>
                <w:lang w:eastAsia="en-US"/>
              </w:rPr>
              <w:t>…</w:t>
            </w:r>
          </w:p>
          <w:p w14:paraId="5D2E28FB" w14:textId="77777777" w:rsidR="00D76A13" w:rsidRPr="00206BD2" w:rsidRDefault="00D76A13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szCs w:val="20"/>
                <w:lang w:eastAsia="en-US"/>
              </w:rPr>
            </w:pPr>
            <w:r w:rsidRPr="00206BD2">
              <w:rPr>
                <w:szCs w:val="20"/>
                <w:lang w:eastAsia="en-US"/>
              </w:rPr>
              <w:t>3. Операторам газорозподільних систем, щодо яких запроваджено мораторій на підвищення тарифів на послуги розподілу природного газу для побутових споживачів, згідно з </w:t>
            </w:r>
            <w:hyperlink r:id="rId8" w:anchor="n8" w:tgtFrame="_blank" w:history="1">
              <w:r w:rsidRPr="00206BD2">
                <w:rPr>
                  <w:rStyle w:val="a6"/>
                  <w:szCs w:val="20"/>
                  <w:lang w:eastAsia="en-US"/>
                </w:rPr>
                <w:t>частиною першою</w:t>
              </w:r>
            </w:hyperlink>
            <w:r w:rsidRPr="00206BD2">
              <w:rPr>
                <w:szCs w:val="20"/>
                <w:lang w:eastAsia="en-US"/>
              </w:rPr>
              <w:t> статті 1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компенсується за рахунок видатків державного бюджету за цільовим призначенням різниця в тарифах на послуги розподілу природного газу в обсягах перевищення фактичних витрат, пов’язаних з наданням послуг розподілу природного газу, за даними звітності, поданої операторами газорозподільних систем до НКРЕКП, з урахуванням витрат, понесених внаслідок воєнних дій та з метою запобігання настанню гуманітарних кризових ситуацій, до яких відносяться витрати на ремонт пошкодженої інфраструктури, невідшкодованих з інших джерел, над нарахованим чистим доходом від реалізації послуг розподілу природного газу, що утворилася (утвориться) за період з 01 березня 2022 року по останнє число шостого місяця після місяця, в якому воєнний стан буде припинено або скасовано.</w:t>
            </w:r>
          </w:p>
          <w:p w14:paraId="1177356F" w14:textId="77777777" w:rsidR="00D76A13" w:rsidRPr="00206BD2" w:rsidRDefault="00D76A13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szCs w:val="20"/>
                <w:lang w:eastAsia="en-US"/>
              </w:rPr>
            </w:pPr>
          </w:p>
          <w:p w14:paraId="10120655" w14:textId="744F8C0D" w:rsidR="00D76A13" w:rsidRPr="00206BD2" w:rsidRDefault="008C17E2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i/>
                <w:iCs/>
                <w:szCs w:val="20"/>
                <w:lang w:eastAsia="en-US"/>
              </w:rPr>
            </w:pPr>
            <w:r>
              <w:rPr>
                <w:b/>
                <w:bCs/>
                <w:i/>
                <w:iCs/>
                <w:szCs w:val="20"/>
                <w:lang w:eastAsia="en-US"/>
              </w:rPr>
              <w:t>Розділ</w:t>
            </w:r>
            <w:r w:rsidR="00D76A13" w:rsidRPr="00206BD2">
              <w:rPr>
                <w:b/>
                <w:bCs/>
                <w:i/>
                <w:iCs/>
                <w:szCs w:val="20"/>
                <w:lang w:eastAsia="en-US"/>
              </w:rPr>
              <w:t xml:space="preserve"> відсутній</w:t>
            </w:r>
          </w:p>
        </w:tc>
        <w:tc>
          <w:tcPr>
            <w:tcW w:w="7581" w:type="dxa"/>
          </w:tcPr>
          <w:p w14:paraId="2805B1FC" w14:textId="77777777" w:rsidR="00465894" w:rsidRPr="00206BD2" w:rsidRDefault="00D76A13" w:rsidP="00742FE8">
            <w:pPr>
              <w:pStyle w:val="rvps2"/>
              <w:shd w:val="clear" w:color="auto" w:fill="FFFFFF"/>
              <w:spacing w:before="0" w:beforeAutospacing="0" w:after="0" w:afterAutospacing="0"/>
              <w:ind w:firstLine="372"/>
              <w:jc w:val="both"/>
              <w:rPr>
                <w:szCs w:val="20"/>
                <w:lang w:eastAsia="en-US"/>
              </w:rPr>
            </w:pPr>
            <w:r w:rsidRPr="00206BD2">
              <w:rPr>
                <w:szCs w:val="20"/>
                <w:lang w:eastAsia="en-US"/>
              </w:rPr>
              <w:t>…</w:t>
            </w:r>
          </w:p>
          <w:p w14:paraId="7D89CC90" w14:textId="77777777" w:rsidR="00D76A13" w:rsidRPr="00206BD2" w:rsidRDefault="00D76A13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szCs w:val="20"/>
                <w:lang w:eastAsia="en-US"/>
              </w:rPr>
            </w:pPr>
            <w:r w:rsidRPr="00206BD2">
              <w:rPr>
                <w:szCs w:val="20"/>
                <w:lang w:eastAsia="en-US"/>
              </w:rPr>
              <w:t>3. Операторам газорозподільних систем, щодо яких запроваджено мораторій на підвищення тарифів на послуги розподілу природного газу для побутових споживачів, згідно з </w:t>
            </w:r>
            <w:hyperlink r:id="rId9" w:anchor="n8" w:tgtFrame="_blank" w:history="1">
              <w:r w:rsidRPr="00206BD2">
                <w:rPr>
                  <w:rStyle w:val="a6"/>
                  <w:szCs w:val="20"/>
                  <w:lang w:eastAsia="en-US"/>
                </w:rPr>
                <w:t>частиною першою</w:t>
              </w:r>
            </w:hyperlink>
            <w:r w:rsidRPr="00206BD2">
              <w:rPr>
                <w:szCs w:val="20"/>
                <w:lang w:eastAsia="en-US"/>
              </w:rPr>
              <w:t> статті 1 Закону України «Про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функціонування», компенсується за рахунок видатків державного бюджету за цільовим призначенням різниця в тарифах на послуги розподілу природного газу в обсягах перевищення фактичних витрат, пов’язаних з наданням послуг розподілу природного газу, за даними звітності, поданої операторами газорозподільних систем до НКРЕКП, з урахуванням витрат, понесених внаслідок воєнних дій та з метою запобігання настанню гуманітарних кризових ситуацій, до яких відносяться витрати на ремонт пошкодженої інфраструктури, невідшкодованих з інших джерел, над нарахованим чистим доходом від реалізації послуг розподілу природного газу, що утворилася (утвориться) за період з 01 березня 2022 року по останнє число шостого місяця після місяця, в якому воєнний стан буде припинено або скасовано.</w:t>
            </w:r>
          </w:p>
          <w:p w14:paraId="19FF837F" w14:textId="77777777" w:rsidR="00D76A13" w:rsidRPr="00206BD2" w:rsidRDefault="00D76A13" w:rsidP="00742FE8">
            <w:pPr>
              <w:pStyle w:val="rvps2"/>
              <w:shd w:val="clear" w:color="auto" w:fill="FFFFFF"/>
              <w:spacing w:before="0" w:beforeAutospacing="0" w:after="0" w:afterAutospacing="0"/>
              <w:ind w:firstLine="372"/>
              <w:jc w:val="both"/>
              <w:rPr>
                <w:szCs w:val="20"/>
                <w:lang w:eastAsia="en-US"/>
              </w:rPr>
            </w:pPr>
          </w:p>
          <w:p w14:paraId="6E786031" w14:textId="77777777" w:rsidR="008C17E2" w:rsidRDefault="008C17E2" w:rsidP="004F1B6B">
            <w:pPr>
              <w:pStyle w:val="rvps2"/>
              <w:shd w:val="clear" w:color="auto" w:fill="FFFFFF"/>
              <w:tabs>
                <w:tab w:val="left" w:pos="465"/>
              </w:tabs>
              <w:spacing w:after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</w:p>
          <w:p w14:paraId="0E93603E" w14:textId="3E2E9887" w:rsidR="008C17E2" w:rsidRDefault="008C17E2" w:rsidP="004F1B6B">
            <w:pPr>
              <w:pStyle w:val="rvps2"/>
              <w:shd w:val="clear" w:color="auto" w:fill="FFFFFF"/>
              <w:tabs>
                <w:tab w:val="left" w:pos="465"/>
              </w:tabs>
              <w:spacing w:after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 w:rsidRPr="008C17E2">
              <w:rPr>
                <w:b/>
                <w:bCs/>
                <w:szCs w:val="20"/>
                <w:lang w:eastAsia="en-US"/>
              </w:rPr>
              <w:lastRenderedPageBreak/>
              <w:t>XIІ. Прикінцеві положення</w:t>
            </w:r>
          </w:p>
          <w:p w14:paraId="4E2239F9" w14:textId="0156FC00" w:rsidR="004F1B6B" w:rsidRDefault="008C17E2" w:rsidP="008C17E2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1</w:t>
            </w:r>
            <w:r w:rsidR="00D76A13" w:rsidRPr="00206BD2">
              <w:rPr>
                <w:b/>
                <w:bCs/>
                <w:szCs w:val="20"/>
                <w:lang w:eastAsia="en-US"/>
              </w:rPr>
              <w:t xml:space="preserve">. </w:t>
            </w:r>
            <w:bookmarkStart w:id="0" w:name="_Hlk207033033"/>
            <w:r w:rsidR="004F1B6B" w:rsidRPr="004F1B6B">
              <w:rPr>
                <w:b/>
                <w:bCs/>
                <w:szCs w:val="20"/>
                <w:lang w:eastAsia="en-US"/>
              </w:rPr>
              <w:t>При встановленні тарифу на послуги розподілу природного газу НКРЕКП може прийняти рішення щодо запровадження перехідного періоду.</w:t>
            </w:r>
          </w:p>
          <w:p w14:paraId="447F4310" w14:textId="39C9F942" w:rsidR="00D10FC2" w:rsidRPr="00206BD2" w:rsidRDefault="004F1B6B" w:rsidP="008C17E2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 w:rsidRPr="004F1B6B">
              <w:rPr>
                <w:b/>
                <w:bCs/>
                <w:szCs w:val="20"/>
                <w:lang w:eastAsia="en-US"/>
              </w:rPr>
              <w:t>Тривалість перехідного періоду визначається рішенням НКРЕКП про встановлення тарифу.</w:t>
            </w:r>
            <w:bookmarkEnd w:id="0"/>
          </w:p>
          <w:p w14:paraId="3AA4FED7" w14:textId="77777777" w:rsidR="008C17E2" w:rsidRDefault="008C17E2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</w:p>
          <w:p w14:paraId="0FF5AF60" w14:textId="1A9A63F0" w:rsidR="008A5EF0" w:rsidRPr="00206BD2" w:rsidRDefault="008C17E2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2</w:t>
            </w:r>
            <w:r w:rsidR="008A5EF0" w:rsidRPr="00206BD2">
              <w:rPr>
                <w:b/>
                <w:bCs/>
                <w:szCs w:val="20"/>
                <w:lang w:eastAsia="en-US"/>
              </w:rPr>
              <w:t xml:space="preserve">. </w:t>
            </w:r>
            <w:bookmarkStart w:id="1" w:name="_Hlk207033060"/>
            <w:r w:rsidR="004F1B6B" w:rsidRPr="004F1B6B">
              <w:rPr>
                <w:b/>
                <w:bCs/>
                <w:szCs w:val="20"/>
                <w:lang w:eastAsia="en-US"/>
              </w:rPr>
              <w:t>Тариф на послуги розподілу природного газу на перехідний період встановлю</w:t>
            </w:r>
            <w:r w:rsidR="00310ACD">
              <w:rPr>
                <w:b/>
                <w:bCs/>
                <w:szCs w:val="20"/>
                <w:lang w:eastAsia="en-US"/>
              </w:rPr>
              <w:t>є</w:t>
            </w:r>
            <w:r w:rsidR="004F1B6B" w:rsidRPr="004F1B6B">
              <w:rPr>
                <w:b/>
                <w:bCs/>
                <w:szCs w:val="20"/>
                <w:lang w:eastAsia="en-US"/>
              </w:rPr>
              <w:t>ться на кожний етап перехідного періоду.</w:t>
            </w:r>
            <w:r w:rsidR="008A5EF0" w:rsidRPr="00206BD2">
              <w:rPr>
                <w:b/>
                <w:bCs/>
                <w:szCs w:val="20"/>
                <w:lang w:eastAsia="en-US"/>
              </w:rPr>
              <w:t xml:space="preserve"> </w:t>
            </w:r>
            <w:bookmarkEnd w:id="1"/>
          </w:p>
          <w:p w14:paraId="6A4D0EC8" w14:textId="77777777" w:rsidR="00D10FC2" w:rsidRPr="00206BD2" w:rsidRDefault="00D10FC2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bookmarkStart w:id="2" w:name="n346"/>
            <w:bookmarkEnd w:id="2"/>
          </w:p>
          <w:p w14:paraId="6D8B43EC" w14:textId="427021F6" w:rsidR="008A5EF0" w:rsidRPr="00206BD2" w:rsidRDefault="008C17E2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>
              <w:rPr>
                <w:b/>
                <w:bCs/>
                <w:szCs w:val="20"/>
                <w:lang w:eastAsia="en-US"/>
              </w:rPr>
              <w:t>3</w:t>
            </w:r>
            <w:r w:rsidR="00180A6F" w:rsidRPr="00206BD2">
              <w:rPr>
                <w:b/>
                <w:bCs/>
                <w:szCs w:val="20"/>
                <w:lang w:eastAsia="en-US"/>
              </w:rPr>
              <w:t xml:space="preserve">. </w:t>
            </w:r>
            <w:bookmarkStart w:id="3" w:name="_Hlk207033076"/>
            <w:r w:rsidR="00180A6F" w:rsidRPr="00206BD2">
              <w:rPr>
                <w:b/>
                <w:bCs/>
                <w:szCs w:val="20"/>
                <w:lang w:eastAsia="en-US"/>
              </w:rPr>
              <w:t>На перший</w:t>
            </w:r>
            <w:r w:rsidR="001E44F4" w:rsidRPr="00206BD2">
              <w:rPr>
                <w:b/>
                <w:bCs/>
                <w:szCs w:val="20"/>
                <w:lang w:eastAsia="en-US"/>
              </w:rPr>
              <w:t xml:space="preserve"> етап</w:t>
            </w:r>
            <w:r w:rsidR="00180A6F" w:rsidRPr="00206BD2">
              <w:rPr>
                <w:b/>
                <w:bCs/>
                <w:szCs w:val="20"/>
                <w:lang w:eastAsia="en-US"/>
              </w:rPr>
              <w:t xml:space="preserve"> перехідного періоду тариф на послуги розподілу природного газу (Т</w:t>
            </w:r>
            <w:r w:rsidR="00180A6F" w:rsidRPr="00206BD2">
              <w:rPr>
                <w:b/>
                <w:bCs/>
                <w:szCs w:val="20"/>
                <w:vertAlign w:val="subscript"/>
                <w:lang w:eastAsia="en-US"/>
              </w:rPr>
              <w:t>розр1</w:t>
            </w:r>
            <w:r w:rsidR="00180A6F" w:rsidRPr="00206BD2">
              <w:rPr>
                <w:b/>
                <w:bCs/>
                <w:szCs w:val="20"/>
                <w:lang w:eastAsia="en-US"/>
              </w:rPr>
              <w:t>) розрахову</w:t>
            </w:r>
            <w:r w:rsidR="001E44F4" w:rsidRPr="00206BD2">
              <w:rPr>
                <w:b/>
                <w:bCs/>
                <w:szCs w:val="20"/>
                <w:lang w:eastAsia="en-US"/>
              </w:rPr>
              <w:t>є</w:t>
            </w:r>
            <w:r w:rsidR="00180A6F" w:rsidRPr="00206BD2">
              <w:rPr>
                <w:b/>
                <w:bCs/>
                <w:szCs w:val="20"/>
                <w:lang w:eastAsia="en-US"/>
              </w:rPr>
              <w:t>ться за формулою</w:t>
            </w:r>
          </w:p>
          <w:bookmarkStart w:id="4" w:name="_Hlk207033114"/>
          <w:bookmarkEnd w:id="3"/>
          <w:p w14:paraId="19D9DBC1" w14:textId="5335451A" w:rsidR="001E44F4" w:rsidRPr="00206BD2" w:rsidRDefault="00310ACD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599"/>
              <w:jc w:val="both"/>
              <w:rPr>
                <w:b/>
                <w:bCs/>
                <w:szCs w:val="20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розр1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Cs w:val="20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баз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Cs w:val="20"/>
                  <w:lang w:eastAsia="en-US"/>
                </w:rPr>
                <m:t>+D×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g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1</m:t>
                  </m:r>
                </m:sub>
              </m:sSub>
            </m:oMath>
            <w:r w:rsidR="001E44F4" w:rsidRPr="00206BD2">
              <w:rPr>
                <w:b/>
                <w:bCs/>
                <w:szCs w:val="20"/>
                <w:lang w:eastAsia="en-US"/>
              </w:rPr>
              <w:t>, (грн за 1 м</w:t>
            </w:r>
            <w:r w:rsidR="001E44F4" w:rsidRPr="00206BD2">
              <w:rPr>
                <w:b/>
                <w:bCs/>
                <w:szCs w:val="20"/>
                <w:vertAlign w:val="superscript"/>
                <w:lang w:eastAsia="en-US"/>
              </w:rPr>
              <w:t>3</w:t>
            </w:r>
            <w:r w:rsidR="001E44F4" w:rsidRPr="00206BD2">
              <w:rPr>
                <w:b/>
                <w:bCs/>
                <w:szCs w:val="20"/>
                <w:lang w:eastAsia="en-US"/>
              </w:rPr>
              <w:t xml:space="preserve"> на місяць),                </w:t>
            </w:r>
            <w:r w:rsidR="009B4ECA">
              <w:rPr>
                <w:b/>
                <w:bCs/>
                <w:szCs w:val="20"/>
                <w:lang w:eastAsia="en-US"/>
              </w:rPr>
              <w:t xml:space="preserve">  </w:t>
            </w:r>
            <w:r w:rsidR="001E44F4" w:rsidRPr="00206BD2">
              <w:rPr>
                <w:b/>
                <w:bCs/>
                <w:szCs w:val="20"/>
                <w:lang w:eastAsia="en-US"/>
              </w:rPr>
              <w:t xml:space="preserve">      (13)</w:t>
            </w:r>
          </w:p>
          <w:p w14:paraId="46E41A07" w14:textId="465454CE" w:rsidR="00C023D9" w:rsidRPr="00206BD2" w:rsidRDefault="00C023D9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 w:rsidRPr="00206BD2">
              <w:rPr>
                <w:b/>
                <w:bCs/>
                <w:szCs w:val="20"/>
                <w:lang w:eastAsia="en-US"/>
              </w:rPr>
              <w:t>де</w:t>
            </w:r>
            <w:r w:rsidR="001E44F4" w:rsidRPr="00206BD2">
              <w:rPr>
                <w:b/>
                <w:bCs/>
                <w:szCs w:val="20"/>
                <w:lang w:eastAsia="en-US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баз</m:t>
                  </m:r>
                </m:sub>
              </m:sSub>
            </m:oMath>
            <w:r w:rsidRPr="00206BD2">
              <w:rPr>
                <w:b/>
                <w:bCs/>
                <w:szCs w:val="20"/>
                <w:lang w:eastAsia="en-US"/>
              </w:rPr>
              <w:t>– діючий тариф на послуги розподілу природного газу, грн за 1 м</w:t>
            </w:r>
            <w:r w:rsidRPr="00206BD2">
              <w:rPr>
                <w:b/>
                <w:bCs/>
                <w:szCs w:val="20"/>
                <w:vertAlign w:val="superscript"/>
                <w:lang w:eastAsia="en-US"/>
              </w:rPr>
              <w:t>3</w:t>
            </w:r>
            <w:r w:rsidRPr="00206BD2">
              <w:rPr>
                <w:b/>
                <w:bCs/>
                <w:szCs w:val="20"/>
                <w:lang w:eastAsia="en-US"/>
              </w:rPr>
              <w:t xml:space="preserve"> на місяць;</w:t>
            </w:r>
          </w:p>
          <w:p w14:paraId="3CC78BA2" w14:textId="7C50C46B" w:rsidR="001E44F4" w:rsidRPr="00206BD2" w:rsidRDefault="00310ACD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g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1</m:t>
                  </m:r>
                </m:sub>
              </m:sSub>
            </m:oMath>
            <w:r w:rsidR="001E44F4" w:rsidRPr="00206BD2">
              <w:rPr>
                <w:b/>
                <w:bCs/>
                <w:szCs w:val="20"/>
                <w:lang w:eastAsia="en-US"/>
              </w:rPr>
              <w:t xml:space="preserve"> – </w:t>
            </w:r>
            <w:r w:rsidR="00747D1E" w:rsidRPr="00206BD2">
              <w:rPr>
                <w:b/>
                <w:bCs/>
                <w:szCs w:val="20"/>
                <w:lang w:eastAsia="en-US"/>
              </w:rPr>
              <w:t xml:space="preserve">коефіцієнт, що застосовується НКРЕКП </w:t>
            </w:r>
            <w:r w:rsidR="00747D1E" w:rsidRPr="004F2FED">
              <w:rPr>
                <w:b/>
                <w:bCs/>
                <w:szCs w:val="20"/>
                <w:lang w:eastAsia="en-US"/>
              </w:rPr>
              <w:t xml:space="preserve">в </w:t>
            </w:r>
            <w:r w:rsidR="00747D1E">
              <w:rPr>
                <w:b/>
                <w:bCs/>
                <w:szCs w:val="20"/>
                <w:lang w:eastAsia="en-US"/>
              </w:rPr>
              <w:t>однаковому розмірі</w:t>
            </w:r>
            <w:r w:rsidR="00747D1E" w:rsidRPr="00206BD2">
              <w:rPr>
                <w:b/>
                <w:bCs/>
                <w:szCs w:val="20"/>
                <w:lang w:eastAsia="en-US"/>
              </w:rPr>
              <w:t xml:space="preserve"> для ліцензіатів у </w:t>
            </w:r>
            <w:r w:rsidR="00747D1E">
              <w:rPr>
                <w:b/>
                <w:bCs/>
                <w:szCs w:val="20"/>
                <w:lang w:eastAsia="en-US"/>
              </w:rPr>
              <w:t>першому етапі</w:t>
            </w:r>
            <w:r w:rsidR="00747D1E" w:rsidRPr="004F2FED">
              <w:rPr>
                <w:b/>
                <w:bCs/>
                <w:szCs w:val="20"/>
              </w:rPr>
              <w:t xml:space="preserve"> </w:t>
            </w:r>
            <w:r w:rsidR="00747D1E" w:rsidRPr="00206BD2">
              <w:rPr>
                <w:b/>
                <w:bCs/>
                <w:szCs w:val="20"/>
                <w:lang w:eastAsia="en-US"/>
              </w:rPr>
              <w:t>перехідного періоду</w:t>
            </w:r>
            <w:r w:rsidR="00747D1E">
              <w:rPr>
                <w:b/>
                <w:bCs/>
                <w:szCs w:val="20"/>
                <w:lang w:eastAsia="en-US"/>
              </w:rPr>
              <w:t>,</w:t>
            </w:r>
            <w:r w:rsidR="00747D1E" w:rsidRPr="00206BD2">
              <w:rPr>
                <w:b/>
                <w:bCs/>
                <w:szCs w:val="20"/>
                <w:lang w:eastAsia="en-US"/>
              </w:rPr>
              <w:t xml:space="preserve"> з метою поетапного досягнення цільового рівня тариф</w:t>
            </w:r>
            <w:r w:rsidR="00747D1E">
              <w:rPr>
                <w:b/>
                <w:bCs/>
                <w:szCs w:val="20"/>
                <w:lang w:eastAsia="en-US"/>
              </w:rPr>
              <w:t>у</w:t>
            </w:r>
            <w:r w:rsidR="00747D1E" w:rsidRPr="00206BD2">
              <w:rPr>
                <w:b/>
                <w:bCs/>
                <w:szCs w:val="20"/>
                <w:lang w:eastAsia="en-US"/>
              </w:rPr>
              <w:t xml:space="preserve"> на послуги розподілу природного газу;</w:t>
            </w:r>
          </w:p>
          <w:p w14:paraId="4F002FE6" w14:textId="32DC7EFE" w:rsidR="001E44F4" w:rsidRPr="00206BD2" w:rsidRDefault="001E44F4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m:oMath>
              <m:r>
                <m:rPr>
                  <m:sty m:val="bi"/>
                </m:rPr>
                <w:rPr>
                  <w:rFonts w:ascii="Cambria Math" w:hAnsi="Cambria Math"/>
                  <w:szCs w:val="20"/>
                  <w:lang w:eastAsia="en-US"/>
                </w:rPr>
                <m:t>D</m:t>
              </m:r>
            </m:oMath>
            <w:r w:rsidRPr="00206BD2">
              <w:rPr>
                <w:b/>
                <w:bCs/>
                <w:szCs w:val="20"/>
                <w:lang w:eastAsia="en-US"/>
              </w:rPr>
              <w:t xml:space="preserve"> – сума приросту тарифу на послуги розподілу природного газу, що розраховується за формулою</w:t>
            </w:r>
          </w:p>
          <w:p w14:paraId="5ADDFD34" w14:textId="0599B495" w:rsidR="001E44F4" w:rsidRPr="00206BD2" w:rsidRDefault="00742FE8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599"/>
              <w:jc w:val="both"/>
              <w:rPr>
                <w:b/>
                <w:bCs/>
                <w:szCs w:val="20"/>
                <w:lang w:eastAsia="en-US"/>
              </w:rPr>
            </w:pPr>
            <m:oMath>
              <m:r>
                <m:rPr>
                  <m:sty m:val="b"/>
                </m:rPr>
                <w:rPr>
                  <w:rFonts w:ascii="Cambria Math" w:hAnsi="Cambria Math"/>
                  <w:szCs w:val="20"/>
                  <w:lang w:eastAsia="en-US"/>
                </w:rPr>
                <m:t>D=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ціл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Cs w:val="20"/>
                  <w:lang w:eastAsia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баз</m:t>
                  </m:r>
                </m:sub>
              </m:sSub>
            </m:oMath>
            <w:r w:rsidR="001E44F4" w:rsidRPr="00206BD2">
              <w:rPr>
                <w:b/>
                <w:bCs/>
                <w:szCs w:val="20"/>
                <w:lang w:eastAsia="en-US"/>
              </w:rPr>
              <w:t>, (грн за 1 м</w:t>
            </w:r>
            <w:r w:rsidR="001E44F4" w:rsidRPr="00206BD2">
              <w:rPr>
                <w:b/>
                <w:bCs/>
                <w:szCs w:val="20"/>
                <w:vertAlign w:val="superscript"/>
                <w:lang w:eastAsia="en-US"/>
              </w:rPr>
              <w:t>3</w:t>
            </w:r>
            <w:r w:rsidR="001E44F4" w:rsidRPr="00206BD2">
              <w:rPr>
                <w:b/>
                <w:bCs/>
                <w:szCs w:val="20"/>
                <w:lang w:eastAsia="en-US"/>
              </w:rPr>
              <w:t xml:space="preserve"> на місяць),          </w:t>
            </w:r>
            <w:r w:rsidRPr="00206BD2">
              <w:rPr>
                <w:b/>
                <w:bCs/>
                <w:szCs w:val="20"/>
                <w:lang w:eastAsia="en-US"/>
              </w:rPr>
              <w:t xml:space="preserve">            </w:t>
            </w:r>
            <w:r w:rsidR="001E44F4" w:rsidRPr="00206BD2">
              <w:rPr>
                <w:b/>
                <w:bCs/>
                <w:szCs w:val="20"/>
                <w:lang w:eastAsia="en-US"/>
              </w:rPr>
              <w:t xml:space="preserve">          </w:t>
            </w:r>
            <w:r w:rsidR="009B4ECA">
              <w:rPr>
                <w:b/>
                <w:bCs/>
                <w:szCs w:val="20"/>
                <w:lang w:eastAsia="en-US"/>
              </w:rPr>
              <w:t xml:space="preserve">  </w:t>
            </w:r>
            <w:r w:rsidR="001E44F4" w:rsidRPr="00206BD2">
              <w:rPr>
                <w:b/>
                <w:bCs/>
                <w:szCs w:val="20"/>
                <w:lang w:eastAsia="en-US"/>
              </w:rPr>
              <w:t xml:space="preserve">  (1</w:t>
            </w:r>
            <w:r w:rsidRPr="00206BD2">
              <w:rPr>
                <w:b/>
                <w:bCs/>
                <w:szCs w:val="20"/>
                <w:lang w:eastAsia="en-US"/>
              </w:rPr>
              <w:t>4</w:t>
            </w:r>
            <w:r w:rsidR="001E44F4" w:rsidRPr="00206BD2">
              <w:rPr>
                <w:b/>
                <w:bCs/>
                <w:szCs w:val="20"/>
                <w:lang w:eastAsia="en-US"/>
              </w:rPr>
              <w:t>)</w:t>
            </w:r>
          </w:p>
          <w:p w14:paraId="05CE6AA5" w14:textId="284FFBDC" w:rsidR="001E44F4" w:rsidRPr="004F1B6B" w:rsidRDefault="00742FE8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 w:rsidRPr="004F1B6B">
              <w:rPr>
                <w:b/>
                <w:bCs/>
                <w:szCs w:val="20"/>
                <w:lang w:eastAsia="en-US"/>
              </w:rPr>
              <w:t xml:space="preserve">де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ціл</m:t>
                  </m:r>
                </m:sub>
              </m:sSub>
            </m:oMath>
            <w:r w:rsidRPr="004F1B6B">
              <w:rPr>
                <w:b/>
                <w:bCs/>
                <w:szCs w:val="20"/>
                <w:lang w:eastAsia="en-US"/>
              </w:rPr>
              <w:t xml:space="preserve"> – цільовий рівень тарифу, що дорівнює тарифу на послуги розподілу природного газу (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розп</m:t>
                  </m:r>
                </m:sub>
              </m:sSub>
            </m:oMath>
            <w:r w:rsidRPr="004F1B6B">
              <w:rPr>
                <w:b/>
                <w:bCs/>
                <w:szCs w:val="20"/>
                <w:lang w:eastAsia="en-US"/>
              </w:rPr>
              <w:t>), розрахованому за формулою 1 цієї Методики.</w:t>
            </w:r>
          </w:p>
          <w:p w14:paraId="465DFFDB" w14:textId="65D711D5" w:rsidR="004F1B6B" w:rsidRDefault="004F1B6B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r w:rsidRPr="004F1B6B">
              <w:rPr>
                <w:b/>
                <w:bCs/>
                <w:szCs w:val="20"/>
                <w:lang w:eastAsia="en-US"/>
              </w:rPr>
              <w:t xml:space="preserve">У випадку якщо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ціл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  <w:szCs w:val="20"/>
                  <w:lang w:eastAsia="en-US"/>
                </w:rPr>
                <m:t>≤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баз</m:t>
                  </m:r>
                </m:sub>
              </m:sSub>
            </m:oMath>
            <w:r w:rsidRPr="004F1B6B">
              <w:rPr>
                <w:b/>
                <w:bCs/>
                <w:szCs w:val="20"/>
                <w:lang w:eastAsia="en-US"/>
              </w:rPr>
              <w:t xml:space="preserve"> перехідний період не застосовується.</w:t>
            </w:r>
          </w:p>
          <w:p w14:paraId="44512404" w14:textId="77777777" w:rsidR="008C17E2" w:rsidRPr="004F1B6B" w:rsidRDefault="008C17E2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</w:p>
          <w:p w14:paraId="20081265" w14:textId="1AEF8CB2" w:rsidR="00C023D9" w:rsidRPr="00206BD2" w:rsidRDefault="008C17E2" w:rsidP="00742FE8">
            <w:pPr>
              <w:pStyle w:val="rvps2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4</w:t>
            </w:r>
            <w:r w:rsidR="00C023D9" w:rsidRPr="00206BD2">
              <w:rPr>
                <w:b/>
                <w:bCs/>
                <w:szCs w:val="20"/>
              </w:rPr>
              <w:t xml:space="preserve">. На наступні </w:t>
            </w:r>
            <w:r w:rsidR="00742FE8" w:rsidRPr="00206BD2">
              <w:rPr>
                <w:b/>
                <w:bCs/>
                <w:szCs w:val="20"/>
              </w:rPr>
              <w:t>етапи</w:t>
            </w:r>
            <w:r w:rsidR="00D85C6C" w:rsidRPr="00206BD2">
              <w:rPr>
                <w:b/>
                <w:bCs/>
                <w:szCs w:val="20"/>
              </w:rPr>
              <w:t xml:space="preserve"> </w:t>
            </w:r>
            <w:r w:rsidR="00C023D9" w:rsidRPr="00206BD2">
              <w:rPr>
                <w:b/>
                <w:bCs/>
                <w:szCs w:val="20"/>
              </w:rPr>
              <w:t>перехідного періоду</w:t>
            </w:r>
            <w:r w:rsidR="00742FE8" w:rsidRPr="00206BD2">
              <w:rPr>
                <w:b/>
                <w:bCs/>
                <w:szCs w:val="20"/>
              </w:rPr>
              <w:t>, крім останнього,</w:t>
            </w:r>
            <w:r w:rsidR="00C023D9" w:rsidRPr="00206BD2">
              <w:rPr>
                <w:b/>
                <w:bCs/>
                <w:szCs w:val="20"/>
              </w:rPr>
              <w:t xml:space="preserve"> тариф на послуги розподілу природного газу (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szCs w:val="20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розр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n</m:t>
                      </m:r>
                    </m:sub>
                  </m:sSub>
                </m:sub>
              </m:sSub>
            </m:oMath>
            <w:r w:rsidR="00C023D9" w:rsidRPr="00206BD2">
              <w:rPr>
                <w:b/>
                <w:bCs/>
                <w:szCs w:val="20"/>
              </w:rPr>
              <w:t>) розрахову</w:t>
            </w:r>
            <w:proofErr w:type="spellStart"/>
            <w:r w:rsidR="004F2FED">
              <w:rPr>
                <w:b/>
                <w:bCs/>
                <w:szCs w:val="20"/>
              </w:rPr>
              <w:t>є</w:t>
            </w:r>
            <w:r w:rsidR="00C023D9" w:rsidRPr="00206BD2">
              <w:rPr>
                <w:b/>
                <w:bCs/>
                <w:szCs w:val="20"/>
              </w:rPr>
              <w:t>ться</w:t>
            </w:r>
            <w:proofErr w:type="spellEnd"/>
            <w:r w:rsidR="00C023D9" w:rsidRPr="00206BD2">
              <w:rPr>
                <w:b/>
                <w:bCs/>
                <w:szCs w:val="20"/>
              </w:rPr>
              <w:t xml:space="preserve"> за формулою</w:t>
            </w:r>
          </w:p>
          <w:p w14:paraId="3DFCB866" w14:textId="0A12A0E3" w:rsidR="00742FE8" w:rsidRPr="00206BD2" w:rsidRDefault="00310ACD" w:rsidP="00742FE8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599"/>
              <w:jc w:val="both"/>
              <w:rPr>
                <w:b/>
                <w:bCs/>
                <w:szCs w:val="20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szCs w:val="20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розр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n</m:t>
                      </m:r>
                    </m:sub>
                  </m:sSub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Cs w:val="20"/>
                  <w:lang w:eastAsia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T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szCs w:val="20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розр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n-1</m:t>
                      </m:r>
                    </m:sub>
                  </m:sSub>
                </m:sub>
              </m:sSub>
              <m:r>
                <m:rPr>
                  <m:sty m:val="b"/>
                </m:rPr>
                <w:rPr>
                  <w:rFonts w:ascii="Cambria Math" w:hAnsi="Cambria Math"/>
                  <w:szCs w:val="20"/>
                  <w:lang w:eastAsia="en-US"/>
                </w:rPr>
                <m:t>+D×</m:t>
              </m:r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g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n</m:t>
                  </m:r>
                </m:sub>
              </m:sSub>
            </m:oMath>
            <w:r w:rsidR="00742FE8" w:rsidRPr="00206BD2">
              <w:rPr>
                <w:b/>
                <w:bCs/>
                <w:szCs w:val="20"/>
                <w:lang w:eastAsia="en-US"/>
              </w:rPr>
              <w:t>, (грн за 1 м</w:t>
            </w:r>
            <w:r w:rsidR="00742FE8" w:rsidRPr="00206BD2">
              <w:rPr>
                <w:b/>
                <w:bCs/>
                <w:szCs w:val="20"/>
                <w:vertAlign w:val="superscript"/>
                <w:lang w:eastAsia="en-US"/>
              </w:rPr>
              <w:t>3</w:t>
            </w:r>
            <w:r w:rsidR="00742FE8" w:rsidRPr="00206BD2">
              <w:rPr>
                <w:b/>
                <w:bCs/>
                <w:szCs w:val="20"/>
                <w:lang w:eastAsia="en-US"/>
              </w:rPr>
              <w:t xml:space="preserve"> на місяць),                      (15)</w:t>
            </w:r>
          </w:p>
          <w:p w14:paraId="7A731BE6" w14:textId="6B53EA2E" w:rsidR="009B4ECA" w:rsidRDefault="004F1B6B" w:rsidP="009B4ECA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w:bookmarkStart w:id="5" w:name="_Hlk207033212"/>
            <w:bookmarkEnd w:id="4"/>
            <w:r>
              <w:rPr>
                <w:b/>
                <w:bCs/>
                <w:szCs w:val="20"/>
                <w:lang w:eastAsia="en-US"/>
              </w:rPr>
              <w:lastRenderedPageBreak/>
              <w:t xml:space="preserve">де </w:t>
            </w:r>
            <w:r w:rsidR="009B4ECA" w:rsidRPr="00206BD2">
              <w:rPr>
                <w:b/>
                <w:bCs/>
                <w:szCs w:val="20"/>
                <w:lang w:eastAsia="en-US"/>
              </w:rPr>
              <w:t>n – відповідний етап перехідного періоду</w:t>
            </w:r>
            <w:r w:rsidR="009B4ECA">
              <w:rPr>
                <w:b/>
                <w:bCs/>
                <w:szCs w:val="20"/>
                <w:lang w:eastAsia="en-US"/>
              </w:rPr>
              <w:t>;</w:t>
            </w:r>
          </w:p>
          <w:p w14:paraId="2D3369D6" w14:textId="31A19FF2" w:rsidR="00206BD2" w:rsidRPr="00206BD2" w:rsidRDefault="00310ACD" w:rsidP="00206BD2">
            <w:pPr>
              <w:pStyle w:val="rvps2"/>
              <w:shd w:val="clear" w:color="auto" w:fill="FFFFFF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  <w:lang w:eastAsia="en-US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szCs w:val="20"/>
                      <w:lang w:eastAsia="en-US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g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Cs w:val="20"/>
                      <w:lang w:eastAsia="en-US"/>
                    </w:rPr>
                    <m:t>n</m:t>
                  </m:r>
                </m:sub>
              </m:sSub>
            </m:oMath>
            <w:r w:rsidR="00206BD2" w:rsidRPr="00206BD2">
              <w:rPr>
                <w:b/>
                <w:bCs/>
                <w:szCs w:val="20"/>
                <w:lang w:eastAsia="en-US"/>
              </w:rPr>
              <w:t xml:space="preserve"> – коефіцієнт, що застосовується НКРЕКП </w:t>
            </w:r>
            <w:r w:rsidR="00206BD2" w:rsidRPr="009B4ECA">
              <w:rPr>
                <w:b/>
                <w:bCs/>
                <w:szCs w:val="20"/>
                <w:lang w:eastAsia="en-US"/>
              </w:rPr>
              <w:t xml:space="preserve">в </w:t>
            </w:r>
            <w:r w:rsidR="00206BD2">
              <w:rPr>
                <w:b/>
                <w:bCs/>
                <w:szCs w:val="20"/>
                <w:lang w:eastAsia="en-US"/>
              </w:rPr>
              <w:t>однаковому розмірі</w:t>
            </w:r>
            <w:r w:rsidR="00206BD2" w:rsidRPr="00206BD2">
              <w:rPr>
                <w:b/>
                <w:bCs/>
                <w:szCs w:val="20"/>
                <w:lang w:eastAsia="en-US"/>
              </w:rPr>
              <w:t xml:space="preserve"> для ліцензіатів у відповідному </w:t>
            </w:r>
            <w:r w:rsidR="00206BD2">
              <w:rPr>
                <w:b/>
                <w:bCs/>
                <w:szCs w:val="20"/>
              </w:rPr>
              <w:t xml:space="preserve">етапі </w:t>
            </w:r>
            <w:r w:rsidR="00206BD2" w:rsidRPr="00206BD2">
              <w:rPr>
                <w:b/>
                <w:bCs/>
                <w:i/>
                <w:szCs w:val="20"/>
                <w:lang w:val="en-US"/>
              </w:rPr>
              <w:t>n</w:t>
            </w:r>
            <w:r w:rsidR="00206BD2" w:rsidRPr="009B4ECA">
              <w:rPr>
                <w:b/>
                <w:bCs/>
                <w:szCs w:val="20"/>
              </w:rPr>
              <w:t xml:space="preserve"> </w:t>
            </w:r>
            <w:r w:rsidR="00206BD2" w:rsidRPr="00206BD2">
              <w:rPr>
                <w:b/>
                <w:bCs/>
                <w:szCs w:val="20"/>
                <w:lang w:eastAsia="en-US"/>
              </w:rPr>
              <w:t>перехідного періоду</w:t>
            </w:r>
            <w:r w:rsidR="00206BD2">
              <w:rPr>
                <w:b/>
                <w:bCs/>
                <w:szCs w:val="20"/>
                <w:lang w:eastAsia="en-US"/>
              </w:rPr>
              <w:t>,</w:t>
            </w:r>
            <w:r w:rsidR="00206BD2" w:rsidRPr="00206BD2">
              <w:rPr>
                <w:b/>
                <w:bCs/>
                <w:szCs w:val="20"/>
                <w:lang w:eastAsia="en-US"/>
              </w:rPr>
              <w:t xml:space="preserve"> з метою поетапного досягнення цільового рівня тариф</w:t>
            </w:r>
            <w:r w:rsidR="00EC4368">
              <w:rPr>
                <w:b/>
                <w:bCs/>
                <w:szCs w:val="20"/>
                <w:lang w:eastAsia="en-US"/>
              </w:rPr>
              <w:t>у</w:t>
            </w:r>
            <w:r w:rsidR="00206BD2" w:rsidRPr="00206BD2">
              <w:rPr>
                <w:b/>
                <w:bCs/>
                <w:szCs w:val="20"/>
                <w:lang w:eastAsia="en-US"/>
              </w:rPr>
              <w:t xml:space="preserve"> на послуги розподілу природного газу</w:t>
            </w:r>
            <w:r w:rsidR="009B4ECA">
              <w:rPr>
                <w:b/>
                <w:bCs/>
                <w:szCs w:val="20"/>
                <w:lang w:eastAsia="en-US"/>
              </w:rPr>
              <w:t xml:space="preserve">, при цьому </w:t>
            </w:r>
            <m:oMath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b/>
                      <w:bCs/>
                      <w:i/>
                      <w:szCs w:val="20"/>
                      <w:lang w:eastAsia="en-US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  <w:b/>
                          <w:bCs/>
                          <w:szCs w:val="20"/>
                          <w:lang w:eastAsia="en-US"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g</m:t>
                      </m:r>
                    </m:e>
                    <m:sub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  <w:szCs w:val="20"/>
                          <w:lang w:eastAsia="en-US"/>
                        </w:rPr>
                        <m:t>n</m:t>
                      </m:r>
                    </m:sub>
                  </m:sSub>
                </m:e>
              </m:nary>
              <m:r>
                <m:rPr>
                  <m:sty m:val="bi"/>
                </m:rPr>
                <w:rPr>
                  <w:rFonts w:ascii="Cambria Math" w:hAnsi="Cambria Math"/>
                  <w:szCs w:val="20"/>
                  <w:lang w:eastAsia="en-US"/>
                </w:rPr>
                <m:t>=1.</m:t>
              </m:r>
            </m:oMath>
          </w:p>
          <w:p w14:paraId="5B848225" w14:textId="77777777" w:rsidR="00206BD2" w:rsidRPr="004F2FED" w:rsidRDefault="00206BD2" w:rsidP="00742FE8">
            <w:pPr>
              <w:pStyle w:val="rvps2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</w:rPr>
            </w:pPr>
          </w:p>
          <w:p w14:paraId="68152805" w14:textId="1E2B3D28" w:rsidR="00C023D9" w:rsidRPr="00206BD2" w:rsidRDefault="008C17E2" w:rsidP="00206BD2">
            <w:pPr>
              <w:pStyle w:val="rvps2"/>
              <w:tabs>
                <w:tab w:val="left" w:pos="465"/>
              </w:tabs>
              <w:spacing w:before="0" w:beforeAutospacing="0" w:after="0" w:afterAutospacing="0"/>
              <w:ind w:left="22" w:firstLine="567"/>
              <w:jc w:val="both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5</w:t>
            </w:r>
            <w:r w:rsidR="004364E2" w:rsidRPr="00206BD2">
              <w:rPr>
                <w:b/>
                <w:bCs/>
                <w:szCs w:val="20"/>
              </w:rPr>
              <w:t xml:space="preserve">. </w:t>
            </w:r>
            <w:r w:rsidR="004F1B6B" w:rsidRPr="004F1B6B">
              <w:rPr>
                <w:b/>
                <w:bCs/>
                <w:szCs w:val="20"/>
              </w:rPr>
              <w:t>На останньому етапі перехідного періоду, тариф на послуги розподілу природного газу може бути збільшений на величину, еквівалентну недоотриманій планованій тарифній виручці, що виникла у зв’язку із застосуванням механізму його поетапного приведення до цільового рівня.</w:t>
            </w:r>
            <w:bookmarkStart w:id="6" w:name="n352"/>
            <w:bookmarkEnd w:id="5"/>
            <w:bookmarkEnd w:id="6"/>
          </w:p>
        </w:tc>
      </w:tr>
    </w:tbl>
    <w:p w14:paraId="6DAD7E0D" w14:textId="77777777" w:rsidR="007E47BB" w:rsidRPr="00206BD2" w:rsidRDefault="007E47BB" w:rsidP="00950ED1">
      <w:pPr>
        <w:pStyle w:val="a4"/>
        <w:spacing w:before="0" w:beforeAutospacing="0" w:after="0" w:afterAutospacing="0"/>
        <w:rPr>
          <w:b/>
        </w:rPr>
      </w:pPr>
    </w:p>
    <w:sectPr w:rsidR="007E47BB" w:rsidRPr="00206BD2" w:rsidSect="0027443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A1161" w14:textId="77777777" w:rsidR="00A51BD9" w:rsidRDefault="00A51BD9" w:rsidP="00257C3A">
      <w:pPr>
        <w:spacing w:after="0" w:line="240" w:lineRule="auto"/>
      </w:pPr>
      <w:r>
        <w:separator/>
      </w:r>
    </w:p>
  </w:endnote>
  <w:endnote w:type="continuationSeparator" w:id="0">
    <w:p w14:paraId="2F7F73C4" w14:textId="77777777" w:rsidR="00A51BD9" w:rsidRDefault="00A51BD9" w:rsidP="00257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C3F852" w14:textId="77777777" w:rsidR="00A51BD9" w:rsidRDefault="00A51BD9" w:rsidP="00257C3A">
      <w:pPr>
        <w:spacing w:after="0" w:line="240" w:lineRule="auto"/>
      </w:pPr>
      <w:r>
        <w:separator/>
      </w:r>
    </w:p>
  </w:footnote>
  <w:footnote w:type="continuationSeparator" w:id="0">
    <w:p w14:paraId="76BF090C" w14:textId="77777777" w:rsidR="00A51BD9" w:rsidRDefault="00A51BD9" w:rsidP="00257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B0269"/>
    <w:multiLevelType w:val="hybridMultilevel"/>
    <w:tmpl w:val="E9A2A7C2"/>
    <w:lvl w:ilvl="0" w:tplc="D8EA2886">
      <w:start w:val="1"/>
      <w:numFmt w:val="decimal"/>
      <w:lvlText w:val="10.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8421542"/>
    <w:multiLevelType w:val="hybridMultilevel"/>
    <w:tmpl w:val="2B62C964"/>
    <w:lvl w:ilvl="0" w:tplc="4DA2BBA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  <w:b w:val="0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3208" w:hanging="360"/>
      </w:pPr>
    </w:lvl>
    <w:lvl w:ilvl="2" w:tplc="0422001B" w:tentative="1">
      <w:start w:val="1"/>
      <w:numFmt w:val="lowerRoman"/>
      <w:lvlText w:val="%3."/>
      <w:lvlJc w:val="right"/>
      <w:pPr>
        <w:ind w:left="3928" w:hanging="180"/>
      </w:pPr>
    </w:lvl>
    <w:lvl w:ilvl="3" w:tplc="0422000F" w:tentative="1">
      <w:start w:val="1"/>
      <w:numFmt w:val="decimal"/>
      <w:lvlText w:val="%4."/>
      <w:lvlJc w:val="left"/>
      <w:pPr>
        <w:ind w:left="4648" w:hanging="360"/>
      </w:pPr>
    </w:lvl>
    <w:lvl w:ilvl="4" w:tplc="04220019" w:tentative="1">
      <w:start w:val="1"/>
      <w:numFmt w:val="lowerLetter"/>
      <w:lvlText w:val="%5."/>
      <w:lvlJc w:val="left"/>
      <w:pPr>
        <w:ind w:left="5368" w:hanging="360"/>
      </w:pPr>
    </w:lvl>
    <w:lvl w:ilvl="5" w:tplc="0422001B" w:tentative="1">
      <w:start w:val="1"/>
      <w:numFmt w:val="lowerRoman"/>
      <w:lvlText w:val="%6."/>
      <w:lvlJc w:val="right"/>
      <w:pPr>
        <w:ind w:left="6088" w:hanging="180"/>
      </w:pPr>
    </w:lvl>
    <w:lvl w:ilvl="6" w:tplc="0422000F" w:tentative="1">
      <w:start w:val="1"/>
      <w:numFmt w:val="decimal"/>
      <w:lvlText w:val="%7."/>
      <w:lvlJc w:val="left"/>
      <w:pPr>
        <w:ind w:left="6808" w:hanging="360"/>
      </w:pPr>
    </w:lvl>
    <w:lvl w:ilvl="7" w:tplc="04220019" w:tentative="1">
      <w:start w:val="1"/>
      <w:numFmt w:val="lowerLetter"/>
      <w:lvlText w:val="%8."/>
      <w:lvlJc w:val="left"/>
      <w:pPr>
        <w:ind w:left="7528" w:hanging="360"/>
      </w:pPr>
    </w:lvl>
    <w:lvl w:ilvl="8" w:tplc="0422001B" w:tentative="1">
      <w:start w:val="1"/>
      <w:numFmt w:val="lowerRoman"/>
      <w:lvlText w:val="%9."/>
      <w:lvlJc w:val="right"/>
      <w:pPr>
        <w:ind w:left="8248" w:hanging="180"/>
      </w:pPr>
    </w:lvl>
  </w:abstractNum>
  <w:abstractNum w:abstractNumId="2" w15:restartNumberingAfterBreak="0">
    <w:nsid w:val="3DF22F0A"/>
    <w:multiLevelType w:val="hybridMultilevel"/>
    <w:tmpl w:val="990CD2E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976626">
    <w:abstractNumId w:val="0"/>
  </w:num>
  <w:num w:numId="2" w16cid:durableId="764115695">
    <w:abstractNumId w:val="2"/>
  </w:num>
  <w:num w:numId="3" w16cid:durableId="1164778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199A"/>
    <w:rsid w:val="000060D0"/>
    <w:rsid w:val="000262DF"/>
    <w:rsid w:val="000308F8"/>
    <w:rsid w:val="00036C3A"/>
    <w:rsid w:val="00060EB0"/>
    <w:rsid w:val="00061A64"/>
    <w:rsid w:val="00064BDE"/>
    <w:rsid w:val="000655D7"/>
    <w:rsid w:val="00072BBB"/>
    <w:rsid w:val="00080C55"/>
    <w:rsid w:val="000835D8"/>
    <w:rsid w:val="000A67A6"/>
    <w:rsid w:val="000C43F0"/>
    <w:rsid w:val="000C6C8F"/>
    <w:rsid w:val="000D4A84"/>
    <w:rsid w:val="000E2860"/>
    <w:rsid w:val="000E2D6E"/>
    <w:rsid w:val="000F1B73"/>
    <w:rsid w:val="000F5CE7"/>
    <w:rsid w:val="001029DC"/>
    <w:rsid w:val="00104F6D"/>
    <w:rsid w:val="001120F8"/>
    <w:rsid w:val="00117221"/>
    <w:rsid w:val="00117684"/>
    <w:rsid w:val="00141C7C"/>
    <w:rsid w:val="00142A0B"/>
    <w:rsid w:val="0014406E"/>
    <w:rsid w:val="00144CDF"/>
    <w:rsid w:val="00146C72"/>
    <w:rsid w:val="00152EF0"/>
    <w:rsid w:val="001562B4"/>
    <w:rsid w:val="00156D30"/>
    <w:rsid w:val="00157AAD"/>
    <w:rsid w:val="00161270"/>
    <w:rsid w:val="00180A6F"/>
    <w:rsid w:val="00186964"/>
    <w:rsid w:val="001904D7"/>
    <w:rsid w:val="00195C53"/>
    <w:rsid w:val="001A0AA5"/>
    <w:rsid w:val="001A3309"/>
    <w:rsid w:val="001A3FBA"/>
    <w:rsid w:val="001A66A8"/>
    <w:rsid w:val="001B0C28"/>
    <w:rsid w:val="001B2E0C"/>
    <w:rsid w:val="001B4EB7"/>
    <w:rsid w:val="001D4068"/>
    <w:rsid w:val="001D71AF"/>
    <w:rsid w:val="001D7431"/>
    <w:rsid w:val="001E40B0"/>
    <w:rsid w:val="001E44F4"/>
    <w:rsid w:val="001E6A9B"/>
    <w:rsid w:val="001E77F5"/>
    <w:rsid w:val="001E7BDD"/>
    <w:rsid w:val="00201D8E"/>
    <w:rsid w:val="00206BD2"/>
    <w:rsid w:val="002278EC"/>
    <w:rsid w:val="00231BE0"/>
    <w:rsid w:val="002548EB"/>
    <w:rsid w:val="00257C3A"/>
    <w:rsid w:val="002601DF"/>
    <w:rsid w:val="00260417"/>
    <w:rsid w:val="00274430"/>
    <w:rsid w:val="00296464"/>
    <w:rsid w:val="002A0ED1"/>
    <w:rsid w:val="002C381F"/>
    <w:rsid w:val="00310ACD"/>
    <w:rsid w:val="00317B33"/>
    <w:rsid w:val="003217E7"/>
    <w:rsid w:val="0032437F"/>
    <w:rsid w:val="003305B9"/>
    <w:rsid w:val="00332DBD"/>
    <w:rsid w:val="00342C3F"/>
    <w:rsid w:val="00342DA3"/>
    <w:rsid w:val="00345F6F"/>
    <w:rsid w:val="0034721F"/>
    <w:rsid w:val="00350F52"/>
    <w:rsid w:val="00351BD6"/>
    <w:rsid w:val="00354CDF"/>
    <w:rsid w:val="00362659"/>
    <w:rsid w:val="003663C2"/>
    <w:rsid w:val="00371C14"/>
    <w:rsid w:val="003737EF"/>
    <w:rsid w:val="00373FC7"/>
    <w:rsid w:val="003752F4"/>
    <w:rsid w:val="00375C7C"/>
    <w:rsid w:val="0038199A"/>
    <w:rsid w:val="00382CFB"/>
    <w:rsid w:val="003B065A"/>
    <w:rsid w:val="003B2BAC"/>
    <w:rsid w:val="003D3487"/>
    <w:rsid w:val="003D3AAA"/>
    <w:rsid w:val="003F1ADF"/>
    <w:rsid w:val="00406DC9"/>
    <w:rsid w:val="0041343E"/>
    <w:rsid w:val="004224A0"/>
    <w:rsid w:val="00422DD1"/>
    <w:rsid w:val="004234B5"/>
    <w:rsid w:val="00432BD2"/>
    <w:rsid w:val="004364E2"/>
    <w:rsid w:val="004377DB"/>
    <w:rsid w:val="00437EBF"/>
    <w:rsid w:val="004469A8"/>
    <w:rsid w:val="00450866"/>
    <w:rsid w:val="00452931"/>
    <w:rsid w:val="004602ED"/>
    <w:rsid w:val="00464BE8"/>
    <w:rsid w:val="00465894"/>
    <w:rsid w:val="004878C2"/>
    <w:rsid w:val="00494269"/>
    <w:rsid w:val="004A31E8"/>
    <w:rsid w:val="004B57E5"/>
    <w:rsid w:val="004B6C89"/>
    <w:rsid w:val="004B6EAB"/>
    <w:rsid w:val="004B7A30"/>
    <w:rsid w:val="004C2300"/>
    <w:rsid w:val="004C7326"/>
    <w:rsid w:val="004D46F2"/>
    <w:rsid w:val="004D5DAB"/>
    <w:rsid w:val="004D61F3"/>
    <w:rsid w:val="004E7CFE"/>
    <w:rsid w:val="004F1B6B"/>
    <w:rsid w:val="004F24A0"/>
    <w:rsid w:val="004F2D47"/>
    <w:rsid w:val="004F2FED"/>
    <w:rsid w:val="004F4582"/>
    <w:rsid w:val="005017BF"/>
    <w:rsid w:val="00510F09"/>
    <w:rsid w:val="005172FB"/>
    <w:rsid w:val="00526BAA"/>
    <w:rsid w:val="00554FE8"/>
    <w:rsid w:val="00560EDA"/>
    <w:rsid w:val="005771E4"/>
    <w:rsid w:val="005A002C"/>
    <w:rsid w:val="005A5715"/>
    <w:rsid w:val="005A7964"/>
    <w:rsid w:val="005B3FC2"/>
    <w:rsid w:val="005B4A0D"/>
    <w:rsid w:val="005C324D"/>
    <w:rsid w:val="005C5DBF"/>
    <w:rsid w:val="005D3D26"/>
    <w:rsid w:val="005E160C"/>
    <w:rsid w:val="005E53C2"/>
    <w:rsid w:val="005E73E8"/>
    <w:rsid w:val="005F5810"/>
    <w:rsid w:val="005F65D0"/>
    <w:rsid w:val="006047F6"/>
    <w:rsid w:val="00611DE4"/>
    <w:rsid w:val="0061732C"/>
    <w:rsid w:val="006216A1"/>
    <w:rsid w:val="006231A9"/>
    <w:rsid w:val="006300E0"/>
    <w:rsid w:val="00634A90"/>
    <w:rsid w:val="0064268E"/>
    <w:rsid w:val="006449DD"/>
    <w:rsid w:val="00645A75"/>
    <w:rsid w:val="00663837"/>
    <w:rsid w:val="006A3459"/>
    <w:rsid w:val="006B08FC"/>
    <w:rsid w:val="006B466C"/>
    <w:rsid w:val="006C5907"/>
    <w:rsid w:val="006D427C"/>
    <w:rsid w:val="006D4E1C"/>
    <w:rsid w:val="006D5963"/>
    <w:rsid w:val="006E3F4E"/>
    <w:rsid w:val="0070485E"/>
    <w:rsid w:val="00711783"/>
    <w:rsid w:val="00711D6F"/>
    <w:rsid w:val="007128D3"/>
    <w:rsid w:val="00742FE8"/>
    <w:rsid w:val="00747D1E"/>
    <w:rsid w:val="007533AF"/>
    <w:rsid w:val="007560AD"/>
    <w:rsid w:val="007621B2"/>
    <w:rsid w:val="0076285C"/>
    <w:rsid w:val="00762AC4"/>
    <w:rsid w:val="00762E0C"/>
    <w:rsid w:val="007739DD"/>
    <w:rsid w:val="00776520"/>
    <w:rsid w:val="00782C0B"/>
    <w:rsid w:val="007B13AB"/>
    <w:rsid w:val="007D2194"/>
    <w:rsid w:val="007D425B"/>
    <w:rsid w:val="007D6F81"/>
    <w:rsid w:val="007E0022"/>
    <w:rsid w:val="007E1F45"/>
    <w:rsid w:val="007E3644"/>
    <w:rsid w:val="007E47BB"/>
    <w:rsid w:val="007F0BB3"/>
    <w:rsid w:val="007F40B9"/>
    <w:rsid w:val="007F42F5"/>
    <w:rsid w:val="007F52CF"/>
    <w:rsid w:val="00807083"/>
    <w:rsid w:val="00814E5B"/>
    <w:rsid w:val="00815D48"/>
    <w:rsid w:val="00820228"/>
    <w:rsid w:val="00827785"/>
    <w:rsid w:val="00832E07"/>
    <w:rsid w:val="00847444"/>
    <w:rsid w:val="00852EC0"/>
    <w:rsid w:val="008612F1"/>
    <w:rsid w:val="00875902"/>
    <w:rsid w:val="008810B7"/>
    <w:rsid w:val="00883697"/>
    <w:rsid w:val="008A52CD"/>
    <w:rsid w:val="008A5EF0"/>
    <w:rsid w:val="008A6F51"/>
    <w:rsid w:val="008C0250"/>
    <w:rsid w:val="008C1724"/>
    <w:rsid w:val="008C17E2"/>
    <w:rsid w:val="008D554C"/>
    <w:rsid w:val="008F0689"/>
    <w:rsid w:val="008F1999"/>
    <w:rsid w:val="00906D98"/>
    <w:rsid w:val="0091476E"/>
    <w:rsid w:val="00915A7B"/>
    <w:rsid w:val="00916DD6"/>
    <w:rsid w:val="00925A62"/>
    <w:rsid w:val="00925C1B"/>
    <w:rsid w:val="00926320"/>
    <w:rsid w:val="00934C4C"/>
    <w:rsid w:val="00937CF8"/>
    <w:rsid w:val="009412D9"/>
    <w:rsid w:val="009417FE"/>
    <w:rsid w:val="00950ED1"/>
    <w:rsid w:val="00951941"/>
    <w:rsid w:val="00953132"/>
    <w:rsid w:val="00955621"/>
    <w:rsid w:val="00957DCF"/>
    <w:rsid w:val="00962E2A"/>
    <w:rsid w:val="00963171"/>
    <w:rsid w:val="00963229"/>
    <w:rsid w:val="00975DBA"/>
    <w:rsid w:val="009817C0"/>
    <w:rsid w:val="009820AE"/>
    <w:rsid w:val="00986697"/>
    <w:rsid w:val="0099247E"/>
    <w:rsid w:val="009A0ABB"/>
    <w:rsid w:val="009A1C70"/>
    <w:rsid w:val="009B4ECA"/>
    <w:rsid w:val="009C29DA"/>
    <w:rsid w:val="009C6367"/>
    <w:rsid w:val="009D4C99"/>
    <w:rsid w:val="009D4D33"/>
    <w:rsid w:val="009D5DB9"/>
    <w:rsid w:val="009D7239"/>
    <w:rsid w:val="009D7E83"/>
    <w:rsid w:val="009E453F"/>
    <w:rsid w:val="00A04CB8"/>
    <w:rsid w:val="00A07BE4"/>
    <w:rsid w:val="00A16AA2"/>
    <w:rsid w:val="00A2644A"/>
    <w:rsid w:val="00A274C1"/>
    <w:rsid w:val="00A40DD6"/>
    <w:rsid w:val="00A4717B"/>
    <w:rsid w:val="00A51BD9"/>
    <w:rsid w:val="00A61421"/>
    <w:rsid w:val="00A6422D"/>
    <w:rsid w:val="00A72F7B"/>
    <w:rsid w:val="00A73FF2"/>
    <w:rsid w:val="00A845AE"/>
    <w:rsid w:val="00A916F5"/>
    <w:rsid w:val="00A94676"/>
    <w:rsid w:val="00A9669C"/>
    <w:rsid w:val="00A97247"/>
    <w:rsid w:val="00AA31C1"/>
    <w:rsid w:val="00AA3E40"/>
    <w:rsid w:val="00AA429F"/>
    <w:rsid w:val="00AA5EEE"/>
    <w:rsid w:val="00AA75F8"/>
    <w:rsid w:val="00AB64AB"/>
    <w:rsid w:val="00AB6C11"/>
    <w:rsid w:val="00AC28DA"/>
    <w:rsid w:val="00AE33EF"/>
    <w:rsid w:val="00AE74EC"/>
    <w:rsid w:val="00AF02ED"/>
    <w:rsid w:val="00B062A9"/>
    <w:rsid w:val="00B06BBE"/>
    <w:rsid w:val="00B06E6A"/>
    <w:rsid w:val="00B61842"/>
    <w:rsid w:val="00B66834"/>
    <w:rsid w:val="00B72921"/>
    <w:rsid w:val="00B75A3F"/>
    <w:rsid w:val="00B77F4D"/>
    <w:rsid w:val="00B82A37"/>
    <w:rsid w:val="00B8307F"/>
    <w:rsid w:val="00B870BA"/>
    <w:rsid w:val="00B87809"/>
    <w:rsid w:val="00BA4B2A"/>
    <w:rsid w:val="00BB1155"/>
    <w:rsid w:val="00BB2465"/>
    <w:rsid w:val="00BC5BC3"/>
    <w:rsid w:val="00BF1961"/>
    <w:rsid w:val="00BF1D24"/>
    <w:rsid w:val="00C023D9"/>
    <w:rsid w:val="00C033AB"/>
    <w:rsid w:val="00C03B53"/>
    <w:rsid w:val="00C044F2"/>
    <w:rsid w:val="00C118F8"/>
    <w:rsid w:val="00C12C7A"/>
    <w:rsid w:val="00C34806"/>
    <w:rsid w:val="00C41EFE"/>
    <w:rsid w:val="00C5038B"/>
    <w:rsid w:val="00C52BFC"/>
    <w:rsid w:val="00C55881"/>
    <w:rsid w:val="00C57D41"/>
    <w:rsid w:val="00C6382E"/>
    <w:rsid w:val="00C6767A"/>
    <w:rsid w:val="00C7147A"/>
    <w:rsid w:val="00C72706"/>
    <w:rsid w:val="00C80C45"/>
    <w:rsid w:val="00C81459"/>
    <w:rsid w:val="00C8526B"/>
    <w:rsid w:val="00C85762"/>
    <w:rsid w:val="00CB2057"/>
    <w:rsid w:val="00CB3BF2"/>
    <w:rsid w:val="00CC01A7"/>
    <w:rsid w:val="00CE0D56"/>
    <w:rsid w:val="00CE6063"/>
    <w:rsid w:val="00D10A79"/>
    <w:rsid w:val="00D10FC2"/>
    <w:rsid w:val="00D13FAB"/>
    <w:rsid w:val="00D22B2E"/>
    <w:rsid w:val="00D2523A"/>
    <w:rsid w:val="00D42064"/>
    <w:rsid w:val="00D42539"/>
    <w:rsid w:val="00D42CC9"/>
    <w:rsid w:val="00D5157D"/>
    <w:rsid w:val="00D54D45"/>
    <w:rsid w:val="00D66017"/>
    <w:rsid w:val="00D66AA6"/>
    <w:rsid w:val="00D74096"/>
    <w:rsid w:val="00D76A13"/>
    <w:rsid w:val="00D8000E"/>
    <w:rsid w:val="00D85997"/>
    <w:rsid w:val="00D85C6C"/>
    <w:rsid w:val="00D9036A"/>
    <w:rsid w:val="00D96FE9"/>
    <w:rsid w:val="00DB37FF"/>
    <w:rsid w:val="00DB5C20"/>
    <w:rsid w:val="00DB7FB5"/>
    <w:rsid w:val="00DC7E59"/>
    <w:rsid w:val="00DD548E"/>
    <w:rsid w:val="00DE680C"/>
    <w:rsid w:val="00DF4E6A"/>
    <w:rsid w:val="00DF627D"/>
    <w:rsid w:val="00E21438"/>
    <w:rsid w:val="00E44B0F"/>
    <w:rsid w:val="00E70CD5"/>
    <w:rsid w:val="00E83421"/>
    <w:rsid w:val="00E85DD3"/>
    <w:rsid w:val="00E92847"/>
    <w:rsid w:val="00E97856"/>
    <w:rsid w:val="00EA0439"/>
    <w:rsid w:val="00EB2E8C"/>
    <w:rsid w:val="00EB4EF5"/>
    <w:rsid w:val="00EB60BA"/>
    <w:rsid w:val="00EB679A"/>
    <w:rsid w:val="00EB75F1"/>
    <w:rsid w:val="00EC4368"/>
    <w:rsid w:val="00EC4613"/>
    <w:rsid w:val="00EF1BF5"/>
    <w:rsid w:val="00EF481D"/>
    <w:rsid w:val="00EF501F"/>
    <w:rsid w:val="00EF5966"/>
    <w:rsid w:val="00EF5CFA"/>
    <w:rsid w:val="00F01085"/>
    <w:rsid w:val="00F07759"/>
    <w:rsid w:val="00F11A42"/>
    <w:rsid w:val="00F125CB"/>
    <w:rsid w:val="00F23428"/>
    <w:rsid w:val="00F30D95"/>
    <w:rsid w:val="00F54531"/>
    <w:rsid w:val="00F64526"/>
    <w:rsid w:val="00F95CA3"/>
    <w:rsid w:val="00FA49E5"/>
    <w:rsid w:val="00FB07E6"/>
    <w:rsid w:val="00FB10B0"/>
    <w:rsid w:val="00FB420E"/>
    <w:rsid w:val="00FB4BBC"/>
    <w:rsid w:val="00FC01C4"/>
    <w:rsid w:val="00FC47C4"/>
    <w:rsid w:val="00FD54C2"/>
    <w:rsid w:val="00FF5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514B"/>
  <w15:chartTrackingRefBased/>
  <w15:docId w15:val="{0AE46050-5488-4991-B541-0919225A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73E8"/>
    <w:pPr>
      <w:spacing w:after="200" w:line="276" w:lineRule="auto"/>
    </w:pPr>
    <w:rPr>
      <w:lang w:val="ru-RU"/>
    </w:rPr>
  </w:style>
  <w:style w:type="paragraph" w:styleId="3">
    <w:name w:val="heading 3"/>
    <w:basedOn w:val="a"/>
    <w:link w:val="30"/>
    <w:uiPriority w:val="9"/>
    <w:qFormat/>
    <w:rsid w:val="003737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37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3737E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4">
    <w:name w:val="Normal (Web)"/>
    <w:basedOn w:val="a"/>
    <w:uiPriority w:val="99"/>
    <w:unhideWhenUsed/>
    <w:rsid w:val="00373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List Paragraph"/>
    <w:basedOn w:val="a"/>
    <w:uiPriority w:val="34"/>
    <w:qFormat/>
    <w:rsid w:val="003737E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val="en-US"/>
    </w:rPr>
  </w:style>
  <w:style w:type="paragraph" w:customStyle="1" w:styleId="rvps2">
    <w:name w:val="rvps2"/>
    <w:basedOn w:val="a"/>
    <w:rsid w:val="00560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46">
    <w:name w:val="rvts46"/>
    <w:basedOn w:val="a0"/>
    <w:rsid w:val="00560EDA"/>
  </w:style>
  <w:style w:type="character" w:styleId="a6">
    <w:name w:val="Hyperlink"/>
    <w:basedOn w:val="a0"/>
    <w:uiPriority w:val="99"/>
    <w:unhideWhenUsed/>
    <w:rsid w:val="00560EDA"/>
    <w:rPr>
      <w:color w:val="0000FF"/>
      <w:u w:val="single"/>
    </w:rPr>
  </w:style>
  <w:style w:type="character" w:styleId="a7">
    <w:name w:val="annotation reference"/>
    <w:basedOn w:val="a0"/>
    <w:uiPriority w:val="99"/>
    <w:semiHidden/>
    <w:unhideWhenUsed/>
    <w:rsid w:val="00437EBF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437EBF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rsid w:val="00437EBF"/>
    <w:rPr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37EBF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437EBF"/>
    <w:rPr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437E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437EBF"/>
    <w:rPr>
      <w:rFonts w:ascii="Segoe UI" w:hAnsi="Segoe UI" w:cs="Segoe UI"/>
      <w:sz w:val="18"/>
      <w:szCs w:val="18"/>
      <w:lang w:val="ru-RU"/>
    </w:rPr>
  </w:style>
  <w:style w:type="character" w:styleId="ae">
    <w:name w:val="Placeholder Text"/>
    <w:basedOn w:val="a0"/>
    <w:uiPriority w:val="99"/>
    <w:semiHidden/>
    <w:rsid w:val="004469A8"/>
    <w:rPr>
      <w:color w:val="666666"/>
    </w:rPr>
  </w:style>
  <w:style w:type="paragraph" w:styleId="af">
    <w:name w:val="Revision"/>
    <w:hidden/>
    <w:uiPriority w:val="99"/>
    <w:semiHidden/>
    <w:rsid w:val="00D85997"/>
    <w:pPr>
      <w:spacing w:after="0" w:line="240" w:lineRule="auto"/>
    </w:pPr>
    <w:rPr>
      <w:lang w:val="ru-RU"/>
    </w:rPr>
  </w:style>
  <w:style w:type="paragraph" w:styleId="af0">
    <w:name w:val="header"/>
    <w:basedOn w:val="a"/>
    <w:link w:val="af1"/>
    <w:uiPriority w:val="99"/>
    <w:unhideWhenUsed/>
    <w:rsid w:val="00257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1">
    <w:name w:val="Верхній колонтитул Знак"/>
    <w:basedOn w:val="a0"/>
    <w:link w:val="af0"/>
    <w:uiPriority w:val="99"/>
    <w:rsid w:val="00257C3A"/>
    <w:rPr>
      <w:lang w:val="ru-RU"/>
    </w:rPr>
  </w:style>
  <w:style w:type="paragraph" w:styleId="af2">
    <w:name w:val="footer"/>
    <w:basedOn w:val="a"/>
    <w:link w:val="af3"/>
    <w:uiPriority w:val="99"/>
    <w:unhideWhenUsed/>
    <w:rsid w:val="00257C3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3">
    <w:name w:val="Нижній колонтитул Знак"/>
    <w:basedOn w:val="a0"/>
    <w:link w:val="af2"/>
    <w:uiPriority w:val="99"/>
    <w:rsid w:val="00257C3A"/>
    <w:rPr>
      <w:lang w:val="ru-RU"/>
    </w:rPr>
  </w:style>
  <w:style w:type="character" w:styleId="af4">
    <w:name w:val="Unresolved Mention"/>
    <w:basedOn w:val="a0"/>
    <w:uiPriority w:val="99"/>
    <w:semiHidden/>
    <w:unhideWhenUsed/>
    <w:rsid w:val="00D76A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3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2996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43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0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070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43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08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84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612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77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79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2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2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4478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30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95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2619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35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6510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198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76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0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89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479-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479-20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0828C-1826-4B78-A43D-7A1512038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3</Pages>
  <Words>3252</Words>
  <Characters>1855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NERC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Кулажина</dc:creator>
  <cp:keywords/>
  <dc:description/>
  <cp:lastModifiedBy>Андрій Максимов</cp:lastModifiedBy>
  <cp:revision>50</cp:revision>
  <cp:lastPrinted>2025-05-27T12:08:00Z</cp:lastPrinted>
  <dcterms:created xsi:type="dcterms:W3CDTF">2025-05-28T09:10:00Z</dcterms:created>
  <dcterms:modified xsi:type="dcterms:W3CDTF">2025-09-02T07:04:00Z</dcterms:modified>
</cp:coreProperties>
</file>