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4724F" w14:textId="77777777" w:rsidR="00447909" w:rsidRPr="00C63E24" w:rsidRDefault="00447909" w:rsidP="00E436FE">
      <w:pPr>
        <w:tabs>
          <w:tab w:val="left" w:pos="709"/>
          <w:tab w:val="left" w:pos="1985"/>
        </w:tabs>
        <w:jc w:val="center"/>
        <w:rPr>
          <w:b/>
          <w:bCs/>
          <w:sz w:val="26"/>
          <w:szCs w:val="26"/>
          <w:lang w:val="uk-UA"/>
        </w:rPr>
      </w:pPr>
      <w:r w:rsidRPr="00C63E24">
        <w:rPr>
          <w:b/>
          <w:bCs/>
          <w:sz w:val="26"/>
          <w:szCs w:val="26"/>
          <w:lang w:val="uk-UA"/>
        </w:rPr>
        <w:t>АНАЛІЗ ВПЛИВУ</w:t>
      </w:r>
    </w:p>
    <w:p w14:paraId="6EC15346" w14:textId="292BB701" w:rsidR="00234CD6" w:rsidRPr="00C63E24" w:rsidRDefault="004F34E7" w:rsidP="00E436FE">
      <w:pPr>
        <w:widowControl w:val="0"/>
        <w:tabs>
          <w:tab w:val="left" w:pos="1985"/>
        </w:tabs>
        <w:jc w:val="center"/>
        <w:rPr>
          <w:b/>
          <w:sz w:val="26"/>
          <w:szCs w:val="26"/>
          <w:lang w:val="uk-UA" w:eastAsia="uk-UA"/>
        </w:rPr>
      </w:pPr>
      <w:r w:rsidRPr="004F34E7">
        <w:rPr>
          <w:b/>
          <w:sz w:val="26"/>
          <w:szCs w:val="26"/>
          <w:lang w:val="uk-UA" w:eastAsia="uk-UA"/>
        </w:rPr>
        <w:t xml:space="preserve">проєкту рішення, що має ознаки регуляторного </w:t>
      </w:r>
      <w:proofErr w:type="spellStart"/>
      <w:r w:rsidRPr="004F34E7">
        <w:rPr>
          <w:b/>
          <w:sz w:val="26"/>
          <w:szCs w:val="26"/>
          <w:lang w:val="uk-UA" w:eastAsia="uk-UA"/>
        </w:rPr>
        <w:t>акта</w:t>
      </w:r>
      <w:proofErr w:type="spellEnd"/>
      <w:r w:rsidRPr="004F34E7">
        <w:rPr>
          <w:b/>
          <w:sz w:val="26"/>
          <w:szCs w:val="26"/>
          <w:lang w:val="uk-UA" w:eastAsia="uk-UA"/>
        </w:rPr>
        <w:t xml:space="preserve">, – </w:t>
      </w:r>
      <w:r w:rsidR="00234CD6" w:rsidRPr="00C63E24">
        <w:rPr>
          <w:b/>
          <w:sz w:val="26"/>
          <w:szCs w:val="26"/>
          <w:lang w:val="uk-UA" w:eastAsia="uk-UA"/>
        </w:rPr>
        <w:t xml:space="preserve">постанови </w:t>
      </w:r>
      <w:r w:rsidR="00234CD6" w:rsidRPr="00C63E24">
        <w:rPr>
          <w:b/>
          <w:bCs/>
          <w:sz w:val="26"/>
          <w:szCs w:val="26"/>
          <w:lang w:val="uk-UA" w:eastAsia="uk-UA"/>
        </w:rPr>
        <w:t>Національної комісії, що</w:t>
      </w:r>
      <w:r>
        <w:rPr>
          <w:b/>
          <w:bCs/>
          <w:sz w:val="26"/>
          <w:szCs w:val="26"/>
          <w:lang w:val="uk-UA" w:eastAsia="uk-UA"/>
        </w:rPr>
        <w:t xml:space="preserve"> </w:t>
      </w:r>
      <w:r w:rsidR="00234CD6" w:rsidRPr="00C63E24">
        <w:rPr>
          <w:b/>
          <w:bCs/>
          <w:sz w:val="26"/>
          <w:szCs w:val="26"/>
          <w:lang w:val="uk-UA" w:eastAsia="uk-UA"/>
        </w:rPr>
        <w:t xml:space="preserve">здійснює державне регулювання у сферах енергетики та комунальних послуг, </w:t>
      </w:r>
      <w:r w:rsidR="00234CD6" w:rsidRPr="00C63E24">
        <w:rPr>
          <w:b/>
          <w:sz w:val="26"/>
          <w:szCs w:val="26"/>
          <w:lang w:val="uk-UA" w:eastAsia="uk-UA"/>
        </w:rPr>
        <w:t>«</w:t>
      </w:r>
      <w:r w:rsidR="003163AC" w:rsidRPr="00C63E24">
        <w:rPr>
          <w:b/>
          <w:sz w:val="26"/>
          <w:szCs w:val="26"/>
          <w:lang w:val="uk-UA"/>
        </w:rPr>
        <w:t xml:space="preserve">Про затвердження </w:t>
      </w:r>
      <w:r w:rsidR="00E26FFC" w:rsidRPr="00E26FFC">
        <w:rPr>
          <w:b/>
          <w:sz w:val="26"/>
          <w:szCs w:val="26"/>
          <w:lang w:val="uk-UA"/>
        </w:rPr>
        <w:t>Змін до Методики обрахування плати за спільне використання технологічних електричних мереж</w:t>
      </w:r>
      <w:r w:rsidR="00234CD6" w:rsidRPr="00C63E24">
        <w:rPr>
          <w:b/>
          <w:sz w:val="26"/>
          <w:szCs w:val="26"/>
          <w:lang w:val="uk-UA" w:eastAsia="uk-UA"/>
        </w:rPr>
        <w:t>»</w:t>
      </w:r>
    </w:p>
    <w:p w14:paraId="09A489BD" w14:textId="77777777" w:rsidR="0018292F" w:rsidRPr="00D720BD" w:rsidRDefault="0018292F" w:rsidP="009C1FF7">
      <w:pPr>
        <w:rPr>
          <w:b/>
          <w:sz w:val="20"/>
          <w:szCs w:val="20"/>
          <w:lang w:val="uk-UA"/>
        </w:rPr>
      </w:pPr>
    </w:p>
    <w:p w14:paraId="0844BAF5" w14:textId="77777777" w:rsidR="00447909" w:rsidRPr="00C63E24" w:rsidRDefault="00F03495" w:rsidP="009C1FF7">
      <w:pPr>
        <w:jc w:val="center"/>
        <w:rPr>
          <w:b/>
          <w:sz w:val="26"/>
          <w:szCs w:val="26"/>
          <w:lang w:val="uk-UA"/>
        </w:rPr>
      </w:pPr>
      <w:r w:rsidRPr="00C63E24">
        <w:rPr>
          <w:b/>
          <w:sz w:val="26"/>
          <w:szCs w:val="26"/>
          <w:lang w:val="uk-UA"/>
        </w:rPr>
        <w:t>І. Визначення проблеми</w:t>
      </w:r>
    </w:p>
    <w:p w14:paraId="4FC4EB52" w14:textId="77777777" w:rsidR="00F03495" w:rsidRPr="00D720BD" w:rsidRDefault="00F03495" w:rsidP="009C1FF7">
      <w:pPr>
        <w:ind w:firstLine="709"/>
        <w:jc w:val="both"/>
        <w:rPr>
          <w:sz w:val="20"/>
          <w:szCs w:val="20"/>
          <w:lang w:val="uk-UA"/>
        </w:rPr>
      </w:pPr>
    </w:p>
    <w:p w14:paraId="508489F8" w14:textId="77777777" w:rsidR="008640C2" w:rsidRDefault="008640C2" w:rsidP="009C1FF7">
      <w:pPr>
        <w:ind w:firstLine="709"/>
        <w:jc w:val="both"/>
        <w:rPr>
          <w:sz w:val="26"/>
          <w:szCs w:val="26"/>
          <w:lang w:val="uk-UA"/>
        </w:rPr>
      </w:pPr>
      <w:r w:rsidRPr="00C63E24">
        <w:rPr>
          <w:sz w:val="26"/>
          <w:szCs w:val="26"/>
          <w:lang w:val="uk-UA"/>
        </w:rPr>
        <w:t xml:space="preserve">Згідно </w:t>
      </w:r>
      <w:r w:rsidR="00434CA5" w:rsidRPr="00C63E24">
        <w:rPr>
          <w:sz w:val="26"/>
          <w:szCs w:val="26"/>
          <w:lang w:val="uk-UA"/>
        </w:rPr>
        <w:t>і</w:t>
      </w:r>
      <w:r w:rsidRPr="00C63E24">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C63E24">
        <w:rPr>
          <w:sz w:val="26"/>
          <w:szCs w:val="26"/>
          <w:lang w:val="uk-UA"/>
        </w:rPr>
        <w:t>г</w:t>
      </w:r>
      <w:r w:rsidRPr="00C63E24">
        <w:rPr>
          <w:sz w:val="26"/>
          <w:szCs w:val="26"/>
          <w:lang w:val="uk-UA"/>
        </w:rPr>
        <w:t>», «Про ринок електричної енергії» Національна комісія, що здійснює державне регулювання у сферах енергетики та комунальних послу</w:t>
      </w:r>
      <w:r w:rsidR="008319C6" w:rsidRPr="00C63E24">
        <w:rPr>
          <w:sz w:val="26"/>
          <w:szCs w:val="26"/>
          <w:lang w:val="uk-UA"/>
        </w:rPr>
        <w:t>г</w:t>
      </w:r>
      <w:r w:rsidRPr="00C63E24">
        <w:rPr>
          <w:sz w:val="26"/>
          <w:szCs w:val="26"/>
          <w:lang w:val="uk-UA"/>
        </w:rPr>
        <w:t xml:space="preserve"> (далі – НКРЕКП, Регулятор), здійснює державне регулювання ринку електричної енергії.</w:t>
      </w:r>
    </w:p>
    <w:p w14:paraId="1BF5D65A" w14:textId="016961C3" w:rsidR="00E26FFC" w:rsidRPr="00C63E24" w:rsidRDefault="008F3973" w:rsidP="009C1FF7">
      <w:pPr>
        <w:ind w:firstLine="709"/>
        <w:jc w:val="both"/>
        <w:rPr>
          <w:sz w:val="26"/>
          <w:szCs w:val="26"/>
          <w:lang w:val="uk-UA"/>
        </w:rPr>
      </w:pPr>
      <w:r>
        <w:rPr>
          <w:sz w:val="26"/>
          <w:szCs w:val="26"/>
          <w:lang w:val="uk-UA"/>
        </w:rPr>
        <w:t>В</w:t>
      </w:r>
      <w:r w:rsidRPr="008F3973">
        <w:rPr>
          <w:sz w:val="26"/>
          <w:szCs w:val="26"/>
          <w:lang w:val="uk-UA"/>
        </w:rPr>
        <w:t xml:space="preserve">заємовідносини щодо купівлі-продажу електричної енергії між </w:t>
      </w:r>
      <w:proofErr w:type="spellStart"/>
      <w:r w:rsidRPr="008F3973">
        <w:rPr>
          <w:sz w:val="26"/>
          <w:szCs w:val="26"/>
          <w:lang w:val="uk-UA"/>
        </w:rPr>
        <w:t>електропостачальником</w:t>
      </w:r>
      <w:proofErr w:type="spellEnd"/>
      <w:r w:rsidRPr="008F3973">
        <w:rPr>
          <w:sz w:val="26"/>
          <w:szCs w:val="26"/>
          <w:lang w:val="uk-UA"/>
        </w:rPr>
        <w:t xml:space="preserve"> та споживачем (для власного споживання), а також їх взаємовідносини з іншими учасниками роздрібного ринку електричної енергії, регулюються Закон</w:t>
      </w:r>
      <w:r>
        <w:rPr>
          <w:sz w:val="26"/>
          <w:szCs w:val="26"/>
          <w:lang w:val="uk-UA"/>
        </w:rPr>
        <w:t>ом України «</w:t>
      </w:r>
      <w:r w:rsidRPr="008F3973">
        <w:rPr>
          <w:sz w:val="26"/>
          <w:szCs w:val="26"/>
          <w:lang w:val="uk-UA"/>
        </w:rPr>
        <w:t>Про ринок електричної енергії»</w:t>
      </w:r>
      <w:r>
        <w:rPr>
          <w:sz w:val="26"/>
          <w:szCs w:val="26"/>
          <w:lang w:val="uk-UA"/>
        </w:rPr>
        <w:t xml:space="preserve"> та</w:t>
      </w:r>
      <w:r w:rsidRPr="008F3973">
        <w:rPr>
          <w:sz w:val="26"/>
          <w:szCs w:val="26"/>
          <w:lang w:val="uk-UA"/>
        </w:rPr>
        <w:t xml:space="preserve"> Правилами роздрібного ринку електричної енергії, затвердженими постановою НКРЕКП від</w:t>
      </w:r>
      <w:r>
        <w:rPr>
          <w:sz w:val="26"/>
          <w:szCs w:val="26"/>
          <w:lang w:val="uk-UA"/>
        </w:rPr>
        <w:t> </w:t>
      </w:r>
      <w:r w:rsidRPr="008F3973">
        <w:rPr>
          <w:sz w:val="26"/>
          <w:szCs w:val="26"/>
          <w:lang w:val="uk-UA"/>
        </w:rPr>
        <w:t>14.03.2018 № 312</w:t>
      </w:r>
      <w:r>
        <w:rPr>
          <w:sz w:val="26"/>
          <w:szCs w:val="26"/>
          <w:lang w:val="uk-UA"/>
        </w:rPr>
        <w:t xml:space="preserve"> (далі – Правила)</w:t>
      </w:r>
      <w:r w:rsidRPr="008F3973">
        <w:rPr>
          <w:sz w:val="26"/>
          <w:szCs w:val="26"/>
          <w:lang w:val="uk-UA"/>
        </w:rPr>
        <w:t>.</w:t>
      </w:r>
      <w:r>
        <w:rPr>
          <w:sz w:val="26"/>
          <w:szCs w:val="26"/>
          <w:lang w:val="uk-UA"/>
        </w:rPr>
        <w:t xml:space="preserve"> </w:t>
      </w:r>
      <w:r w:rsidR="004F34E7">
        <w:rPr>
          <w:sz w:val="26"/>
          <w:szCs w:val="26"/>
          <w:lang w:val="uk-UA"/>
        </w:rPr>
        <w:t>П</w:t>
      </w:r>
      <w:r w:rsidR="00606B4B">
        <w:rPr>
          <w:sz w:val="26"/>
          <w:szCs w:val="26"/>
          <w:lang w:val="uk-UA"/>
        </w:rPr>
        <w:t>оложе</w:t>
      </w:r>
      <w:r w:rsidR="004F34E7">
        <w:rPr>
          <w:sz w:val="26"/>
          <w:szCs w:val="26"/>
          <w:lang w:val="uk-UA"/>
        </w:rPr>
        <w:t>н</w:t>
      </w:r>
      <w:r w:rsidR="00606B4B">
        <w:rPr>
          <w:sz w:val="26"/>
          <w:szCs w:val="26"/>
          <w:lang w:val="uk-UA"/>
        </w:rPr>
        <w:t>н</w:t>
      </w:r>
      <w:r w:rsidR="004F34E7">
        <w:rPr>
          <w:sz w:val="26"/>
          <w:szCs w:val="26"/>
          <w:lang w:val="uk-UA"/>
        </w:rPr>
        <w:t>ями</w:t>
      </w:r>
      <w:r w:rsidR="00606B4B">
        <w:rPr>
          <w:sz w:val="26"/>
          <w:szCs w:val="26"/>
          <w:lang w:val="uk-UA"/>
        </w:rPr>
        <w:t xml:space="preserve"> глави 2.5 розділу ІІ</w:t>
      </w:r>
      <w:r w:rsidR="00E26FFC" w:rsidRPr="00E26FFC">
        <w:rPr>
          <w:sz w:val="26"/>
          <w:szCs w:val="26"/>
          <w:lang w:val="uk-UA"/>
        </w:rPr>
        <w:t xml:space="preserve"> Правил</w:t>
      </w:r>
      <w:r w:rsidR="00606B4B">
        <w:rPr>
          <w:sz w:val="26"/>
          <w:szCs w:val="26"/>
          <w:lang w:val="uk-UA"/>
        </w:rPr>
        <w:t>,</w:t>
      </w:r>
      <w:r w:rsidR="00E26FFC" w:rsidRPr="00E26FFC">
        <w:rPr>
          <w:sz w:val="26"/>
          <w:szCs w:val="26"/>
          <w:lang w:val="uk-UA"/>
        </w:rPr>
        <w:t xml:space="preserve"> </w:t>
      </w:r>
      <w:r w:rsidR="004F34E7">
        <w:rPr>
          <w:sz w:val="26"/>
          <w:szCs w:val="26"/>
          <w:lang w:val="uk-UA"/>
        </w:rPr>
        <w:t xml:space="preserve">визначено, </w:t>
      </w:r>
      <w:r w:rsidR="00E26FFC" w:rsidRPr="00E26FFC">
        <w:rPr>
          <w:sz w:val="26"/>
          <w:szCs w:val="26"/>
          <w:lang w:val="uk-UA"/>
        </w:rPr>
        <w:t>що оператори системи, які використовують технологічні електричні мережі основних споживачів для розподілу (передачі) електричної енергії іншим споживачам, а також для транспортування електричної енергії у свої мережі, сплачують основним споживачам плату за спільне використання технологічних електричних мереж, яка визначається відповідно до методики, затвердженої Регулятором.</w:t>
      </w:r>
    </w:p>
    <w:p w14:paraId="6CC9AFEC" w14:textId="30E51AD8" w:rsidR="00096D49" w:rsidRDefault="00670DCE" w:rsidP="00690508">
      <w:pPr>
        <w:ind w:firstLine="709"/>
        <w:jc w:val="both"/>
        <w:rPr>
          <w:sz w:val="26"/>
          <w:szCs w:val="26"/>
          <w:lang w:val="uk-UA"/>
        </w:rPr>
      </w:pPr>
      <w:r w:rsidRPr="0042553C">
        <w:rPr>
          <w:sz w:val="26"/>
          <w:szCs w:val="26"/>
          <w:lang w:val="uk-UA"/>
        </w:rPr>
        <w:t xml:space="preserve">З метою удосконалення </w:t>
      </w:r>
      <w:r w:rsidR="004F34E7" w:rsidRPr="004F34E7">
        <w:rPr>
          <w:sz w:val="26"/>
          <w:szCs w:val="26"/>
          <w:lang w:val="uk-UA"/>
        </w:rPr>
        <w:t>Методики обрахування плати за спільне використання технологічних електричних мереж, затвердженої постановою Національної комісії регулювання електроенергетики України від 12.06.2008 № 691, зареєстрованої в Міністерстві юстиції України 08.08.2008 за № 732/15423 (далі – Методика)</w:t>
      </w:r>
      <w:r w:rsidR="0042553C" w:rsidRPr="0042553C">
        <w:rPr>
          <w:sz w:val="26"/>
          <w:szCs w:val="26"/>
          <w:lang w:val="uk-UA"/>
        </w:rPr>
        <w:t xml:space="preserve">, зокрема </w:t>
      </w:r>
      <w:r w:rsidR="008575B6">
        <w:rPr>
          <w:sz w:val="26"/>
          <w:szCs w:val="26"/>
          <w:lang w:val="uk-UA"/>
        </w:rPr>
        <w:t>у частині</w:t>
      </w:r>
      <w:r w:rsidR="000738CF">
        <w:rPr>
          <w:sz w:val="26"/>
          <w:szCs w:val="26"/>
          <w:lang w:val="uk-UA"/>
        </w:rPr>
        <w:t xml:space="preserve"> </w:t>
      </w:r>
      <w:r w:rsidR="0042553C" w:rsidRPr="0042553C">
        <w:rPr>
          <w:sz w:val="26"/>
          <w:szCs w:val="26"/>
          <w:lang w:val="uk-UA"/>
        </w:rPr>
        <w:t xml:space="preserve">уточнення деяких її положень </w:t>
      </w:r>
      <w:r w:rsidR="005B36FC" w:rsidRPr="0042553C">
        <w:rPr>
          <w:sz w:val="26"/>
          <w:szCs w:val="26"/>
          <w:lang w:val="uk-UA"/>
        </w:rPr>
        <w:t xml:space="preserve">щодо </w:t>
      </w:r>
      <w:r w:rsidR="00A80487">
        <w:rPr>
          <w:sz w:val="26"/>
          <w:szCs w:val="26"/>
          <w:lang w:val="uk-UA"/>
        </w:rPr>
        <w:t xml:space="preserve">механізму </w:t>
      </w:r>
      <w:r w:rsidR="005B36FC" w:rsidRPr="0042553C">
        <w:rPr>
          <w:sz w:val="26"/>
          <w:szCs w:val="26"/>
          <w:lang w:val="uk-UA"/>
        </w:rPr>
        <w:t xml:space="preserve">визначення об’єму технологічних електричних мереж спільного використання в умовних одиницях </w:t>
      </w:r>
      <w:r w:rsidR="0042553C" w:rsidRPr="0042553C">
        <w:rPr>
          <w:sz w:val="26"/>
          <w:szCs w:val="26"/>
          <w:lang w:val="uk-UA"/>
        </w:rPr>
        <w:t xml:space="preserve">відповідно до </w:t>
      </w:r>
      <w:r w:rsidR="008575B6" w:rsidRPr="0042553C">
        <w:rPr>
          <w:sz w:val="26"/>
          <w:szCs w:val="26"/>
          <w:lang w:val="uk-UA"/>
        </w:rPr>
        <w:t>наказ</w:t>
      </w:r>
      <w:r w:rsidR="008575B6">
        <w:rPr>
          <w:sz w:val="26"/>
          <w:szCs w:val="26"/>
          <w:lang w:val="uk-UA"/>
        </w:rPr>
        <w:t xml:space="preserve">у </w:t>
      </w:r>
      <w:r w:rsidR="008575B6" w:rsidRPr="0042553C">
        <w:rPr>
          <w:sz w:val="26"/>
          <w:szCs w:val="26"/>
          <w:lang w:val="uk-UA"/>
        </w:rPr>
        <w:t xml:space="preserve">Міністерства енергетики та вугільної промисловості України від 04.05.2011 № 100 </w:t>
      </w:r>
      <w:r w:rsidR="008575B6">
        <w:rPr>
          <w:sz w:val="26"/>
          <w:szCs w:val="26"/>
          <w:lang w:val="uk-UA"/>
        </w:rPr>
        <w:t>«Про затвердження та запровадження нормативних документів з визначення умовних одиниць»</w:t>
      </w:r>
      <w:r w:rsidR="0042553C" w:rsidRPr="0042553C">
        <w:rPr>
          <w:sz w:val="26"/>
          <w:szCs w:val="26"/>
          <w:lang w:val="uk-UA"/>
        </w:rPr>
        <w:t xml:space="preserve"> (зі змінами) (далі – </w:t>
      </w:r>
      <w:r w:rsidR="008575B6">
        <w:rPr>
          <w:sz w:val="26"/>
          <w:szCs w:val="26"/>
          <w:lang w:val="uk-UA"/>
        </w:rPr>
        <w:t>Наказ № 100</w:t>
      </w:r>
      <w:r w:rsidR="0042553C" w:rsidRPr="0042553C">
        <w:rPr>
          <w:sz w:val="26"/>
          <w:szCs w:val="26"/>
          <w:lang w:val="uk-UA"/>
        </w:rPr>
        <w:t xml:space="preserve">), а також врахування особливостей </w:t>
      </w:r>
      <w:proofErr w:type="spellStart"/>
      <w:r w:rsidR="0042553C" w:rsidRPr="0042553C">
        <w:rPr>
          <w:sz w:val="26"/>
          <w:szCs w:val="26"/>
          <w:lang w:val="uk-UA"/>
        </w:rPr>
        <w:t>тарифоутворення</w:t>
      </w:r>
      <w:proofErr w:type="spellEnd"/>
      <w:r w:rsidR="0042553C" w:rsidRPr="0042553C">
        <w:rPr>
          <w:sz w:val="26"/>
          <w:szCs w:val="26"/>
          <w:lang w:val="uk-UA"/>
        </w:rPr>
        <w:t xml:space="preserve"> операторів систем розподілу, які перейшли на стимулююче регулювання</w:t>
      </w:r>
      <w:r w:rsidR="000738CF">
        <w:rPr>
          <w:sz w:val="26"/>
          <w:szCs w:val="26"/>
          <w:lang w:val="uk-UA"/>
        </w:rPr>
        <w:t xml:space="preserve">, </w:t>
      </w:r>
      <w:bookmarkStart w:id="0" w:name="_Hlk204598422"/>
      <w:r w:rsidR="000738CF">
        <w:rPr>
          <w:sz w:val="26"/>
          <w:szCs w:val="26"/>
          <w:lang w:val="uk-UA"/>
        </w:rPr>
        <w:t>при в</w:t>
      </w:r>
      <w:r w:rsidR="000738CF" w:rsidRPr="000738CF">
        <w:rPr>
          <w:sz w:val="26"/>
          <w:szCs w:val="26"/>
          <w:lang w:val="uk-UA"/>
        </w:rPr>
        <w:t>изначенн</w:t>
      </w:r>
      <w:r w:rsidR="000738CF">
        <w:rPr>
          <w:sz w:val="26"/>
          <w:szCs w:val="26"/>
          <w:lang w:val="uk-UA"/>
        </w:rPr>
        <w:t>і</w:t>
      </w:r>
      <w:r w:rsidR="000738CF" w:rsidRPr="000738CF">
        <w:rPr>
          <w:sz w:val="26"/>
          <w:szCs w:val="26"/>
          <w:lang w:val="uk-UA"/>
        </w:rPr>
        <w:t xml:space="preserve"> граничних рівнів витрат за об'ємом умовних одиниць</w:t>
      </w:r>
      <w:bookmarkEnd w:id="0"/>
      <w:r w:rsidR="00116BA6">
        <w:rPr>
          <w:sz w:val="26"/>
          <w:szCs w:val="26"/>
          <w:lang w:val="uk-UA"/>
        </w:rPr>
        <w:t>,</w:t>
      </w:r>
      <w:r w:rsidR="00116BA6" w:rsidRPr="00116BA6">
        <w:rPr>
          <w:sz w:val="26"/>
          <w:szCs w:val="26"/>
          <w:lang w:val="uk-UA"/>
        </w:rPr>
        <w:t xml:space="preserve"> </w:t>
      </w:r>
      <w:r w:rsidRPr="00670DCE">
        <w:rPr>
          <w:sz w:val="26"/>
          <w:szCs w:val="26"/>
          <w:lang w:val="uk-UA"/>
        </w:rPr>
        <w:t xml:space="preserve">НКРЕКП розроблено </w:t>
      </w:r>
      <w:proofErr w:type="spellStart"/>
      <w:r w:rsidRPr="00670DCE">
        <w:rPr>
          <w:sz w:val="26"/>
          <w:szCs w:val="26"/>
          <w:lang w:val="uk-UA"/>
        </w:rPr>
        <w:t>проєкт</w:t>
      </w:r>
      <w:proofErr w:type="spellEnd"/>
      <w:r w:rsidRPr="00670DCE">
        <w:rPr>
          <w:sz w:val="26"/>
          <w:szCs w:val="26"/>
          <w:lang w:val="uk-UA"/>
        </w:rPr>
        <w:t xml:space="preserve"> постанови НКРЕКП «Про затвердження Змін до Методики обрахування плати за спільне використання технологічних електричних мереж» (далі – </w:t>
      </w:r>
      <w:proofErr w:type="spellStart"/>
      <w:r w:rsidRPr="00670DCE">
        <w:rPr>
          <w:sz w:val="26"/>
          <w:szCs w:val="26"/>
          <w:lang w:val="uk-UA"/>
        </w:rPr>
        <w:t>Проєкт</w:t>
      </w:r>
      <w:proofErr w:type="spellEnd"/>
      <w:r w:rsidRPr="00670DCE">
        <w:rPr>
          <w:sz w:val="26"/>
          <w:szCs w:val="26"/>
          <w:lang w:val="uk-UA"/>
        </w:rPr>
        <w:t>)</w:t>
      </w:r>
      <w:r w:rsidR="00096D49">
        <w:rPr>
          <w:sz w:val="26"/>
          <w:szCs w:val="26"/>
          <w:lang w:val="uk-UA"/>
        </w:rPr>
        <w:t xml:space="preserve">. </w:t>
      </w:r>
    </w:p>
    <w:p w14:paraId="2E9EC614" w14:textId="77777777" w:rsidR="00A55F47" w:rsidRPr="00C63E24" w:rsidRDefault="00A55F47" w:rsidP="009C1FF7">
      <w:pPr>
        <w:ind w:firstLine="708"/>
        <w:jc w:val="both"/>
        <w:rPr>
          <w:sz w:val="26"/>
          <w:szCs w:val="26"/>
          <w:lang w:val="uk-UA"/>
        </w:rPr>
      </w:pPr>
      <w:bookmarkStart w:id="1" w:name="_Hlk106658810"/>
      <w:r w:rsidRPr="00C63E24">
        <w:rPr>
          <w:rStyle w:val="fontstyle01"/>
          <w:rFonts w:ascii="Times New Roman" w:hAnsi="Times New Roman"/>
          <w:sz w:val="26"/>
          <w:szCs w:val="26"/>
          <w:lang w:val="uk-UA"/>
        </w:rPr>
        <w:t xml:space="preserve">Зазначений </w:t>
      </w:r>
      <w:proofErr w:type="spellStart"/>
      <w:r w:rsidRPr="00C63E24">
        <w:rPr>
          <w:rStyle w:val="fontstyle01"/>
          <w:rFonts w:ascii="Times New Roman" w:hAnsi="Times New Roman"/>
          <w:sz w:val="26"/>
          <w:szCs w:val="26"/>
          <w:lang w:val="uk-UA"/>
        </w:rPr>
        <w:t>Проєкт</w:t>
      </w:r>
      <w:proofErr w:type="spellEnd"/>
      <w:r w:rsidRPr="00C63E24">
        <w:rPr>
          <w:rStyle w:val="fontstyle01"/>
          <w:rFonts w:ascii="Times New Roman" w:hAnsi="Times New Roman"/>
          <w:sz w:val="26"/>
          <w:szCs w:val="26"/>
          <w:lang w:val="uk-UA"/>
        </w:rPr>
        <w:t xml:space="preserve"> постанови містить ознаки регуляторного акта та</w:t>
      </w:r>
      <w:r w:rsidRPr="00C63E24">
        <w:rPr>
          <w:sz w:val="26"/>
          <w:szCs w:val="26"/>
          <w:lang w:val="uk-UA"/>
        </w:rPr>
        <w:br/>
      </w:r>
      <w:r w:rsidRPr="00C63E24">
        <w:rPr>
          <w:rStyle w:val="fontstyle01"/>
          <w:rFonts w:ascii="Times New Roman" w:hAnsi="Times New Roman"/>
          <w:sz w:val="26"/>
          <w:szCs w:val="26"/>
          <w:lang w:val="uk-UA"/>
        </w:rPr>
        <w:t>потребує проходження регуляторної процедури відповідно до частини першої</w:t>
      </w:r>
      <w:r w:rsidRPr="00C63E24">
        <w:rPr>
          <w:sz w:val="26"/>
          <w:szCs w:val="26"/>
          <w:lang w:val="uk-UA"/>
        </w:rPr>
        <w:t xml:space="preserve"> </w:t>
      </w:r>
      <w:r w:rsidRPr="00C63E24">
        <w:rPr>
          <w:rStyle w:val="fontstyle01"/>
          <w:rFonts w:ascii="Times New Roman" w:hAnsi="Times New Roman"/>
          <w:sz w:val="26"/>
          <w:szCs w:val="26"/>
          <w:lang w:val="uk-UA"/>
        </w:rPr>
        <w:t>статті 15 Закону України «Про Національну комісію, що здійснює державне</w:t>
      </w:r>
      <w:r w:rsidRPr="00C63E24">
        <w:rPr>
          <w:sz w:val="26"/>
          <w:szCs w:val="26"/>
          <w:lang w:val="uk-UA"/>
        </w:rPr>
        <w:t xml:space="preserve"> </w:t>
      </w:r>
      <w:r w:rsidRPr="00C63E24">
        <w:rPr>
          <w:rStyle w:val="fontstyle01"/>
          <w:rFonts w:ascii="Times New Roman" w:hAnsi="Times New Roman"/>
          <w:sz w:val="26"/>
          <w:szCs w:val="26"/>
          <w:lang w:val="uk-UA"/>
        </w:rPr>
        <w:t>регулювання у сферах енергетики та комунальних послуг».</w:t>
      </w:r>
    </w:p>
    <w:p w14:paraId="1C21BC05" w14:textId="77777777" w:rsidR="00176290" w:rsidRPr="00D720BD" w:rsidRDefault="00176290" w:rsidP="009C1FF7">
      <w:pPr>
        <w:shd w:val="clear" w:color="auto" w:fill="FFFFFF"/>
        <w:ind w:firstLine="720"/>
        <w:jc w:val="both"/>
        <w:rPr>
          <w:color w:val="000000"/>
          <w:sz w:val="20"/>
          <w:szCs w:val="20"/>
          <w:lang w:val="uk-UA"/>
        </w:rPr>
      </w:pPr>
    </w:p>
    <w:bookmarkEnd w:id="1"/>
    <w:p w14:paraId="5536BB9F" w14:textId="77777777" w:rsidR="00335777" w:rsidRPr="00C63E24" w:rsidRDefault="00447909" w:rsidP="009C1FF7">
      <w:pPr>
        <w:pStyle w:val="a4"/>
        <w:spacing w:before="0" w:beforeAutospacing="0" w:after="0" w:afterAutospacing="0"/>
        <w:ind w:firstLine="709"/>
        <w:rPr>
          <w:bCs/>
          <w:sz w:val="26"/>
          <w:szCs w:val="26"/>
          <w:lang w:val="uk-UA"/>
        </w:rPr>
      </w:pPr>
      <w:r w:rsidRPr="00C63E24">
        <w:rPr>
          <w:bCs/>
          <w:sz w:val="26"/>
          <w:szCs w:val="26"/>
          <w:lang w:val="uk-UA"/>
        </w:rPr>
        <w:t>Визначення основних груп (підгруп), на які проблема справляє вплив:</w:t>
      </w:r>
    </w:p>
    <w:p w14:paraId="2FC89842" w14:textId="77777777" w:rsidR="00447909" w:rsidRPr="00D720BD" w:rsidRDefault="00447909" w:rsidP="009C1FF7">
      <w:pPr>
        <w:pStyle w:val="a4"/>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FF6FDE" w14:paraId="29ED5306" w14:textId="77777777" w:rsidTr="005D6D50">
        <w:tc>
          <w:tcPr>
            <w:tcW w:w="3227" w:type="dxa"/>
          </w:tcPr>
          <w:p w14:paraId="3D85D91E" w14:textId="77777777" w:rsidR="00335777" w:rsidRPr="00FF6FDE" w:rsidRDefault="00335777" w:rsidP="009C1FF7">
            <w:pPr>
              <w:pStyle w:val="a4"/>
              <w:spacing w:before="0" w:beforeAutospacing="0" w:after="0" w:afterAutospacing="0"/>
              <w:jc w:val="center"/>
              <w:rPr>
                <w:lang w:val="uk-UA"/>
              </w:rPr>
            </w:pPr>
            <w:r w:rsidRPr="00FF6FDE">
              <w:rPr>
                <w:lang w:val="uk-UA"/>
              </w:rPr>
              <w:t>Групи (підгрупи)</w:t>
            </w:r>
          </w:p>
        </w:tc>
        <w:tc>
          <w:tcPr>
            <w:tcW w:w="4111" w:type="dxa"/>
          </w:tcPr>
          <w:p w14:paraId="52E73621" w14:textId="77777777" w:rsidR="00335777" w:rsidRPr="00FF6FDE" w:rsidRDefault="00335777" w:rsidP="009C1FF7">
            <w:pPr>
              <w:pStyle w:val="a4"/>
              <w:spacing w:before="0" w:beforeAutospacing="0" w:after="0" w:afterAutospacing="0"/>
              <w:jc w:val="center"/>
              <w:rPr>
                <w:lang w:val="uk-UA"/>
              </w:rPr>
            </w:pPr>
            <w:r w:rsidRPr="00FF6FDE">
              <w:rPr>
                <w:lang w:val="uk-UA"/>
              </w:rPr>
              <w:t>Так</w:t>
            </w:r>
          </w:p>
        </w:tc>
        <w:tc>
          <w:tcPr>
            <w:tcW w:w="2126" w:type="dxa"/>
          </w:tcPr>
          <w:p w14:paraId="0B146EDA" w14:textId="77777777" w:rsidR="00335777" w:rsidRPr="00FF6FDE" w:rsidRDefault="00335777" w:rsidP="009C1FF7">
            <w:pPr>
              <w:pStyle w:val="a4"/>
              <w:spacing w:before="0" w:beforeAutospacing="0" w:after="0" w:afterAutospacing="0"/>
              <w:jc w:val="center"/>
              <w:rPr>
                <w:lang w:val="uk-UA"/>
              </w:rPr>
            </w:pPr>
            <w:r w:rsidRPr="00FF6FDE">
              <w:rPr>
                <w:lang w:val="uk-UA"/>
              </w:rPr>
              <w:t>Ні</w:t>
            </w:r>
          </w:p>
        </w:tc>
      </w:tr>
      <w:tr w:rsidR="00335777" w:rsidRPr="00FF6FDE" w14:paraId="51D52100" w14:textId="77777777" w:rsidTr="005D6D50">
        <w:tc>
          <w:tcPr>
            <w:tcW w:w="3227" w:type="dxa"/>
          </w:tcPr>
          <w:p w14:paraId="1096DF01" w14:textId="77777777" w:rsidR="00335777" w:rsidRPr="00FF6FDE" w:rsidRDefault="00335777" w:rsidP="009C1FF7">
            <w:pPr>
              <w:pStyle w:val="a4"/>
              <w:spacing w:before="0" w:beforeAutospacing="0" w:after="0" w:afterAutospacing="0"/>
              <w:jc w:val="both"/>
              <w:rPr>
                <w:lang w:val="uk-UA"/>
              </w:rPr>
            </w:pPr>
            <w:r w:rsidRPr="00FF6FDE">
              <w:rPr>
                <w:lang w:val="uk-UA"/>
              </w:rPr>
              <w:t>Громадяни</w:t>
            </w:r>
          </w:p>
        </w:tc>
        <w:tc>
          <w:tcPr>
            <w:tcW w:w="4111" w:type="dxa"/>
          </w:tcPr>
          <w:p w14:paraId="06F5EA54" w14:textId="77777777" w:rsidR="00D053DC" w:rsidRPr="00FF6FDE" w:rsidRDefault="008319C6" w:rsidP="009C1FF7">
            <w:pPr>
              <w:jc w:val="center"/>
              <w:rPr>
                <w:lang w:val="uk-UA"/>
              </w:rPr>
            </w:pPr>
            <w:r w:rsidRPr="00FF6FDE">
              <w:rPr>
                <w:lang w:val="uk-UA"/>
              </w:rPr>
              <w:t>+</w:t>
            </w:r>
          </w:p>
        </w:tc>
        <w:tc>
          <w:tcPr>
            <w:tcW w:w="2126" w:type="dxa"/>
          </w:tcPr>
          <w:p w14:paraId="232B5E80" w14:textId="77777777" w:rsidR="00335777" w:rsidRPr="00FF6FDE" w:rsidRDefault="00335777" w:rsidP="009C1FF7">
            <w:pPr>
              <w:pStyle w:val="a4"/>
              <w:spacing w:before="0" w:beforeAutospacing="0" w:after="0" w:afterAutospacing="0"/>
              <w:jc w:val="both"/>
              <w:rPr>
                <w:lang w:val="uk-UA"/>
              </w:rPr>
            </w:pPr>
          </w:p>
        </w:tc>
      </w:tr>
      <w:tr w:rsidR="00335777" w:rsidRPr="00FF6FDE" w14:paraId="379144EA" w14:textId="77777777" w:rsidTr="005D6D50">
        <w:tc>
          <w:tcPr>
            <w:tcW w:w="3227" w:type="dxa"/>
          </w:tcPr>
          <w:p w14:paraId="785FE84B" w14:textId="77777777" w:rsidR="00335777" w:rsidRPr="00FF6FDE" w:rsidRDefault="00335777" w:rsidP="009C1FF7">
            <w:pPr>
              <w:pStyle w:val="a4"/>
              <w:spacing w:before="0" w:beforeAutospacing="0" w:after="0" w:afterAutospacing="0"/>
              <w:jc w:val="both"/>
              <w:rPr>
                <w:lang w:val="uk-UA"/>
              </w:rPr>
            </w:pPr>
            <w:r w:rsidRPr="00FF6FDE">
              <w:rPr>
                <w:lang w:val="uk-UA"/>
              </w:rPr>
              <w:t>Держава</w:t>
            </w:r>
          </w:p>
        </w:tc>
        <w:tc>
          <w:tcPr>
            <w:tcW w:w="4111" w:type="dxa"/>
          </w:tcPr>
          <w:p w14:paraId="125F89A6" w14:textId="77777777" w:rsidR="007D7441" w:rsidRPr="00FF6FDE" w:rsidRDefault="008319C6" w:rsidP="009C1FF7">
            <w:pPr>
              <w:jc w:val="center"/>
              <w:rPr>
                <w:lang w:val="uk-UA"/>
              </w:rPr>
            </w:pPr>
            <w:r w:rsidRPr="00FF6FDE">
              <w:rPr>
                <w:lang w:val="uk-UA"/>
              </w:rPr>
              <w:t>+</w:t>
            </w:r>
          </w:p>
        </w:tc>
        <w:tc>
          <w:tcPr>
            <w:tcW w:w="2126" w:type="dxa"/>
          </w:tcPr>
          <w:p w14:paraId="76305747" w14:textId="77777777" w:rsidR="00335777" w:rsidRPr="00FF6FDE" w:rsidRDefault="00335777" w:rsidP="009C1FF7">
            <w:pPr>
              <w:pStyle w:val="a4"/>
              <w:spacing w:before="0" w:beforeAutospacing="0" w:after="0" w:afterAutospacing="0"/>
              <w:jc w:val="center"/>
              <w:rPr>
                <w:lang w:val="uk-UA"/>
              </w:rPr>
            </w:pPr>
          </w:p>
        </w:tc>
      </w:tr>
      <w:tr w:rsidR="00335777" w:rsidRPr="00FF6FDE" w14:paraId="47DC6C70" w14:textId="77777777" w:rsidTr="005D6D50">
        <w:tc>
          <w:tcPr>
            <w:tcW w:w="3227" w:type="dxa"/>
          </w:tcPr>
          <w:p w14:paraId="5B0DA43E" w14:textId="77777777" w:rsidR="00335777" w:rsidRPr="00FF6FDE" w:rsidRDefault="00335777" w:rsidP="009C1FF7">
            <w:pPr>
              <w:pStyle w:val="a4"/>
              <w:spacing w:before="0" w:beforeAutospacing="0" w:after="0" w:afterAutospacing="0"/>
              <w:jc w:val="both"/>
              <w:rPr>
                <w:lang w:val="uk-UA"/>
              </w:rPr>
            </w:pPr>
            <w:r w:rsidRPr="00FF6FDE">
              <w:rPr>
                <w:lang w:val="uk-UA"/>
              </w:rPr>
              <w:t xml:space="preserve">Суб’єкти господарювання </w:t>
            </w:r>
          </w:p>
        </w:tc>
        <w:tc>
          <w:tcPr>
            <w:tcW w:w="4111" w:type="dxa"/>
          </w:tcPr>
          <w:p w14:paraId="3562B332" w14:textId="77777777" w:rsidR="007D7441" w:rsidRPr="00FF6FDE" w:rsidRDefault="008319C6" w:rsidP="009C1FF7">
            <w:pPr>
              <w:pStyle w:val="a4"/>
              <w:spacing w:before="0" w:beforeAutospacing="0" w:after="0" w:afterAutospacing="0"/>
              <w:jc w:val="center"/>
              <w:rPr>
                <w:lang w:val="uk-UA"/>
              </w:rPr>
            </w:pPr>
            <w:r w:rsidRPr="00FF6FDE">
              <w:rPr>
                <w:lang w:val="uk-UA"/>
              </w:rPr>
              <w:t>+</w:t>
            </w:r>
          </w:p>
        </w:tc>
        <w:tc>
          <w:tcPr>
            <w:tcW w:w="2126" w:type="dxa"/>
          </w:tcPr>
          <w:p w14:paraId="26814262" w14:textId="77777777" w:rsidR="00335777" w:rsidRPr="00FF6FDE" w:rsidRDefault="00335777" w:rsidP="009C1FF7">
            <w:pPr>
              <w:pStyle w:val="a4"/>
              <w:spacing w:before="0" w:beforeAutospacing="0" w:after="0" w:afterAutospacing="0"/>
              <w:jc w:val="both"/>
              <w:rPr>
                <w:lang w:val="uk-UA"/>
              </w:rPr>
            </w:pPr>
          </w:p>
        </w:tc>
      </w:tr>
    </w:tbl>
    <w:p w14:paraId="6E38DF6C" w14:textId="77777777" w:rsidR="000C1CFA" w:rsidRDefault="000C1CFA" w:rsidP="009C1FF7">
      <w:pPr>
        <w:ind w:firstLine="708"/>
        <w:rPr>
          <w:b/>
          <w:sz w:val="26"/>
          <w:szCs w:val="26"/>
          <w:lang w:val="uk-UA"/>
        </w:rPr>
      </w:pPr>
    </w:p>
    <w:p w14:paraId="55893208" w14:textId="77777777" w:rsidR="008575B6" w:rsidRPr="00D720BD" w:rsidRDefault="008575B6" w:rsidP="009C1FF7">
      <w:pPr>
        <w:ind w:firstLine="708"/>
        <w:rPr>
          <w:b/>
          <w:sz w:val="26"/>
          <w:szCs w:val="26"/>
          <w:lang w:val="uk-UA"/>
        </w:rPr>
      </w:pPr>
    </w:p>
    <w:p w14:paraId="16E0312A" w14:textId="77777777" w:rsidR="005A08AE" w:rsidRPr="00C63E24" w:rsidRDefault="005A08AE" w:rsidP="009C1FF7">
      <w:pPr>
        <w:jc w:val="center"/>
        <w:rPr>
          <w:b/>
          <w:sz w:val="26"/>
          <w:szCs w:val="26"/>
          <w:lang w:val="uk-UA"/>
        </w:rPr>
      </w:pPr>
      <w:r w:rsidRPr="00C63E24">
        <w:rPr>
          <w:b/>
          <w:sz w:val="26"/>
          <w:szCs w:val="26"/>
          <w:lang w:val="uk-UA"/>
        </w:rPr>
        <w:lastRenderedPageBreak/>
        <w:t>II. Цілі державного регулювання</w:t>
      </w:r>
    </w:p>
    <w:p w14:paraId="31CAE6B5" w14:textId="77777777" w:rsidR="007F0235" w:rsidRPr="00D720BD" w:rsidRDefault="007F0235" w:rsidP="009C1FF7">
      <w:pPr>
        <w:widowControl w:val="0"/>
        <w:jc w:val="both"/>
        <w:rPr>
          <w:sz w:val="20"/>
          <w:szCs w:val="20"/>
          <w:lang w:val="uk-UA"/>
        </w:rPr>
      </w:pPr>
    </w:p>
    <w:p w14:paraId="50018E69" w14:textId="7760D5B1" w:rsidR="00FD118D" w:rsidRPr="00C63E24" w:rsidRDefault="00F10853" w:rsidP="009C1FF7">
      <w:pPr>
        <w:widowControl w:val="0"/>
        <w:ind w:firstLine="709"/>
        <w:jc w:val="both"/>
        <w:rPr>
          <w:sz w:val="26"/>
          <w:szCs w:val="26"/>
          <w:lang w:val="uk-UA"/>
        </w:rPr>
      </w:pPr>
      <w:r w:rsidRPr="00C63E24">
        <w:rPr>
          <w:sz w:val="26"/>
          <w:szCs w:val="26"/>
          <w:lang w:val="uk-UA"/>
        </w:rPr>
        <w:t xml:space="preserve">Метою прийняття </w:t>
      </w:r>
      <w:r w:rsidR="00000F3D" w:rsidRPr="00BC6791">
        <w:rPr>
          <w:sz w:val="27"/>
          <w:szCs w:val="27"/>
          <w:lang w:val="uk-UA"/>
        </w:rPr>
        <w:t xml:space="preserve">Проєкту </w:t>
      </w:r>
      <w:bookmarkStart w:id="2" w:name="_Hlk106659690"/>
      <w:r w:rsidR="00000F3D" w:rsidRPr="00BC6791">
        <w:rPr>
          <w:sz w:val="27"/>
          <w:szCs w:val="27"/>
          <w:lang w:val="uk-UA"/>
        </w:rPr>
        <w:t xml:space="preserve">є удосконалення норм та процедур, визначених </w:t>
      </w:r>
      <w:r w:rsidR="00000F3D" w:rsidRPr="00BC6791">
        <w:rPr>
          <w:bCs/>
          <w:sz w:val="26"/>
          <w:szCs w:val="26"/>
          <w:lang w:val="uk-UA"/>
        </w:rPr>
        <w:t>Методикою обрахування плати за спільне використання технологічних електричних мереж</w:t>
      </w:r>
      <w:r w:rsidR="00000F3D" w:rsidRPr="00BC6791">
        <w:rPr>
          <w:sz w:val="27"/>
          <w:szCs w:val="27"/>
          <w:lang w:val="uk-UA"/>
        </w:rPr>
        <w:t>.</w:t>
      </w:r>
      <w:bookmarkEnd w:id="2"/>
    </w:p>
    <w:p w14:paraId="66C1381F" w14:textId="77777777" w:rsidR="00434CA5" w:rsidRPr="00D720BD" w:rsidRDefault="00434CA5" w:rsidP="009C1FF7">
      <w:pPr>
        <w:widowControl w:val="0"/>
        <w:ind w:firstLine="709"/>
        <w:jc w:val="both"/>
        <w:rPr>
          <w:b/>
          <w:sz w:val="20"/>
          <w:szCs w:val="20"/>
          <w:lang w:val="uk-UA"/>
        </w:rPr>
      </w:pPr>
    </w:p>
    <w:p w14:paraId="1D92DF45" w14:textId="77777777" w:rsidR="00C918F0" w:rsidRPr="00C63E24" w:rsidRDefault="00C918F0" w:rsidP="009C1FF7">
      <w:pPr>
        <w:jc w:val="center"/>
        <w:rPr>
          <w:b/>
          <w:sz w:val="26"/>
          <w:szCs w:val="26"/>
          <w:lang w:val="uk-UA"/>
        </w:rPr>
      </w:pPr>
      <w:r w:rsidRPr="00C63E24">
        <w:rPr>
          <w:b/>
          <w:sz w:val="26"/>
          <w:szCs w:val="26"/>
          <w:lang w:val="uk-UA"/>
        </w:rPr>
        <w:t xml:space="preserve">ІІІ. Визначення та оцінка альтернативних способів досягнення </w:t>
      </w:r>
      <w:r w:rsidR="00914C8A" w:rsidRPr="00C63E24">
        <w:rPr>
          <w:b/>
          <w:sz w:val="26"/>
          <w:szCs w:val="26"/>
          <w:lang w:val="uk-UA"/>
        </w:rPr>
        <w:t>цілей</w:t>
      </w:r>
    </w:p>
    <w:p w14:paraId="268C2406" w14:textId="77777777" w:rsidR="00C918F0" w:rsidRPr="0042553C" w:rsidRDefault="00C918F0" w:rsidP="009C1FF7">
      <w:pPr>
        <w:jc w:val="both"/>
        <w:rPr>
          <w:sz w:val="20"/>
          <w:szCs w:val="20"/>
          <w:lang w:val="uk-UA"/>
        </w:rPr>
      </w:pPr>
    </w:p>
    <w:p w14:paraId="694EB85E" w14:textId="77777777" w:rsidR="00C918F0" w:rsidRPr="00C63E24" w:rsidRDefault="00C918F0" w:rsidP="009C1FF7">
      <w:pPr>
        <w:ind w:firstLine="709"/>
        <w:jc w:val="both"/>
        <w:rPr>
          <w:sz w:val="26"/>
          <w:szCs w:val="26"/>
          <w:lang w:val="uk-UA"/>
        </w:rPr>
      </w:pPr>
      <w:r w:rsidRPr="00C63E24">
        <w:rPr>
          <w:sz w:val="26"/>
          <w:szCs w:val="26"/>
          <w:lang w:val="uk-UA"/>
        </w:rPr>
        <w:t>1. Виз</w:t>
      </w:r>
      <w:r w:rsidR="00633DCD" w:rsidRPr="00C63E24">
        <w:rPr>
          <w:sz w:val="26"/>
          <w:szCs w:val="26"/>
          <w:lang w:val="uk-UA"/>
        </w:rPr>
        <w:t>начення альтернативних способів:</w:t>
      </w:r>
    </w:p>
    <w:p w14:paraId="0C03E537" w14:textId="77777777" w:rsidR="0018292F" w:rsidRPr="0042553C" w:rsidRDefault="0018292F" w:rsidP="009C1FF7">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FF6FDE" w14:paraId="3E46FA9F" w14:textId="77777777" w:rsidTr="00FF6FDE">
        <w:trPr>
          <w:trHeight w:val="454"/>
        </w:trPr>
        <w:tc>
          <w:tcPr>
            <w:tcW w:w="3261" w:type="dxa"/>
            <w:vAlign w:val="center"/>
          </w:tcPr>
          <w:p w14:paraId="0C7D1426" w14:textId="77777777" w:rsidR="00C918F0" w:rsidRPr="00FF6FDE" w:rsidRDefault="00C918F0" w:rsidP="009C1FF7">
            <w:pPr>
              <w:pStyle w:val="21"/>
              <w:spacing w:after="0" w:line="240" w:lineRule="auto"/>
              <w:jc w:val="center"/>
              <w:rPr>
                <w:b/>
              </w:rPr>
            </w:pPr>
            <w:r w:rsidRPr="00FF6FDE">
              <w:rPr>
                <w:b/>
              </w:rPr>
              <w:t>Вид альтернативи</w:t>
            </w:r>
          </w:p>
        </w:tc>
        <w:tc>
          <w:tcPr>
            <w:tcW w:w="6237" w:type="dxa"/>
            <w:vAlign w:val="center"/>
          </w:tcPr>
          <w:p w14:paraId="357AACE1" w14:textId="77777777" w:rsidR="00C918F0" w:rsidRPr="00FF6FDE" w:rsidRDefault="00C918F0" w:rsidP="009C1FF7">
            <w:pPr>
              <w:pStyle w:val="21"/>
              <w:spacing w:after="0" w:line="240" w:lineRule="auto"/>
              <w:jc w:val="center"/>
              <w:rPr>
                <w:b/>
              </w:rPr>
            </w:pPr>
            <w:r w:rsidRPr="00FF6FDE">
              <w:rPr>
                <w:b/>
              </w:rPr>
              <w:t>Опис альтернативи</w:t>
            </w:r>
          </w:p>
        </w:tc>
      </w:tr>
      <w:tr w:rsidR="00C918F0" w:rsidRPr="00FF6FDE" w14:paraId="5E58182B" w14:textId="77777777" w:rsidTr="005D6D50">
        <w:tc>
          <w:tcPr>
            <w:tcW w:w="3261" w:type="dxa"/>
          </w:tcPr>
          <w:p w14:paraId="44097928" w14:textId="77777777" w:rsidR="00C918F0" w:rsidRPr="00FF6FDE" w:rsidRDefault="00C918F0" w:rsidP="009C1FF7">
            <w:pPr>
              <w:pStyle w:val="21"/>
              <w:spacing w:after="0" w:line="240" w:lineRule="auto"/>
              <w:jc w:val="both"/>
              <w:rPr>
                <w:b/>
              </w:rPr>
            </w:pPr>
            <w:r w:rsidRPr="00FF6FDE">
              <w:rPr>
                <w:b/>
              </w:rPr>
              <w:t>Альтернатива 1</w:t>
            </w:r>
          </w:p>
          <w:p w14:paraId="3A79D3BD" w14:textId="77777777" w:rsidR="00C918F0" w:rsidRPr="00FF6FDE" w:rsidRDefault="00C918F0" w:rsidP="009C1FF7">
            <w:pPr>
              <w:pStyle w:val="21"/>
              <w:spacing w:after="0" w:line="240" w:lineRule="auto"/>
            </w:pPr>
            <w:r w:rsidRPr="00FF6FDE">
              <w:t>Збереження чинного регулю</w:t>
            </w:r>
            <w:r w:rsidR="0007200E" w:rsidRPr="00FF6FDE">
              <w:t>вання</w:t>
            </w:r>
          </w:p>
        </w:tc>
        <w:tc>
          <w:tcPr>
            <w:tcW w:w="6237" w:type="dxa"/>
          </w:tcPr>
          <w:p w14:paraId="48C979F1" w14:textId="6043B027" w:rsidR="00B62E8F" w:rsidRPr="00FF6FDE" w:rsidRDefault="00C51199" w:rsidP="005B36FC">
            <w:pPr>
              <w:shd w:val="clear" w:color="auto" w:fill="FFFFFF"/>
              <w:ind w:firstLine="314"/>
              <w:jc w:val="both"/>
              <w:rPr>
                <w:lang w:val="uk-UA"/>
              </w:rPr>
            </w:pPr>
            <w:r w:rsidRPr="00FF6FDE">
              <w:rPr>
                <w:lang w:val="uk-UA"/>
              </w:rPr>
              <w:t xml:space="preserve">Чинна редакція </w:t>
            </w:r>
            <w:r w:rsidR="00000F3D" w:rsidRPr="00FF6FDE">
              <w:rPr>
                <w:lang w:val="uk-UA"/>
              </w:rPr>
              <w:t>Методики</w:t>
            </w:r>
            <w:r w:rsidRPr="00FF6FDE">
              <w:rPr>
                <w:lang w:val="uk-UA"/>
              </w:rPr>
              <w:t xml:space="preserve"> </w:t>
            </w:r>
            <w:r w:rsidR="00A55F47" w:rsidRPr="00FF6FDE">
              <w:rPr>
                <w:lang w:val="uk-UA"/>
              </w:rPr>
              <w:t xml:space="preserve">не забезпечує </w:t>
            </w:r>
            <w:r w:rsidR="0042553C">
              <w:rPr>
                <w:lang w:val="uk-UA"/>
              </w:rPr>
              <w:t xml:space="preserve">в повній мірі відповідності її норм </w:t>
            </w:r>
            <w:r w:rsidR="0042553C" w:rsidRPr="0042553C">
              <w:rPr>
                <w:lang w:val="uk-UA"/>
              </w:rPr>
              <w:t xml:space="preserve">щодо </w:t>
            </w:r>
            <w:r w:rsidR="00A80487">
              <w:rPr>
                <w:lang w:val="uk-UA"/>
              </w:rPr>
              <w:t xml:space="preserve">механізму </w:t>
            </w:r>
            <w:r w:rsidR="0042553C" w:rsidRPr="0042553C">
              <w:rPr>
                <w:lang w:val="uk-UA"/>
              </w:rPr>
              <w:t>визначення об’єму технологічних електричних мереж спільного використання в умовних одиницях</w:t>
            </w:r>
            <w:r w:rsidR="0042553C">
              <w:rPr>
                <w:lang w:val="uk-UA"/>
              </w:rPr>
              <w:t xml:space="preserve"> положенням </w:t>
            </w:r>
            <w:r w:rsidR="008575B6">
              <w:rPr>
                <w:lang w:val="uk-UA"/>
              </w:rPr>
              <w:t>Наказу № 100</w:t>
            </w:r>
            <w:r w:rsidR="0042553C">
              <w:rPr>
                <w:lang w:val="uk-UA"/>
              </w:rPr>
              <w:t>,</w:t>
            </w:r>
            <w:r w:rsidR="005B36FC">
              <w:rPr>
                <w:lang w:val="uk-UA"/>
              </w:rPr>
              <w:t xml:space="preserve"> а також не </w:t>
            </w:r>
            <w:r w:rsidR="0042553C" w:rsidRPr="0042553C">
              <w:rPr>
                <w:lang w:val="uk-UA"/>
              </w:rPr>
              <w:t>врах</w:t>
            </w:r>
            <w:r w:rsidR="005B36FC">
              <w:rPr>
                <w:lang w:val="uk-UA"/>
              </w:rPr>
              <w:t>о</w:t>
            </w:r>
            <w:r w:rsidR="0042553C" w:rsidRPr="0042553C">
              <w:rPr>
                <w:lang w:val="uk-UA"/>
              </w:rPr>
              <w:t>в</w:t>
            </w:r>
            <w:r w:rsidR="005B36FC">
              <w:rPr>
                <w:lang w:val="uk-UA"/>
              </w:rPr>
              <w:t>ує</w:t>
            </w:r>
            <w:r w:rsidR="0042553C" w:rsidRPr="0042553C">
              <w:rPr>
                <w:lang w:val="uk-UA"/>
              </w:rPr>
              <w:t xml:space="preserve"> особливостей </w:t>
            </w:r>
            <w:proofErr w:type="spellStart"/>
            <w:r w:rsidR="0042553C" w:rsidRPr="0042553C">
              <w:rPr>
                <w:lang w:val="uk-UA"/>
              </w:rPr>
              <w:t>тарифоутворення</w:t>
            </w:r>
            <w:proofErr w:type="spellEnd"/>
            <w:r w:rsidR="0042553C" w:rsidRPr="0042553C">
              <w:rPr>
                <w:lang w:val="uk-UA"/>
              </w:rPr>
              <w:t xml:space="preserve"> операторів систем розподілу, які перейшли на стимулююче регулювання</w:t>
            </w:r>
            <w:r w:rsidR="00D720BD">
              <w:rPr>
                <w:lang w:val="uk-UA"/>
              </w:rPr>
              <w:t>,</w:t>
            </w:r>
            <w:r w:rsidR="000738CF">
              <w:t xml:space="preserve"> </w:t>
            </w:r>
            <w:r w:rsidR="000738CF" w:rsidRPr="000738CF">
              <w:rPr>
                <w:lang w:val="uk-UA"/>
              </w:rPr>
              <w:t>при визначенні граничних рівнів витрат за об'ємом умовних одиниць</w:t>
            </w:r>
            <w:r w:rsidR="00B62E8F" w:rsidRPr="00FF6FDE">
              <w:rPr>
                <w:lang w:val="uk-UA"/>
              </w:rPr>
              <w:t>.</w:t>
            </w:r>
          </w:p>
          <w:p w14:paraId="6EBCDC30" w14:textId="595281E3" w:rsidR="00C918F0" w:rsidRPr="005B36FC" w:rsidRDefault="00C918F0" w:rsidP="007E750F">
            <w:pPr>
              <w:shd w:val="clear" w:color="auto" w:fill="FFFFFF"/>
              <w:ind w:firstLine="314"/>
              <w:jc w:val="both"/>
              <w:rPr>
                <w:sz w:val="20"/>
                <w:szCs w:val="20"/>
                <w:lang w:val="uk-UA"/>
              </w:rPr>
            </w:pPr>
          </w:p>
        </w:tc>
      </w:tr>
      <w:tr w:rsidR="00C918F0" w:rsidRPr="00FF6FDE" w14:paraId="237273CD" w14:textId="77777777" w:rsidTr="005D6D50">
        <w:tc>
          <w:tcPr>
            <w:tcW w:w="3261" w:type="dxa"/>
          </w:tcPr>
          <w:p w14:paraId="74A417D6" w14:textId="77777777" w:rsidR="00043C8E" w:rsidRPr="00FF6FDE" w:rsidRDefault="00043C8E" w:rsidP="009C1FF7">
            <w:pPr>
              <w:pStyle w:val="21"/>
              <w:spacing w:after="0" w:line="240" w:lineRule="auto"/>
              <w:jc w:val="both"/>
              <w:rPr>
                <w:b/>
              </w:rPr>
            </w:pPr>
            <w:r w:rsidRPr="00FF6FDE">
              <w:rPr>
                <w:b/>
              </w:rPr>
              <w:t>Альтернатива 2</w:t>
            </w:r>
          </w:p>
          <w:p w14:paraId="5633745D" w14:textId="77777777" w:rsidR="00C918F0" w:rsidRPr="00FF6FDE" w:rsidRDefault="00D87875" w:rsidP="009C1FF7">
            <w:pPr>
              <w:pStyle w:val="21"/>
              <w:spacing w:after="0" w:line="240" w:lineRule="auto"/>
            </w:pPr>
            <w:r w:rsidRPr="00FF6FDE">
              <w:t xml:space="preserve">Прийняття </w:t>
            </w:r>
            <w:r w:rsidR="00AD33D3" w:rsidRPr="00FF6FDE">
              <w:t>нового регуляторного акта</w:t>
            </w:r>
          </w:p>
        </w:tc>
        <w:tc>
          <w:tcPr>
            <w:tcW w:w="6237" w:type="dxa"/>
          </w:tcPr>
          <w:p w14:paraId="597FEDF6" w14:textId="77777777" w:rsidR="00C918F0" w:rsidRDefault="00D87875" w:rsidP="007E750F">
            <w:pPr>
              <w:shd w:val="clear" w:color="auto" w:fill="FFFFFF"/>
              <w:ind w:firstLine="314"/>
              <w:jc w:val="both"/>
              <w:rPr>
                <w:lang w:val="uk-UA"/>
              </w:rPr>
            </w:pPr>
            <w:r w:rsidRPr="00FF6FDE">
              <w:rPr>
                <w:lang w:val="uk-UA"/>
              </w:rPr>
              <w:t>Прийняття нового регуляторного акта є недоцільним, оскільки на сьогодні є чинн</w:t>
            </w:r>
            <w:r w:rsidR="00E46533" w:rsidRPr="00FF6FDE">
              <w:rPr>
                <w:lang w:val="uk-UA"/>
              </w:rPr>
              <w:t>і</w:t>
            </w:r>
            <w:r w:rsidRPr="00FF6FDE">
              <w:rPr>
                <w:lang w:val="uk-UA"/>
              </w:rPr>
              <w:t xml:space="preserve"> регуляторн</w:t>
            </w:r>
            <w:r w:rsidR="00E46533" w:rsidRPr="00FF6FDE">
              <w:rPr>
                <w:lang w:val="uk-UA"/>
              </w:rPr>
              <w:t>і</w:t>
            </w:r>
            <w:r w:rsidRPr="00FF6FDE">
              <w:rPr>
                <w:lang w:val="uk-UA"/>
              </w:rPr>
              <w:t xml:space="preserve"> акт</w:t>
            </w:r>
            <w:r w:rsidR="00E46533" w:rsidRPr="00FF6FDE">
              <w:rPr>
                <w:lang w:val="uk-UA"/>
              </w:rPr>
              <w:t>и</w:t>
            </w:r>
            <w:r w:rsidRPr="00FF6FDE">
              <w:rPr>
                <w:lang w:val="uk-UA"/>
              </w:rPr>
              <w:t>, яким</w:t>
            </w:r>
            <w:r w:rsidR="00E46533" w:rsidRPr="00FF6FDE">
              <w:rPr>
                <w:lang w:val="uk-UA"/>
              </w:rPr>
              <w:t>и</w:t>
            </w:r>
            <w:r w:rsidRPr="00FF6FDE">
              <w:rPr>
                <w:lang w:val="uk-UA"/>
              </w:rPr>
              <w:t xml:space="preserve"> регулюються відносини на роздрібному ринку електричної енергії.</w:t>
            </w:r>
          </w:p>
          <w:p w14:paraId="0F03E4F0" w14:textId="77777777" w:rsidR="005B36FC" w:rsidRPr="005B36FC" w:rsidRDefault="005B36FC" w:rsidP="007E750F">
            <w:pPr>
              <w:shd w:val="clear" w:color="auto" w:fill="FFFFFF"/>
              <w:ind w:firstLine="314"/>
              <w:jc w:val="both"/>
              <w:rPr>
                <w:sz w:val="20"/>
                <w:szCs w:val="20"/>
                <w:lang w:val="uk-UA"/>
              </w:rPr>
            </w:pPr>
          </w:p>
        </w:tc>
      </w:tr>
      <w:tr w:rsidR="00C918F0" w:rsidRPr="00FF6FDE" w14:paraId="03002B1C" w14:textId="77777777" w:rsidTr="005D6D50">
        <w:tc>
          <w:tcPr>
            <w:tcW w:w="3261" w:type="dxa"/>
          </w:tcPr>
          <w:p w14:paraId="78D1442E" w14:textId="77777777" w:rsidR="00C918F0" w:rsidRPr="00FF6FDE" w:rsidRDefault="0007200E" w:rsidP="009C1FF7">
            <w:pPr>
              <w:pStyle w:val="21"/>
              <w:spacing w:after="0" w:line="240" w:lineRule="auto"/>
              <w:jc w:val="both"/>
              <w:rPr>
                <w:b/>
              </w:rPr>
            </w:pPr>
            <w:r w:rsidRPr="00FF6FDE">
              <w:rPr>
                <w:b/>
              </w:rPr>
              <w:t>А</w:t>
            </w:r>
            <w:r w:rsidR="00C918F0" w:rsidRPr="00FF6FDE">
              <w:rPr>
                <w:b/>
              </w:rPr>
              <w:t>льтернатива 3</w:t>
            </w:r>
          </w:p>
          <w:p w14:paraId="0F318835" w14:textId="77777777" w:rsidR="00C918F0" w:rsidRPr="00FF6FDE" w:rsidRDefault="00CA5308" w:rsidP="009C1FF7">
            <w:pPr>
              <w:pStyle w:val="21"/>
              <w:spacing w:after="0" w:line="240" w:lineRule="auto"/>
            </w:pPr>
            <w:r w:rsidRPr="00FF6FDE">
              <w:t>Внесення змін до чинного регуляторного акта</w:t>
            </w:r>
          </w:p>
        </w:tc>
        <w:tc>
          <w:tcPr>
            <w:tcW w:w="6237" w:type="dxa"/>
          </w:tcPr>
          <w:p w14:paraId="7A431784" w14:textId="12AE7CF2" w:rsidR="00EE0CF0" w:rsidRDefault="00AA640E" w:rsidP="007E750F">
            <w:pPr>
              <w:shd w:val="clear" w:color="auto" w:fill="FFFFFF"/>
              <w:ind w:firstLine="314"/>
              <w:jc w:val="both"/>
              <w:rPr>
                <w:lang w:val="uk-UA"/>
              </w:rPr>
            </w:pPr>
            <w:r w:rsidRPr="00FF6FDE">
              <w:rPr>
                <w:lang w:val="uk-UA"/>
              </w:rPr>
              <w:t>Вн</w:t>
            </w:r>
            <w:r w:rsidR="001F63BD" w:rsidRPr="00FF6FDE">
              <w:rPr>
                <w:lang w:val="uk-UA"/>
              </w:rPr>
              <w:t xml:space="preserve">есення змін до </w:t>
            </w:r>
            <w:r w:rsidR="00116BA6" w:rsidRPr="00FF6FDE">
              <w:rPr>
                <w:lang w:val="uk-UA"/>
              </w:rPr>
              <w:t>Методики</w:t>
            </w:r>
            <w:r w:rsidR="001F63BD" w:rsidRPr="00FF6FDE">
              <w:rPr>
                <w:lang w:val="uk-UA"/>
              </w:rPr>
              <w:t xml:space="preserve"> сприятиме </w:t>
            </w:r>
            <w:r w:rsidR="00B64D9A">
              <w:rPr>
                <w:lang w:val="uk-UA"/>
              </w:rPr>
              <w:t>удосконаленню</w:t>
            </w:r>
            <w:r w:rsidR="00EE0CF0" w:rsidRPr="00FF6FDE">
              <w:rPr>
                <w:lang w:val="uk-UA"/>
              </w:rPr>
              <w:t xml:space="preserve"> </w:t>
            </w:r>
            <w:r w:rsidR="00A80487">
              <w:rPr>
                <w:lang w:val="uk-UA"/>
              </w:rPr>
              <w:t xml:space="preserve">механізму </w:t>
            </w:r>
            <w:r w:rsidR="005B36FC" w:rsidRPr="005B36FC">
              <w:rPr>
                <w:lang w:val="uk-UA"/>
              </w:rPr>
              <w:t>визначенн</w:t>
            </w:r>
            <w:r w:rsidR="005B36FC">
              <w:rPr>
                <w:lang w:val="uk-UA"/>
              </w:rPr>
              <w:t>я</w:t>
            </w:r>
            <w:r w:rsidR="005B36FC" w:rsidRPr="005B36FC">
              <w:rPr>
                <w:lang w:val="uk-UA"/>
              </w:rPr>
              <w:t xml:space="preserve"> об’єму технологічних електричних мереж спільного використання в умовних одиницях </w:t>
            </w:r>
            <w:r w:rsidR="005B36FC">
              <w:rPr>
                <w:lang w:val="uk-UA"/>
              </w:rPr>
              <w:t xml:space="preserve">згідно з </w:t>
            </w:r>
            <w:r w:rsidR="005B36FC" w:rsidRPr="005B36FC">
              <w:rPr>
                <w:lang w:val="uk-UA"/>
              </w:rPr>
              <w:t>положенням</w:t>
            </w:r>
            <w:r w:rsidR="005B36FC">
              <w:rPr>
                <w:lang w:val="uk-UA"/>
              </w:rPr>
              <w:t>и</w:t>
            </w:r>
            <w:r w:rsidR="005B36FC" w:rsidRPr="005B36FC">
              <w:rPr>
                <w:lang w:val="uk-UA"/>
              </w:rPr>
              <w:t xml:space="preserve"> </w:t>
            </w:r>
            <w:r w:rsidR="008575B6">
              <w:rPr>
                <w:lang w:val="uk-UA"/>
              </w:rPr>
              <w:t>Наказу № 100</w:t>
            </w:r>
            <w:r w:rsidR="005B36FC">
              <w:rPr>
                <w:lang w:val="uk-UA"/>
              </w:rPr>
              <w:t xml:space="preserve"> та врахуванню </w:t>
            </w:r>
            <w:r w:rsidR="005B36FC" w:rsidRPr="005B36FC">
              <w:rPr>
                <w:lang w:val="uk-UA"/>
              </w:rPr>
              <w:t xml:space="preserve">особливостей </w:t>
            </w:r>
            <w:proofErr w:type="spellStart"/>
            <w:r w:rsidR="005B36FC" w:rsidRPr="005B36FC">
              <w:rPr>
                <w:lang w:val="uk-UA"/>
              </w:rPr>
              <w:t>тарифоутворення</w:t>
            </w:r>
            <w:proofErr w:type="spellEnd"/>
            <w:r w:rsidR="005B36FC" w:rsidRPr="005B36FC">
              <w:rPr>
                <w:lang w:val="uk-UA"/>
              </w:rPr>
              <w:t xml:space="preserve"> операторів систем розподілу, які перейшли на стимулююче регулювання</w:t>
            </w:r>
            <w:r w:rsidR="00D720BD">
              <w:rPr>
                <w:lang w:val="uk-UA"/>
              </w:rPr>
              <w:t xml:space="preserve">, </w:t>
            </w:r>
            <w:r w:rsidR="00D720BD" w:rsidRPr="00D720BD">
              <w:rPr>
                <w:lang w:val="uk-UA"/>
              </w:rPr>
              <w:t>при визначенні граничних рівнів витрат за об'ємом умовних одиниць</w:t>
            </w:r>
            <w:r w:rsidR="00EE0CF0" w:rsidRPr="00FF6FDE">
              <w:rPr>
                <w:lang w:val="uk-UA"/>
              </w:rPr>
              <w:t xml:space="preserve">. </w:t>
            </w:r>
          </w:p>
          <w:p w14:paraId="7AEA20FB" w14:textId="77777777" w:rsidR="00C8128C" w:rsidRPr="005B36FC" w:rsidRDefault="00C8128C" w:rsidP="00B64D9A">
            <w:pPr>
              <w:shd w:val="clear" w:color="auto" w:fill="FFFFFF"/>
              <w:ind w:firstLine="314"/>
              <w:jc w:val="both"/>
              <w:rPr>
                <w:sz w:val="20"/>
                <w:szCs w:val="20"/>
                <w:lang w:val="uk-UA"/>
              </w:rPr>
            </w:pPr>
          </w:p>
        </w:tc>
      </w:tr>
    </w:tbl>
    <w:p w14:paraId="38827045" w14:textId="77777777" w:rsidR="00181D4E" w:rsidRPr="00D720BD" w:rsidRDefault="00181D4E" w:rsidP="009C1FF7">
      <w:pPr>
        <w:pStyle w:val="a6"/>
        <w:spacing w:after="0"/>
        <w:ind w:left="0" w:firstLine="709"/>
        <w:jc w:val="both"/>
      </w:pPr>
    </w:p>
    <w:p w14:paraId="7F19C927" w14:textId="77777777" w:rsidR="00C918F0" w:rsidRPr="00C63E24" w:rsidRDefault="00C918F0" w:rsidP="009C1FF7">
      <w:pPr>
        <w:pStyle w:val="a6"/>
        <w:spacing w:after="0"/>
        <w:ind w:left="0" w:firstLine="709"/>
        <w:jc w:val="both"/>
        <w:rPr>
          <w:sz w:val="26"/>
          <w:szCs w:val="26"/>
        </w:rPr>
      </w:pPr>
      <w:r w:rsidRPr="00C63E24">
        <w:rPr>
          <w:sz w:val="26"/>
          <w:szCs w:val="26"/>
        </w:rPr>
        <w:t>2. Оцінка вибраних альтернативних способів досягнення цілей.</w:t>
      </w:r>
    </w:p>
    <w:p w14:paraId="1B46D5F4" w14:textId="77777777" w:rsidR="00C918F0" w:rsidRPr="00D720BD" w:rsidRDefault="00C918F0" w:rsidP="009C1FF7">
      <w:pPr>
        <w:pStyle w:val="a6"/>
        <w:spacing w:after="0"/>
        <w:ind w:left="0"/>
        <w:jc w:val="both"/>
      </w:pPr>
    </w:p>
    <w:p w14:paraId="078AC3FE"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t>Оцінка вп</w:t>
      </w:r>
      <w:r w:rsidR="0007200E" w:rsidRPr="00C63E24">
        <w:rPr>
          <w:sz w:val="26"/>
          <w:szCs w:val="26"/>
        </w:rPr>
        <w:t>ливу на сферу інтересів держави:</w:t>
      </w:r>
    </w:p>
    <w:p w14:paraId="718D8C49"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4"/>
        <w:gridCol w:w="4683"/>
        <w:gridCol w:w="1639"/>
      </w:tblGrid>
      <w:tr w:rsidR="00C918F0" w:rsidRPr="00FF6FDE" w14:paraId="7536F11F" w14:textId="77777777" w:rsidTr="00AD24B4">
        <w:trPr>
          <w:trHeight w:val="496"/>
        </w:trPr>
        <w:tc>
          <w:tcPr>
            <w:tcW w:w="2977" w:type="dxa"/>
            <w:vAlign w:val="center"/>
          </w:tcPr>
          <w:p w14:paraId="5E4BC261" w14:textId="77777777" w:rsidR="00C918F0" w:rsidRPr="00FF6FDE" w:rsidRDefault="00C918F0" w:rsidP="009C1FF7">
            <w:pPr>
              <w:pStyle w:val="21"/>
              <w:spacing w:after="0" w:line="240" w:lineRule="auto"/>
              <w:jc w:val="center"/>
              <w:rPr>
                <w:b/>
              </w:rPr>
            </w:pPr>
            <w:r w:rsidRPr="00FF6FDE">
              <w:rPr>
                <w:b/>
              </w:rPr>
              <w:t>Вид альтернативи</w:t>
            </w:r>
          </w:p>
        </w:tc>
        <w:tc>
          <w:tcPr>
            <w:tcW w:w="4820" w:type="dxa"/>
            <w:vAlign w:val="center"/>
          </w:tcPr>
          <w:p w14:paraId="1B6CF8CE" w14:textId="77777777" w:rsidR="00C918F0" w:rsidRPr="00FF6FDE" w:rsidRDefault="00C918F0" w:rsidP="009C1FF7">
            <w:pPr>
              <w:pStyle w:val="21"/>
              <w:spacing w:after="0" w:line="240" w:lineRule="auto"/>
              <w:jc w:val="center"/>
              <w:rPr>
                <w:b/>
              </w:rPr>
            </w:pPr>
            <w:r w:rsidRPr="00FF6FDE">
              <w:rPr>
                <w:b/>
              </w:rPr>
              <w:t>Вигоди</w:t>
            </w:r>
          </w:p>
        </w:tc>
        <w:tc>
          <w:tcPr>
            <w:tcW w:w="1665" w:type="dxa"/>
            <w:vAlign w:val="center"/>
          </w:tcPr>
          <w:p w14:paraId="3E91AA16" w14:textId="77777777" w:rsidR="00C918F0" w:rsidRPr="00FF6FDE" w:rsidRDefault="00C918F0" w:rsidP="009C1FF7">
            <w:pPr>
              <w:pStyle w:val="21"/>
              <w:spacing w:after="0" w:line="240" w:lineRule="auto"/>
              <w:jc w:val="center"/>
              <w:rPr>
                <w:b/>
              </w:rPr>
            </w:pPr>
            <w:r w:rsidRPr="00FF6FDE">
              <w:rPr>
                <w:b/>
              </w:rPr>
              <w:t>Витрати</w:t>
            </w:r>
          </w:p>
        </w:tc>
      </w:tr>
      <w:tr w:rsidR="00330363" w:rsidRPr="00FF6FDE" w14:paraId="735DC9BD" w14:textId="77777777" w:rsidTr="00AD24B4">
        <w:tc>
          <w:tcPr>
            <w:tcW w:w="2977" w:type="dxa"/>
          </w:tcPr>
          <w:p w14:paraId="57CD1803" w14:textId="77777777" w:rsidR="00330363" w:rsidRPr="00FF6FDE" w:rsidRDefault="00330363" w:rsidP="009C1FF7">
            <w:pPr>
              <w:pStyle w:val="21"/>
              <w:spacing w:after="0" w:line="240" w:lineRule="auto"/>
              <w:jc w:val="both"/>
              <w:rPr>
                <w:b/>
              </w:rPr>
            </w:pPr>
            <w:r w:rsidRPr="00FF6FDE">
              <w:rPr>
                <w:b/>
              </w:rPr>
              <w:t>Альтернатива 1</w:t>
            </w:r>
          </w:p>
          <w:p w14:paraId="721F1EB4" w14:textId="77777777" w:rsidR="00330363" w:rsidRPr="00FF6FDE" w:rsidRDefault="0007200E" w:rsidP="009C1FF7">
            <w:pPr>
              <w:pStyle w:val="21"/>
              <w:spacing w:after="0" w:line="240" w:lineRule="auto"/>
            </w:pPr>
            <w:r w:rsidRPr="00FF6FDE">
              <w:t>Збереження чинного регулювання</w:t>
            </w:r>
          </w:p>
        </w:tc>
        <w:tc>
          <w:tcPr>
            <w:tcW w:w="4820" w:type="dxa"/>
          </w:tcPr>
          <w:p w14:paraId="2EE9C3A5" w14:textId="77777777" w:rsidR="00330363" w:rsidRPr="00FF6FDE" w:rsidRDefault="0007200E" w:rsidP="009C1FF7">
            <w:pPr>
              <w:pStyle w:val="21"/>
              <w:spacing w:after="0" w:line="240" w:lineRule="auto"/>
              <w:jc w:val="both"/>
            </w:pPr>
            <w:r w:rsidRPr="00FF6FDE">
              <w:t>Відсутні</w:t>
            </w:r>
            <w:r w:rsidR="0085193E" w:rsidRPr="00FF6FDE">
              <w:t>.</w:t>
            </w:r>
          </w:p>
        </w:tc>
        <w:tc>
          <w:tcPr>
            <w:tcW w:w="1665" w:type="dxa"/>
          </w:tcPr>
          <w:p w14:paraId="59036C47" w14:textId="77777777" w:rsidR="00330363" w:rsidRPr="00FF6FDE" w:rsidRDefault="005D3B10" w:rsidP="009C1FF7">
            <w:pPr>
              <w:pStyle w:val="21"/>
              <w:spacing w:after="0" w:line="240" w:lineRule="auto"/>
            </w:pPr>
            <w:r w:rsidRPr="00FF6FDE">
              <w:t>Відсутні.</w:t>
            </w:r>
          </w:p>
        </w:tc>
      </w:tr>
      <w:tr w:rsidR="00AE4E72" w:rsidRPr="00FF6FDE" w14:paraId="0D04B2F6" w14:textId="77777777" w:rsidTr="00AD24B4">
        <w:tc>
          <w:tcPr>
            <w:tcW w:w="2977" w:type="dxa"/>
          </w:tcPr>
          <w:p w14:paraId="701151B7" w14:textId="77777777" w:rsidR="00AE4E72" w:rsidRPr="00FF6FDE" w:rsidRDefault="00AE4E72" w:rsidP="009C1FF7">
            <w:pPr>
              <w:pStyle w:val="21"/>
              <w:spacing w:after="0" w:line="240" w:lineRule="auto"/>
              <w:jc w:val="both"/>
              <w:rPr>
                <w:b/>
              </w:rPr>
            </w:pPr>
            <w:r w:rsidRPr="00FF6FDE">
              <w:rPr>
                <w:b/>
              </w:rPr>
              <w:t>Альтернатива 2</w:t>
            </w:r>
          </w:p>
          <w:p w14:paraId="6378D5A3" w14:textId="77777777" w:rsidR="00AE4E72" w:rsidRPr="00FF6FDE" w:rsidRDefault="00CE0DE8" w:rsidP="009C1FF7">
            <w:pPr>
              <w:pStyle w:val="21"/>
              <w:spacing w:after="0" w:line="240" w:lineRule="auto"/>
            </w:pPr>
            <w:r w:rsidRPr="00FF6FDE">
              <w:t>Прийняття нового регуляторного акта</w:t>
            </w:r>
          </w:p>
        </w:tc>
        <w:tc>
          <w:tcPr>
            <w:tcW w:w="4820" w:type="dxa"/>
          </w:tcPr>
          <w:p w14:paraId="2DA8A74E" w14:textId="77777777" w:rsidR="00AE4E72" w:rsidRPr="00FF6FDE" w:rsidRDefault="00AE4E72" w:rsidP="009C1FF7">
            <w:pPr>
              <w:pStyle w:val="21"/>
              <w:spacing w:after="0" w:line="240" w:lineRule="auto"/>
              <w:jc w:val="both"/>
            </w:pPr>
            <w:r w:rsidRPr="00FF6FDE">
              <w:t>Відсутні</w:t>
            </w:r>
            <w:r w:rsidR="0085193E" w:rsidRPr="00FF6FDE">
              <w:t>.</w:t>
            </w:r>
          </w:p>
        </w:tc>
        <w:tc>
          <w:tcPr>
            <w:tcW w:w="1665" w:type="dxa"/>
          </w:tcPr>
          <w:p w14:paraId="3A27340D" w14:textId="77777777" w:rsidR="00AE4E72" w:rsidRPr="00FF6FDE" w:rsidRDefault="005D3B10" w:rsidP="009C1FF7">
            <w:pPr>
              <w:pStyle w:val="21"/>
              <w:spacing w:after="0" w:line="240" w:lineRule="auto"/>
            </w:pPr>
            <w:r w:rsidRPr="00FF6FDE">
              <w:t>Відсутні.</w:t>
            </w:r>
          </w:p>
        </w:tc>
      </w:tr>
      <w:tr w:rsidR="00AE4E72" w:rsidRPr="00FF6FDE" w14:paraId="7B058765" w14:textId="77777777" w:rsidTr="00AD24B4">
        <w:tc>
          <w:tcPr>
            <w:tcW w:w="2977" w:type="dxa"/>
          </w:tcPr>
          <w:p w14:paraId="085251DA" w14:textId="77777777" w:rsidR="00AE4E72" w:rsidRPr="00FF6FDE" w:rsidRDefault="00AE4E72" w:rsidP="009C1FF7">
            <w:pPr>
              <w:pStyle w:val="21"/>
              <w:spacing w:after="0" w:line="240" w:lineRule="auto"/>
              <w:jc w:val="both"/>
              <w:rPr>
                <w:b/>
              </w:rPr>
            </w:pPr>
            <w:r w:rsidRPr="00FF6FDE">
              <w:rPr>
                <w:b/>
              </w:rPr>
              <w:t>Альтернатива 3</w:t>
            </w:r>
          </w:p>
          <w:p w14:paraId="591ABA70" w14:textId="77777777" w:rsidR="00AE4E72" w:rsidRPr="00FF6FDE" w:rsidRDefault="00CE0DE8" w:rsidP="009C1FF7">
            <w:pPr>
              <w:pStyle w:val="21"/>
              <w:spacing w:after="0" w:line="240" w:lineRule="auto"/>
            </w:pPr>
            <w:r w:rsidRPr="00FF6FDE">
              <w:t>Внесення змін до чинного регуляторного акта</w:t>
            </w:r>
          </w:p>
        </w:tc>
        <w:tc>
          <w:tcPr>
            <w:tcW w:w="4820" w:type="dxa"/>
          </w:tcPr>
          <w:p w14:paraId="716F34E6" w14:textId="77777777" w:rsidR="00AE4E72" w:rsidRPr="00FF6FDE" w:rsidRDefault="00D22881" w:rsidP="009C1FF7">
            <w:pPr>
              <w:rPr>
                <w:lang w:val="uk-UA"/>
              </w:rPr>
            </w:pPr>
            <w:r w:rsidRPr="00FF6FDE">
              <w:rPr>
                <w:lang w:val="uk-UA"/>
              </w:rPr>
              <w:t xml:space="preserve">Удосконалення державного регулювання у </w:t>
            </w:r>
            <w:r w:rsidR="00AE4E72" w:rsidRPr="00FF6FDE">
              <w:rPr>
                <w:lang w:val="uk-UA"/>
              </w:rPr>
              <w:t xml:space="preserve"> </w:t>
            </w:r>
            <w:r w:rsidRPr="00FF6FDE">
              <w:rPr>
                <w:lang w:val="uk-UA"/>
              </w:rPr>
              <w:t>сфері електроенергетики та договірних взаємовідносин.</w:t>
            </w:r>
          </w:p>
        </w:tc>
        <w:tc>
          <w:tcPr>
            <w:tcW w:w="1665" w:type="dxa"/>
          </w:tcPr>
          <w:p w14:paraId="524D5011" w14:textId="77777777" w:rsidR="00AE4E72" w:rsidRPr="00FF6FDE" w:rsidRDefault="00AE4E72" w:rsidP="009C1FF7">
            <w:pPr>
              <w:pStyle w:val="21"/>
              <w:spacing w:after="0" w:line="240" w:lineRule="auto"/>
              <w:jc w:val="both"/>
            </w:pPr>
            <w:r w:rsidRPr="00FF6FDE">
              <w:t>Відсутні</w:t>
            </w:r>
            <w:r w:rsidR="0031301C" w:rsidRPr="00FF6FDE">
              <w:t>.</w:t>
            </w:r>
          </w:p>
        </w:tc>
      </w:tr>
    </w:tbl>
    <w:p w14:paraId="1E282B20" w14:textId="77777777" w:rsidR="00AD0453" w:rsidRDefault="00AD0453" w:rsidP="009C1FF7">
      <w:pPr>
        <w:pStyle w:val="a6"/>
        <w:spacing w:after="0"/>
        <w:ind w:left="0"/>
        <w:jc w:val="both"/>
      </w:pPr>
    </w:p>
    <w:p w14:paraId="41854037" w14:textId="77777777" w:rsidR="008575B6" w:rsidRDefault="008575B6" w:rsidP="009C1FF7">
      <w:pPr>
        <w:pStyle w:val="a6"/>
        <w:spacing w:after="0"/>
        <w:ind w:left="0"/>
        <w:jc w:val="both"/>
      </w:pPr>
    </w:p>
    <w:p w14:paraId="2533040F" w14:textId="77777777" w:rsidR="008575B6" w:rsidRDefault="008575B6" w:rsidP="009C1FF7">
      <w:pPr>
        <w:pStyle w:val="a6"/>
        <w:spacing w:after="0"/>
        <w:ind w:left="0"/>
        <w:jc w:val="both"/>
      </w:pPr>
    </w:p>
    <w:p w14:paraId="03E83420" w14:textId="77777777" w:rsidR="008575B6" w:rsidRDefault="008575B6" w:rsidP="009C1FF7">
      <w:pPr>
        <w:pStyle w:val="a6"/>
        <w:spacing w:after="0"/>
        <w:ind w:left="0"/>
        <w:jc w:val="both"/>
      </w:pPr>
    </w:p>
    <w:p w14:paraId="54EC4EC3" w14:textId="77777777" w:rsidR="008575B6" w:rsidRPr="00D720BD" w:rsidRDefault="008575B6" w:rsidP="009C1FF7">
      <w:pPr>
        <w:pStyle w:val="a6"/>
        <w:spacing w:after="0"/>
        <w:ind w:left="0"/>
        <w:jc w:val="both"/>
      </w:pPr>
    </w:p>
    <w:p w14:paraId="060B20CD"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lastRenderedPageBreak/>
        <w:t>Оцінка впл</w:t>
      </w:r>
      <w:r w:rsidR="0007200E" w:rsidRPr="00C63E24">
        <w:rPr>
          <w:sz w:val="26"/>
          <w:szCs w:val="26"/>
        </w:rPr>
        <w:t>иву на сферу інтересів громадян:</w:t>
      </w:r>
    </w:p>
    <w:p w14:paraId="73F61875"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116"/>
        <w:gridCol w:w="2211"/>
      </w:tblGrid>
      <w:tr w:rsidR="00C918F0" w:rsidRPr="00FF6FDE" w14:paraId="4C15BD99" w14:textId="77777777" w:rsidTr="00E95445">
        <w:trPr>
          <w:trHeight w:val="496"/>
        </w:trPr>
        <w:tc>
          <w:tcPr>
            <w:tcW w:w="2977" w:type="dxa"/>
            <w:vAlign w:val="center"/>
          </w:tcPr>
          <w:p w14:paraId="4315455A" w14:textId="77777777" w:rsidR="00C918F0" w:rsidRPr="00FF6FDE" w:rsidRDefault="00C918F0" w:rsidP="009C1FF7">
            <w:pPr>
              <w:pStyle w:val="21"/>
              <w:spacing w:after="0" w:line="240" w:lineRule="auto"/>
              <w:jc w:val="center"/>
              <w:rPr>
                <w:b/>
              </w:rPr>
            </w:pPr>
            <w:r w:rsidRPr="00FF6FDE">
              <w:rPr>
                <w:b/>
              </w:rPr>
              <w:t>Вид альтернативи</w:t>
            </w:r>
          </w:p>
        </w:tc>
        <w:tc>
          <w:tcPr>
            <w:tcW w:w="4253" w:type="dxa"/>
            <w:vAlign w:val="center"/>
          </w:tcPr>
          <w:p w14:paraId="2212697C" w14:textId="77777777" w:rsidR="00C918F0" w:rsidRPr="00FF6FDE" w:rsidRDefault="00C918F0" w:rsidP="009C1FF7">
            <w:pPr>
              <w:pStyle w:val="21"/>
              <w:spacing w:after="0" w:line="240" w:lineRule="auto"/>
              <w:jc w:val="center"/>
              <w:rPr>
                <w:b/>
              </w:rPr>
            </w:pPr>
            <w:r w:rsidRPr="00FF6FDE">
              <w:rPr>
                <w:b/>
              </w:rPr>
              <w:t>Вигоди</w:t>
            </w:r>
          </w:p>
        </w:tc>
        <w:tc>
          <w:tcPr>
            <w:tcW w:w="2232" w:type="dxa"/>
            <w:vAlign w:val="center"/>
          </w:tcPr>
          <w:p w14:paraId="37658114" w14:textId="77777777" w:rsidR="00C918F0" w:rsidRPr="00FF6FDE" w:rsidRDefault="00C918F0" w:rsidP="009C1FF7">
            <w:pPr>
              <w:pStyle w:val="21"/>
              <w:spacing w:after="0" w:line="240" w:lineRule="auto"/>
              <w:jc w:val="center"/>
              <w:rPr>
                <w:b/>
              </w:rPr>
            </w:pPr>
            <w:r w:rsidRPr="00FF6FDE">
              <w:rPr>
                <w:b/>
              </w:rPr>
              <w:t>Витрати</w:t>
            </w:r>
          </w:p>
        </w:tc>
      </w:tr>
      <w:tr w:rsidR="00330363" w:rsidRPr="00FF6FDE" w14:paraId="16C3EC8A" w14:textId="77777777" w:rsidTr="00E95445">
        <w:tc>
          <w:tcPr>
            <w:tcW w:w="2977" w:type="dxa"/>
          </w:tcPr>
          <w:p w14:paraId="79176E8B" w14:textId="77777777" w:rsidR="00330363" w:rsidRPr="00FF6FDE" w:rsidRDefault="00330363" w:rsidP="009C1FF7">
            <w:pPr>
              <w:pStyle w:val="21"/>
              <w:spacing w:after="0" w:line="240" w:lineRule="auto"/>
              <w:jc w:val="both"/>
              <w:rPr>
                <w:b/>
              </w:rPr>
            </w:pPr>
            <w:r w:rsidRPr="00FF6FDE">
              <w:rPr>
                <w:b/>
              </w:rPr>
              <w:t>Альтернатива 1</w:t>
            </w:r>
          </w:p>
          <w:p w14:paraId="1AC543F3" w14:textId="77777777" w:rsidR="00330363" w:rsidRDefault="00330363" w:rsidP="009C1FF7">
            <w:pPr>
              <w:pStyle w:val="21"/>
              <w:spacing w:after="0" w:line="240" w:lineRule="auto"/>
            </w:pPr>
            <w:r w:rsidRPr="00FF6FDE">
              <w:t>Збереження чинного регулювання</w:t>
            </w:r>
          </w:p>
          <w:p w14:paraId="12F8D424" w14:textId="77777777" w:rsidR="00D720BD" w:rsidRPr="00FF6FDE" w:rsidRDefault="00D720BD" w:rsidP="009C1FF7">
            <w:pPr>
              <w:pStyle w:val="21"/>
              <w:spacing w:after="0" w:line="240" w:lineRule="auto"/>
            </w:pPr>
          </w:p>
        </w:tc>
        <w:tc>
          <w:tcPr>
            <w:tcW w:w="4253" w:type="dxa"/>
          </w:tcPr>
          <w:p w14:paraId="6EEF367A" w14:textId="77777777" w:rsidR="00330363" w:rsidRPr="00FF6FDE" w:rsidRDefault="0007200E" w:rsidP="009C1FF7">
            <w:pPr>
              <w:pStyle w:val="21"/>
              <w:spacing w:after="0" w:line="240" w:lineRule="auto"/>
              <w:jc w:val="both"/>
            </w:pPr>
            <w:r w:rsidRPr="00FF6FDE">
              <w:t>Відсутні</w:t>
            </w:r>
            <w:r w:rsidR="0085193E" w:rsidRPr="00FF6FDE">
              <w:t>.</w:t>
            </w:r>
          </w:p>
        </w:tc>
        <w:tc>
          <w:tcPr>
            <w:tcW w:w="2232" w:type="dxa"/>
          </w:tcPr>
          <w:p w14:paraId="6A09D882" w14:textId="77777777" w:rsidR="00330363" w:rsidRPr="00FF6FDE" w:rsidRDefault="00CE0DE8" w:rsidP="009C1FF7">
            <w:pPr>
              <w:pStyle w:val="21"/>
              <w:spacing w:after="0" w:line="240" w:lineRule="auto"/>
            </w:pPr>
            <w:r w:rsidRPr="00FF6FDE">
              <w:t>Відсутні.</w:t>
            </w:r>
          </w:p>
        </w:tc>
      </w:tr>
      <w:tr w:rsidR="00330363" w:rsidRPr="00FF6FDE" w14:paraId="02BC6FFC" w14:textId="77777777" w:rsidTr="00E95445">
        <w:tc>
          <w:tcPr>
            <w:tcW w:w="2977" w:type="dxa"/>
          </w:tcPr>
          <w:p w14:paraId="75562087" w14:textId="77777777" w:rsidR="00330363" w:rsidRPr="00FF6FDE" w:rsidRDefault="00330363" w:rsidP="009C1FF7">
            <w:pPr>
              <w:pStyle w:val="21"/>
              <w:spacing w:after="0" w:line="240" w:lineRule="auto"/>
              <w:jc w:val="both"/>
              <w:rPr>
                <w:b/>
              </w:rPr>
            </w:pPr>
            <w:r w:rsidRPr="00FF6FDE">
              <w:rPr>
                <w:b/>
              </w:rPr>
              <w:t>Альтернатива 2</w:t>
            </w:r>
          </w:p>
          <w:p w14:paraId="7A6C1A2A" w14:textId="25DD384E" w:rsidR="005D6D50" w:rsidRPr="00D720BD" w:rsidRDefault="00CE0DE8" w:rsidP="009C1FF7">
            <w:pPr>
              <w:pStyle w:val="21"/>
              <w:spacing w:after="0" w:line="240" w:lineRule="auto"/>
            </w:pPr>
            <w:r w:rsidRPr="00FF6FDE">
              <w:t xml:space="preserve">Прийняття нового регуляторного </w:t>
            </w:r>
            <w:proofErr w:type="spellStart"/>
            <w:r w:rsidRPr="00FF6FDE">
              <w:t>акта</w:t>
            </w:r>
            <w:proofErr w:type="spellEnd"/>
          </w:p>
        </w:tc>
        <w:tc>
          <w:tcPr>
            <w:tcW w:w="4253" w:type="dxa"/>
          </w:tcPr>
          <w:p w14:paraId="2034C76E" w14:textId="77777777" w:rsidR="00330363" w:rsidRPr="00FF6FDE" w:rsidRDefault="0007200E" w:rsidP="009C1FF7">
            <w:pPr>
              <w:pStyle w:val="21"/>
              <w:spacing w:after="0" w:line="240" w:lineRule="auto"/>
              <w:jc w:val="both"/>
            </w:pPr>
            <w:r w:rsidRPr="00FF6FDE">
              <w:t>Відсутні</w:t>
            </w:r>
            <w:r w:rsidR="0085193E" w:rsidRPr="00FF6FDE">
              <w:t>.</w:t>
            </w:r>
          </w:p>
        </w:tc>
        <w:tc>
          <w:tcPr>
            <w:tcW w:w="2232" w:type="dxa"/>
          </w:tcPr>
          <w:p w14:paraId="23D37857" w14:textId="77777777" w:rsidR="00330363" w:rsidRPr="00FF6FDE" w:rsidRDefault="00CE0DE8" w:rsidP="009C1FF7">
            <w:pPr>
              <w:overflowPunct w:val="0"/>
              <w:autoSpaceDE w:val="0"/>
              <w:autoSpaceDN w:val="0"/>
              <w:adjustRightInd w:val="0"/>
              <w:textAlignment w:val="baseline"/>
              <w:rPr>
                <w:lang w:val="uk-UA"/>
              </w:rPr>
            </w:pPr>
            <w:r w:rsidRPr="00FF6FDE">
              <w:rPr>
                <w:lang w:val="uk-UA"/>
              </w:rPr>
              <w:t>Відсутні.</w:t>
            </w:r>
          </w:p>
        </w:tc>
      </w:tr>
      <w:tr w:rsidR="00330363" w:rsidRPr="00FF6FDE" w14:paraId="2350F54B" w14:textId="77777777" w:rsidTr="00E95445">
        <w:tc>
          <w:tcPr>
            <w:tcW w:w="2977" w:type="dxa"/>
          </w:tcPr>
          <w:p w14:paraId="1220C9E0" w14:textId="77777777" w:rsidR="00330363" w:rsidRPr="00FF6FDE" w:rsidRDefault="0007200E" w:rsidP="009C1FF7">
            <w:pPr>
              <w:pStyle w:val="21"/>
              <w:spacing w:after="0" w:line="240" w:lineRule="auto"/>
              <w:jc w:val="both"/>
              <w:rPr>
                <w:b/>
              </w:rPr>
            </w:pPr>
            <w:r w:rsidRPr="00FF6FDE">
              <w:rPr>
                <w:b/>
              </w:rPr>
              <w:t>А</w:t>
            </w:r>
            <w:r w:rsidR="00330363" w:rsidRPr="00FF6FDE">
              <w:rPr>
                <w:b/>
              </w:rPr>
              <w:t>льтернатива 3</w:t>
            </w:r>
          </w:p>
          <w:p w14:paraId="0EED5A1E" w14:textId="77777777" w:rsidR="00330363" w:rsidRPr="00FF6FDE" w:rsidRDefault="00CE0DE8" w:rsidP="009C1FF7">
            <w:pPr>
              <w:pStyle w:val="21"/>
              <w:spacing w:after="0" w:line="240" w:lineRule="auto"/>
            </w:pPr>
            <w:r w:rsidRPr="00FF6FDE">
              <w:t>Внесення змін до чинного регуляторного акта</w:t>
            </w:r>
          </w:p>
        </w:tc>
        <w:tc>
          <w:tcPr>
            <w:tcW w:w="4253" w:type="dxa"/>
          </w:tcPr>
          <w:p w14:paraId="42A6DCCE" w14:textId="77777777" w:rsidR="00963B75" w:rsidRPr="00FF6FDE" w:rsidRDefault="0023524A" w:rsidP="009C1FF7">
            <w:pPr>
              <w:overflowPunct w:val="0"/>
              <w:autoSpaceDE w:val="0"/>
              <w:autoSpaceDN w:val="0"/>
              <w:adjustRightInd w:val="0"/>
              <w:textAlignment w:val="baseline"/>
              <w:rPr>
                <w:lang w:val="uk-UA"/>
              </w:rPr>
            </w:pPr>
            <w:r w:rsidRPr="00FF6FDE">
              <w:rPr>
                <w:lang w:val="uk-UA"/>
              </w:rPr>
              <w:t>Удосконалення взаємовідносин</w:t>
            </w:r>
            <w:r w:rsidR="00963B75" w:rsidRPr="00FF6FDE">
              <w:rPr>
                <w:lang w:val="uk-UA"/>
              </w:rPr>
              <w:t xml:space="preserve"> на роздрібному ринку електричної енергії.</w:t>
            </w:r>
          </w:p>
        </w:tc>
        <w:tc>
          <w:tcPr>
            <w:tcW w:w="2232" w:type="dxa"/>
          </w:tcPr>
          <w:p w14:paraId="1671B59D" w14:textId="77777777" w:rsidR="00330363" w:rsidRPr="00FF6FDE" w:rsidRDefault="00276984" w:rsidP="009C1FF7">
            <w:pPr>
              <w:overflowPunct w:val="0"/>
              <w:autoSpaceDE w:val="0"/>
              <w:autoSpaceDN w:val="0"/>
              <w:adjustRightInd w:val="0"/>
              <w:textAlignment w:val="baseline"/>
              <w:rPr>
                <w:lang w:val="uk-UA"/>
              </w:rPr>
            </w:pPr>
            <w:r w:rsidRPr="00FF6FDE">
              <w:rPr>
                <w:lang w:val="uk-UA"/>
              </w:rPr>
              <w:t>Додаткових витрат не передбачається</w:t>
            </w:r>
            <w:r w:rsidR="0085193E" w:rsidRPr="00FF6FDE">
              <w:rPr>
                <w:lang w:val="uk-UA"/>
              </w:rPr>
              <w:t>.</w:t>
            </w:r>
          </w:p>
        </w:tc>
      </w:tr>
    </w:tbl>
    <w:p w14:paraId="73DF0CFE" w14:textId="77777777" w:rsidR="00AE4E72" w:rsidRPr="00D720BD" w:rsidRDefault="00AE4E72" w:rsidP="009C1FF7">
      <w:pPr>
        <w:pStyle w:val="a6"/>
        <w:spacing w:after="0"/>
        <w:ind w:left="0"/>
        <w:jc w:val="both"/>
      </w:pPr>
    </w:p>
    <w:p w14:paraId="4F0268CE"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t>Оцінка впливу на сферу інт</w:t>
      </w:r>
      <w:r w:rsidR="00633DCD" w:rsidRPr="00C63E24">
        <w:rPr>
          <w:sz w:val="26"/>
          <w:szCs w:val="26"/>
        </w:rPr>
        <w:t>ересів суб'єктів господарювання:</w:t>
      </w:r>
    </w:p>
    <w:p w14:paraId="2A7B7C7B" w14:textId="77777777" w:rsidR="0007200E" w:rsidRPr="00D720BD" w:rsidRDefault="0007200E"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3790"/>
        <w:gridCol w:w="2345"/>
      </w:tblGrid>
      <w:tr w:rsidR="00C918F0" w:rsidRPr="00FF6FDE" w14:paraId="30DEDA46" w14:textId="77777777" w:rsidTr="00E95445">
        <w:trPr>
          <w:trHeight w:val="496"/>
        </w:trPr>
        <w:tc>
          <w:tcPr>
            <w:tcW w:w="3181" w:type="dxa"/>
            <w:vAlign w:val="center"/>
          </w:tcPr>
          <w:p w14:paraId="5E6345C3" w14:textId="77777777" w:rsidR="00C918F0" w:rsidRPr="00FF6FDE" w:rsidRDefault="00C918F0" w:rsidP="009C1FF7">
            <w:pPr>
              <w:pStyle w:val="21"/>
              <w:spacing w:after="0" w:line="240" w:lineRule="auto"/>
              <w:jc w:val="center"/>
              <w:rPr>
                <w:b/>
              </w:rPr>
            </w:pPr>
            <w:r w:rsidRPr="00FF6FDE">
              <w:br w:type="page"/>
            </w:r>
            <w:r w:rsidRPr="00FF6FDE">
              <w:rPr>
                <w:b/>
              </w:rPr>
              <w:t>Вид альтернативи</w:t>
            </w:r>
          </w:p>
        </w:tc>
        <w:tc>
          <w:tcPr>
            <w:tcW w:w="3907" w:type="dxa"/>
            <w:vAlign w:val="center"/>
          </w:tcPr>
          <w:p w14:paraId="217823D5" w14:textId="77777777" w:rsidR="00C918F0" w:rsidRPr="00FF6FDE" w:rsidRDefault="00C918F0" w:rsidP="009C1FF7">
            <w:pPr>
              <w:pStyle w:val="21"/>
              <w:spacing w:after="0" w:line="240" w:lineRule="auto"/>
              <w:jc w:val="center"/>
              <w:rPr>
                <w:b/>
              </w:rPr>
            </w:pPr>
            <w:r w:rsidRPr="00FF6FDE">
              <w:rPr>
                <w:b/>
              </w:rPr>
              <w:t>Вигоди</w:t>
            </w:r>
          </w:p>
        </w:tc>
        <w:tc>
          <w:tcPr>
            <w:tcW w:w="2374" w:type="dxa"/>
            <w:vAlign w:val="center"/>
          </w:tcPr>
          <w:p w14:paraId="19035BA0" w14:textId="77777777" w:rsidR="00C918F0" w:rsidRPr="00FF6FDE" w:rsidRDefault="00C918F0" w:rsidP="009C1FF7">
            <w:pPr>
              <w:pStyle w:val="21"/>
              <w:spacing w:after="0" w:line="240" w:lineRule="auto"/>
              <w:jc w:val="center"/>
              <w:rPr>
                <w:b/>
              </w:rPr>
            </w:pPr>
            <w:r w:rsidRPr="00FF6FDE">
              <w:rPr>
                <w:b/>
              </w:rPr>
              <w:t>Витрати</w:t>
            </w:r>
          </w:p>
        </w:tc>
      </w:tr>
      <w:tr w:rsidR="001C6DC1" w:rsidRPr="00FF6FDE" w14:paraId="65367049" w14:textId="77777777" w:rsidTr="00E95445">
        <w:tc>
          <w:tcPr>
            <w:tcW w:w="3181" w:type="dxa"/>
          </w:tcPr>
          <w:p w14:paraId="70687E67" w14:textId="77777777" w:rsidR="001C6DC1" w:rsidRPr="00FF6FDE" w:rsidRDefault="001C6DC1" w:rsidP="009C1FF7">
            <w:pPr>
              <w:pStyle w:val="21"/>
              <w:spacing w:after="0" w:line="240" w:lineRule="auto"/>
              <w:rPr>
                <w:b/>
              </w:rPr>
            </w:pPr>
            <w:r w:rsidRPr="00FF6FDE">
              <w:rPr>
                <w:b/>
              </w:rPr>
              <w:t>Альтернатива 1</w:t>
            </w:r>
          </w:p>
          <w:p w14:paraId="73C6207D" w14:textId="77777777" w:rsidR="001C6DC1" w:rsidRPr="00FF6FDE" w:rsidRDefault="0007200E" w:rsidP="009C1FF7">
            <w:pPr>
              <w:pStyle w:val="21"/>
              <w:spacing w:after="0" w:line="240" w:lineRule="auto"/>
            </w:pPr>
            <w:r w:rsidRPr="00FF6FDE">
              <w:t>Збереження чинного регулювання</w:t>
            </w:r>
            <w:r w:rsidR="00AD33D3" w:rsidRPr="00FF6FDE">
              <w:t>.</w:t>
            </w:r>
          </w:p>
        </w:tc>
        <w:tc>
          <w:tcPr>
            <w:tcW w:w="3907" w:type="dxa"/>
          </w:tcPr>
          <w:p w14:paraId="12D94AFB" w14:textId="77777777" w:rsidR="001C6DC1" w:rsidRPr="00FF6FDE" w:rsidRDefault="0007200E" w:rsidP="009C1FF7">
            <w:pPr>
              <w:pStyle w:val="21"/>
              <w:spacing w:after="0" w:line="240" w:lineRule="auto"/>
              <w:jc w:val="both"/>
            </w:pPr>
            <w:r w:rsidRPr="00FF6FDE">
              <w:t>Відсутні</w:t>
            </w:r>
            <w:r w:rsidR="0085193E" w:rsidRPr="00FF6FDE">
              <w:t>.</w:t>
            </w:r>
          </w:p>
        </w:tc>
        <w:tc>
          <w:tcPr>
            <w:tcW w:w="2374" w:type="dxa"/>
          </w:tcPr>
          <w:p w14:paraId="351E447E" w14:textId="77777777" w:rsidR="001C6DC1" w:rsidRPr="00FF6FDE" w:rsidRDefault="00D053DC" w:rsidP="009C1FF7">
            <w:pPr>
              <w:pStyle w:val="21"/>
              <w:spacing w:after="0" w:line="240" w:lineRule="auto"/>
            </w:pPr>
            <w:r w:rsidRPr="00FF6FDE">
              <w:t>Відсутні.</w:t>
            </w:r>
          </w:p>
        </w:tc>
      </w:tr>
      <w:tr w:rsidR="00276984" w:rsidRPr="00FF6FDE" w14:paraId="2C93C34B" w14:textId="77777777" w:rsidTr="00E95445">
        <w:tc>
          <w:tcPr>
            <w:tcW w:w="3181" w:type="dxa"/>
          </w:tcPr>
          <w:p w14:paraId="747E8A8A" w14:textId="77777777" w:rsidR="00276984" w:rsidRPr="00FF6FDE" w:rsidRDefault="00276984" w:rsidP="009C1FF7">
            <w:pPr>
              <w:pStyle w:val="21"/>
              <w:spacing w:after="0" w:line="240" w:lineRule="auto"/>
              <w:rPr>
                <w:b/>
              </w:rPr>
            </w:pPr>
            <w:r w:rsidRPr="00FF6FDE">
              <w:rPr>
                <w:b/>
              </w:rPr>
              <w:t>Альтернатива 2</w:t>
            </w:r>
          </w:p>
          <w:p w14:paraId="3595D129" w14:textId="77777777" w:rsidR="00276984" w:rsidRPr="00FF6FDE" w:rsidRDefault="00D053DC" w:rsidP="009C1FF7">
            <w:pPr>
              <w:pStyle w:val="21"/>
              <w:spacing w:after="0" w:line="240" w:lineRule="auto"/>
              <w:rPr>
                <w:b/>
              </w:rPr>
            </w:pPr>
            <w:r w:rsidRPr="00FF6FDE">
              <w:t>Прийняття нового регуляторного акта</w:t>
            </w:r>
            <w:r w:rsidR="00AD33D3" w:rsidRPr="00FF6FDE">
              <w:t>.</w:t>
            </w:r>
          </w:p>
        </w:tc>
        <w:tc>
          <w:tcPr>
            <w:tcW w:w="3907" w:type="dxa"/>
          </w:tcPr>
          <w:p w14:paraId="4F85E3A4" w14:textId="77777777" w:rsidR="00276984" w:rsidRPr="00FF6FDE" w:rsidRDefault="00276984" w:rsidP="009C1FF7">
            <w:pPr>
              <w:pStyle w:val="21"/>
              <w:spacing w:after="0" w:line="240" w:lineRule="auto"/>
              <w:jc w:val="both"/>
            </w:pPr>
            <w:r w:rsidRPr="00FF6FDE">
              <w:t>Відсутні</w:t>
            </w:r>
            <w:r w:rsidR="0085193E" w:rsidRPr="00FF6FDE">
              <w:t>.</w:t>
            </w:r>
          </w:p>
        </w:tc>
        <w:tc>
          <w:tcPr>
            <w:tcW w:w="2374" w:type="dxa"/>
          </w:tcPr>
          <w:p w14:paraId="5E7AEAEF" w14:textId="77777777" w:rsidR="00276984" w:rsidRPr="00FF6FDE" w:rsidRDefault="00D053DC" w:rsidP="009C1FF7">
            <w:pPr>
              <w:pStyle w:val="21"/>
              <w:spacing w:after="0" w:line="240" w:lineRule="auto"/>
              <w:jc w:val="both"/>
            </w:pPr>
            <w:r w:rsidRPr="00FF6FDE">
              <w:t>Відсутні.</w:t>
            </w:r>
          </w:p>
        </w:tc>
      </w:tr>
      <w:tr w:rsidR="001C6DC1" w:rsidRPr="00FF6FDE" w14:paraId="030E9423" w14:textId="77777777" w:rsidTr="00E95445">
        <w:tc>
          <w:tcPr>
            <w:tcW w:w="3181" w:type="dxa"/>
          </w:tcPr>
          <w:p w14:paraId="3BB7E060" w14:textId="77777777" w:rsidR="001C6DC1" w:rsidRPr="00FF6FDE" w:rsidRDefault="0007200E" w:rsidP="009C1FF7">
            <w:pPr>
              <w:pStyle w:val="21"/>
              <w:spacing w:after="0" w:line="240" w:lineRule="auto"/>
              <w:rPr>
                <w:b/>
              </w:rPr>
            </w:pPr>
            <w:r w:rsidRPr="00FF6FDE">
              <w:rPr>
                <w:b/>
              </w:rPr>
              <w:t>А</w:t>
            </w:r>
            <w:r w:rsidR="001C6DC1" w:rsidRPr="00FF6FDE">
              <w:rPr>
                <w:b/>
              </w:rPr>
              <w:t>льтернатива 3</w:t>
            </w:r>
          </w:p>
          <w:p w14:paraId="18278B55" w14:textId="77777777" w:rsidR="001C6DC1" w:rsidRPr="00FF6FDE" w:rsidRDefault="00D053DC" w:rsidP="009C1FF7">
            <w:pPr>
              <w:pStyle w:val="21"/>
              <w:spacing w:after="0" w:line="240" w:lineRule="auto"/>
            </w:pPr>
            <w:r w:rsidRPr="00FF6FDE">
              <w:t>Внесення змін до чинного регуляторного акта</w:t>
            </w:r>
          </w:p>
        </w:tc>
        <w:tc>
          <w:tcPr>
            <w:tcW w:w="3907" w:type="dxa"/>
          </w:tcPr>
          <w:p w14:paraId="40190828" w14:textId="77777777" w:rsidR="001C6DC1" w:rsidRPr="00FF6FDE" w:rsidRDefault="00963B75" w:rsidP="009C1FF7">
            <w:pPr>
              <w:overflowPunct w:val="0"/>
              <w:autoSpaceDE w:val="0"/>
              <w:autoSpaceDN w:val="0"/>
              <w:adjustRightInd w:val="0"/>
              <w:textAlignment w:val="baseline"/>
              <w:rPr>
                <w:lang w:val="uk-UA"/>
              </w:rPr>
            </w:pPr>
            <w:r w:rsidRPr="00FF6FDE">
              <w:rPr>
                <w:lang w:val="uk-UA"/>
              </w:rPr>
              <w:t>Удосконалення взаємовідносин на роздрібному ринку електричної енергії.</w:t>
            </w:r>
          </w:p>
        </w:tc>
        <w:tc>
          <w:tcPr>
            <w:tcW w:w="2374" w:type="dxa"/>
          </w:tcPr>
          <w:p w14:paraId="1B5ABCED" w14:textId="77777777" w:rsidR="001C6DC1" w:rsidRPr="00FF6FDE" w:rsidRDefault="001C6DC1" w:rsidP="009C1FF7">
            <w:pPr>
              <w:overflowPunct w:val="0"/>
              <w:autoSpaceDE w:val="0"/>
              <w:autoSpaceDN w:val="0"/>
              <w:adjustRightInd w:val="0"/>
              <w:textAlignment w:val="baseline"/>
              <w:rPr>
                <w:lang w:val="uk-UA"/>
              </w:rPr>
            </w:pPr>
            <w:r w:rsidRPr="00FF6FDE">
              <w:rPr>
                <w:lang w:val="uk-UA"/>
              </w:rPr>
              <w:t>Дода</w:t>
            </w:r>
            <w:r w:rsidR="0007200E" w:rsidRPr="00FF6FDE">
              <w:rPr>
                <w:lang w:val="uk-UA"/>
              </w:rPr>
              <w:t>ткових витрат не передбачається</w:t>
            </w:r>
            <w:r w:rsidR="00CA5B01" w:rsidRPr="00FF6FDE">
              <w:rPr>
                <w:lang w:val="uk-UA"/>
              </w:rPr>
              <w:t>.</w:t>
            </w:r>
          </w:p>
        </w:tc>
      </w:tr>
    </w:tbl>
    <w:p w14:paraId="6155B37E" w14:textId="77777777" w:rsidR="00E95445" w:rsidRPr="00D720BD" w:rsidRDefault="00E95445" w:rsidP="009C1FF7">
      <w:pPr>
        <w:pStyle w:val="a6"/>
        <w:spacing w:after="0"/>
        <w:ind w:left="0" w:firstLine="709"/>
        <w:jc w:val="both"/>
        <w:rPr>
          <w:b/>
          <w:sz w:val="26"/>
          <w:szCs w:val="26"/>
        </w:rPr>
      </w:pPr>
    </w:p>
    <w:p w14:paraId="2FD3CC22" w14:textId="77777777" w:rsidR="00C918F0" w:rsidRPr="00C63E24" w:rsidRDefault="00C918F0" w:rsidP="00FF6FDE">
      <w:pPr>
        <w:jc w:val="center"/>
        <w:rPr>
          <w:b/>
          <w:sz w:val="26"/>
          <w:szCs w:val="26"/>
        </w:rPr>
      </w:pPr>
      <w:r w:rsidRPr="00C63E24">
        <w:rPr>
          <w:b/>
          <w:sz w:val="26"/>
          <w:szCs w:val="26"/>
        </w:rPr>
        <w:t xml:space="preserve">ІV. Вибір </w:t>
      </w:r>
      <w:r w:rsidRPr="00FF6FDE">
        <w:rPr>
          <w:b/>
          <w:sz w:val="26"/>
          <w:szCs w:val="26"/>
          <w:lang w:val="uk-UA"/>
        </w:rPr>
        <w:t>найбільш</w:t>
      </w:r>
      <w:r w:rsidRPr="00C63E24">
        <w:rPr>
          <w:b/>
          <w:sz w:val="26"/>
          <w:szCs w:val="26"/>
        </w:rPr>
        <w:t xml:space="preserve"> оптимального альтернативного способу досягнення </w:t>
      </w:r>
      <w:r w:rsidR="00914C8A" w:rsidRPr="00C63E24">
        <w:rPr>
          <w:b/>
          <w:sz w:val="26"/>
          <w:szCs w:val="26"/>
        </w:rPr>
        <w:t>цілей</w:t>
      </w:r>
    </w:p>
    <w:p w14:paraId="364A438E"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2636"/>
        <w:gridCol w:w="3532"/>
      </w:tblGrid>
      <w:tr w:rsidR="00C918F0" w:rsidRPr="00FF6FDE" w14:paraId="702A872D" w14:textId="77777777" w:rsidTr="00EC0CCB">
        <w:trPr>
          <w:trHeight w:val="1289"/>
        </w:trPr>
        <w:tc>
          <w:tcPr>
            <w:tcW w:w="3135" w:type="dxa"/>
            <w:tcBorders>
              <w:top w:val="outset" w:sz="6" w:space="0" w:color="auto"/>
              <w:left w:val="outset" w:sz="6" w:space="0" w:color="auto"/>
              <w:bottom w:val="outset" w:sz="6" w:space="0" w:color="auto"/>
              <w:right w:val="outset" w:sz="6" w:space="0" w:color="auto"/>
            </w:tcBorders>
            <w:vAlign w:val="center"/>
          </w:tcPr>
          <w:p w14:paraId="5A0E76ED" w14:textId="77777777" w:rsidR="00C918F0" w:rsidRPr="00FF6FDE" w:rsidRDefault="00C918F0" w:rsidP="009C1FF7">
            <w:pPr>
              <w:pStyle w:val="a4"/>
              <w:spacing w:before="0" w:beforeAutospacing="0" w:after="0" w:afterAutospacing="0"/>
              <w:jc w:val="center"/>
              <w:rPr>
                <w:b/>
                <w:lang w:val="uk-UA"/>
              </w:rPr>
            </w:pPr>
            <w:r w:rsidRPr="00FF6FDE">
              <w:rPr>
                <w:b/>
                <w:lang w:val="uk-UA"/>
              </w:rPr>
              <w:t>Рейтинг результативності (досягнення цілей під час вирішення проблеми)</w:t>
            </w:r>
          </w:p>
        </w:tc>
        <w:tc>
          <w:tcPr>
            <w:tcW w:w="2677" w:type="dxa"/>
            <w:tcBorders>
              <w:top w:val="outset" w:sz="6" w:space="0" w:color="auto"/>
              <w:left w:val="outset" w:sz="6" w:space="0" w:color="auto"/>
              <w:bottom w:val="outset" w:sz="6" w:space="0" w:color="auto"/>
              <w:right w:val="outset" w:sz="6" w:space="0" w:color="auto"/>
            </w:tcBorders>
            <w:vAlign w:val="center"/>
          </w:tcPr>
          <w:p w14:paraId="77F541DA" w14:textId="77777777" w:rsidR="00C918F0" w:rsidRPr="00FF6FDE" w:rsidRDefault="00C918F0" w:rsidP="009C1FF7">
            <w:pPr>
              <w:pStyle w:val="a4"/>
              <w:spacing w:before="0" w:beforeAutospacing="0" w:after="0" w:afterAutospacing="0"/>
              <w:jc w:val="center"/>
              <w:rPr>
                <w:b/>
                <w:lang w:val="uk-UA"/>
              </w:rPr>
            </w:pPr>
            <w:r w:rsidRPr="00FF6FDE">
              <w:rPr>
                <w:b/>
                <w:lang w:val="uk-UA"/>
              </w:rPr>
              <w:t>Бал результативності</w:t>
            </w:r>
          </w:p>
          <w:p w14:paraId="16EC4DA5" w14:textId="77777777" w:rsidR="00C918F0" w:rsidRPr="00FF6FDE" w:rsidRDefault="00C918F0" w:rsidP="009C1FF7">
            <w:pPr>
              <w:pStyle w:val="a4"/>
              <w:spacing w:before="0" w:beforeAutospacing="0" w:after="0" w:afterAutospacing="0"/>
              <w:jc w:val="center"/>
              <w:rPr>
                <w:b/>
                <w:lang w:val="uk-UA"/>
              </w:rPr>
            </w:pPr>
            <w:r w:rsidRPr="00FF6FDE">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14:paraId="026B79C1" w14:textId="77777777" w:rsidR="00C918F0" w:rsidRPr="00FF6FDE" w:rsidRDefault="00C918F0" w:rsidP="009C1FF7">
            <w:pPr>
              <w:pStyle w:val="a4"/>
              <w:spacing w:before="0" w:beforeAutospacing="0" w:after="0" w:afterAutospacing="0"/>
              <w:jc w:val="center"/>
              <w:rPr>
                <w:b/>
                <w:lang w:val="uk-UA"/>
              </w:rPr>
            </w:pPr>
            <w:r w:rsidRPr="00FF6FDE">
              <w:rPr>
                <w:b/>
                <w:lang w:val="uk-UA"/>
              </w:rPr>
              <w:t xml:space="preserve">Коментарі щодо присвоєння відповідного </w:t>
            </w:r>
            <w:proofErr w:type="spellStart"/>
            <w:r w:rsidRPr="00FF6FDE">
              <w:rPr>
                <w:b/>
                <w:lang w:val="uk-UA"/>
              </w:rPr>
              <w:t>бала</w:t>
            </w:r>
            <w:proofErr w:type="spellEnd"/>
          </w:p>
        </w:tc>
      </w:tr>
      <w:tr w:rsidR="00BC053E" w:rsidRPr="00FF6FDE" w14:paraId="248BCECC" w14:textId="77777777" w:rsidTr="00EC0CCB">
        <w:tc>
          <w:tcPr>
            <w:tcW w:w="3135" w:type="dxa"/>
          </w:tcPr>
          <w:p w14:paraId="2A90ADAE" w14:textId="77777777" w:rsidR="00BC053E" w:rsidRPr="00FF6FDE" w:rsidRDefault="00BC053E" w:rsidP="009C1FF7">
            <w:pPr>
              <w:pStyle w:val="21"/>
              <w:spacing w:after="0" w:line="240" w:lineRule="auto"/>
              <w:jc w:val="both"/>
              <w:rPr>
                <w:b/>
              </w:rPr>
            </w:pPr>
            <w:r w:rsidRPr="00FF6FDE">
              <w:rPr>
                <w:b/>
              </w:rPr>
              <w:t>Альтернатива 1</w:t>
            </w:r>
          </w:p>
          <w:p w14:paraId="0B63BF03" w14:textId="77777777" w:rsidR="00BC053E" w:rsidRPr="00FF6FDE" w:rsidRDefault="0007200E" w:rsidP="009C1FF7">
            <w:pPr>
              <w:pStyle w:val="21"/>
              <w:spacing w:after="0" w:line="240" w:lineRule="auto"/>
            </w:pPr>
            <w:r w:rsidRPr="00FF6FDE">
              <w:t>Збереження чинного регулювання</w:t>
            </w:r>
          </w:p>
        </w:tc>
        <w:tc>
          <w:tcPr>
            <w:tcW w:w="2677" w:type="dxa"/>
          </w:tcPr>
          <w:p w14:paraId="0CA37E8E" w14:textId="77777777" w:rsidR="00BC053E" w:rsidRPr="00FF6FDE" w:rsidRDefault="00CA5B01" w:rsidP="009C1FF7">
            <w:pPr>
              <w:jc w:val="center"/>
              <w:rPr>
                <w:lang w:val="uk-UA"/>
              </w:rPr>
            </w:pPr>
            <w:r w:rsidRPr="00FF6FDE">
              <w:rPr>
                <w:lang w:val="uk-UA"/>
              </w:rPr>
              <w:t>1</w:t>
            </w:r>
          </w:p>
        </w:tc>
        <w:tc>
          <w:tcPr>
            <w:tcW w:w="3650" w:type="dxa"/>
          </w:tcPr>
          <w:p w14:paraId="773AC45B" w14:textId="77777777" w:rsidR="00BC053E" w:rsidRPr="00FF6FDE" w:rsidRDefault="008319C6" w:rsidP="009C1FF7">
            <w:pPr>
              <w:rPr>
                <w:lang w:val="uk-UA"/>
              </w:rPr>
            </w:pPr>
            <w:r w:rsidRPr="00FF6FDE">
              <w:rPr>
                <w:lang w:val="uk-UA"/>
              </w:rPr>
              <w:t>Не виконуються вимоги чинного законодавства</w:t>
            </w:r>
            <w:r w:rsidR="0031301C" w:rsidRPr="00FF6FDE">
              <w:rPr>
                <w:lang w:val="uk-UA"/>
              </w:rPr>
              <w:t>.</w:t>
            </w:r>
          </w:p>
        </w:tc>
      </w:tr>
      <w:tr w:rsidR="00BC053E" w:rsidRPr="00FF6FDE" w14:paraId="4F8FAF58" w14:textId="77777777" w:rsidTr="00EC0CCB">
        <w:tc>
          <w:tcPr>
            <w:tcW w:w="3135" w:type="dxa"/>
          </w:tcPr>
          <w:p w14:paraId="228925C7" w14:textId="77777777" w:rsidR="00BC053E" w:rsidRPr="00FF6FDE" w:rsidRDefault="00BC053E" w:rsidP="009C1FF7">
            <w:pPr>
              <w:pStyle w:val="21"/>
              <w:spacing w:after="0" w:line="240" w:lineRule="auto"/>
              <w:jc w:val="both"/>
              <w:rPr>
                <w:b/>
              </w:rPr>
            </w:pPr>
            <w:r w:rsidRPr="00FF6FDE">
              <w:rPr>
                <w:b/>
              </w:rPr>
              <w:t>Альтернатива 2</w:t>
            </w:r>
          </w:p>
          <w:p w14:paraId="027B0994" w14:textId="77777777" w:rsidR="00BC053E" w:rsidRPr="00FF6FDE" w:rsidRDefault="00AD33D3" w:rsidP="009C1FF7">
            <w:pPr>
              <w:pStyle w:val="21"/>
              <w:spacing w:after="0" w:line="240" w:lineRule="auto"/>
              <w:rPr>
                <w:b/>
              </w:rPr>
            </w:pPr>
            <w:r w:rsidRPr="00FF6FDE">
              <w:t>Прийняття нового регуляторного акта</w:t>
            </w:r>
          </w:p>
        </w:tc>
        <w:tc>
          <w:tcPr>
            <w:tcW w:w="2677" w:type="dxa"/>
          </w:tcPr>
          <w:p w14:paraId="452B34C7" w14:textId="77777777" w:rsidR="00BC053E" w:rsidRPr="00FF6FDE" w:rsidRDefault="00CA5B01" w:rsidP="009C1FF7">
            <w:pPr>
              <w:jc w:val="center"/>
              <w:rPr>
                <w:lang w:val="uk-UA"/>
              </w:rPr>
            </w:pPr>
            <w:r w:rsidRPr="00FF6FDE">
              <w:rPr>
                <w:lang w:val="uk-UA"/>
              </w:rPr>
              <w:t>2</w:t>
            </w:r>
          </w:p>
        </w:tc>
        <w:tc>
          <w:tcPr>
            <w:tcW w:w="3650" w:type="dxa"/>
          </w:tcPr>
          <w:p w14:paraId="2594911C" w14:textId="77777777" w:rsidR="00BC053E" w:rsidRPr="00FF6FDE" w:rsidRDefault="00AC2793" w:rsidP="009C1FF7">
            <w:pPr>
              <w:rPr>
                <w:lang w:val="uk-UA"/>
              </w:rPr>
            </w:pPr>
            <w:r w:rsidRPr="00FF6FDE">
              <w:rPr>
                <w:lang w:val="uk-UA"/>
              </w:rPr>
              <w:t>Недоцільність прийняття нового регуляторного акта, який буде дублювати чинн</w:t>
            </w:r>
            <w:r w:rsidR="00115C89" w:rsidRPr="00FF6FDE">
              <w:rPr>
                <w:lang w:val="uk-UA"/>
              </w:rPr>
              <w:t>і</w:t>
            </w:r>
            <w:r w:rsidRPr="00FF6FDE">
              <w:rPr>
                <w:lang w:val="uk-UA"/>
              </w:rPr>
              <w:t xml:space="preserve"> регуляторн</w:t>
            </w:r>
            <w:r w:rsidR="00115C89" w:rsidRPr="00FF6FDE">
              <w:rPr>
                <w:lang w:val="uk-UA"/>
              </w:rPr>
              <w:t>і</w:t>
            </w:r>
            <w:r w:rsidRPr="00FF6FDE">
              <w:rPr>
                <w:lang w:val="uk-UA"/>
              </w:rPr>
              <w:t xml:space="preserve"> акт</w:t>
            </w:r>
            <w:r w:rsidR="00115C89" w:rsidRPr="00FF6FDE">
              <w:rPr>
                <w:lang w:val="uk-UA"/>
              </w:rPr>
              <w:t>и</w:t>
            </w:r>
            <w:r w:rsidRPr="00FF6FDE">
              <w:rPr>
                <w:lang w:val="uk-UA"/>
              </w:rPr>
              <w:t>.</w:t>
            </w:r>
          </w:p>
        </w:tc>
      </w:tr>
      <w:tr w:rsidR="00BC053E" w:rsidRPr="00FF6FDE" w14:paraId="14B792AC" w14:textId="77777777" w:rsidTr="00EC0CCB">
        <w:tc>
          <w:tcPr>
            <w:tcW w:w="3135" w:type="dxa"/>
          </w:tcPr>
          <w:p w14:paraId="5646AA72" w14:textId="77777777" w:rsidR="00BC053E" w:rsidRPr="00FF6FDE" w:rsidRDefault="0007200E" w:rsidP="009C1FF7">
            <w:pPr>
              <w:pStyle w:val="21"/>
              <w:spacing w:after="0" w:line="240" w:lineRule="auto"/>
              <w:jc w:val="both"/>
              <w:rPr>
                <w:b/>
              </w:rPr>
            </w:pPr>
            <w:r w:rsidRPr="00FF6FDE">
              <w:rPr>
                <w:b/>
              </w:rPr>
              <w:t>Обрана а</w:t>
            </w:r>
            <w:r w:rsidR="00BC053E" w:rsidRPr="00FF6FDE">
              <w:rPr>
                <w:b/>
              </w:rPr>
              <w:t>льтернатива 3</w:t>
            </w:r>
          </w:p>
          <w:p w14:paraId="7005AB55" w14:textId="77777777" w:rsidR="00AD33D3" w:rsidRPr="00FF6FDE" w:rsidRDefault="00AD33D3" w:rsidP="009C1FF7">
            <w:pPr>
              <w:pStyle w:val="21"/>
              <w:spacing w:after="0" w:line="240" w:lineRule="auto"/>
            </w:pPr>
            <w:r w:rsidRPr="00FF6FDE">
              <w:t>Внесення змін до чинного регуляторного акта</w:t>
            </w:r>
          </w:p>
        </w:tc>
        <w:tc>
          <w:tcPr>
            <w:tcW w:w="2677" w:type="dxa"/>
          </w:tcPr>
          <w:p w14:paraId="248AC681" w14:textId="77777777" w:rsidR="00BC053E" w:rsidRPr="00FF6FDE" w:rsidRDefault="00BC053E" w:rsidP="009C1FF7">
            <w:pPr>
              <w:jc w:val="center"/>
              <w:rPr>
                <w:lang w:val="uk-UA"/>
              </w:rPr>
            </w:pPr>
            <w:r w:rsidRPr="00FF6FDE">
              <w:rPr>
                <w:lang w:val="uk-UA"/>
              </w:rPr>
              <w:t>4</w:t>
            </w:r>
          </w:p>
        </w:tc>
        <w:tc>
          <w:tcPr>
            <w:tcW w:w="3650" w:type="dxa"/>
          </w:tcPr>
          <w:p w14:paraId="31729B2B" w14:textId="6313EAA8" w:rsidR="00461DF2" w:rsidRPr="00FF6FDE" w:rsidRDefault="00276984" w:rsidP="00116451">
            <w:pPr>
              <w:jc w:val="both"/>
              <w:rPr>
                <w:lang w:val="uk-UA"/>
              </w:rPr>
            </w:pPr>
            <w:r w:rsidRPr="00FF6FDE">
              <w:rPr>
                <w:lang w:val="uk-UA"/>
              </w:rPr>
              <w:t xml:space="preserve">Дозволяє вирішити проблему самим ефективним шляхом. </w:t>
            </w:r>
            <w:r w:rsidR="00AC2793" w:rsidRPr="00FF6FDE">
              <w:rPr>
                <w:lang w:val="uk-UA"/>
              </w:rPr>
              <w:t xml:space="preserve">Забезпечує </w:t>
            </w:r>
            <w:r w:rsidR="00E36378" w:rsidRPr="00FF6FDE">
              <w:rPr>
                <w:lang w:val="uk-UA"/>
              </w:rPr>
              <w:t xml:space="preserve">удосконалення норм та </w:t>
            </w:r>
            <w:r w:rsidR="00116451">
              <w:rPr>
                <w:lang w:val="uk-UA"/>
              </w:rPr>
              <w:t>положень</w:t>
            </w:r>
            <w:r w:rsidR="00E36378" w:rsidRPr="00FF6FDE">
              <w:rPr>
                <w:lang w:val="uk-UA"/>
              </w:rPr>
              <w:t xml:space="preserve"> </w:t>
            </w:r>
            <w:r w:rsidR="00B64D9A">
              <w:rPr>
                <w:lang w:val="uk-UA"/>
              </w:rPr>
              <w:t>Методики, зокрема</w:t>
            </w:r>
            <w:r w:rsidR="00116451">
              <w:rPr>
                <w:lang w:val="uk-UA"/>
              </w:rPr>
              <w:t xml:space="preserve"> щодо </w:t>
            </w:r>
            <w:r w:rsidR="00A80487">
              <w:rPr>
                <w:lang w:val="uk-UA"/>
              </w:rPr>
              <w:t xml:space="preserve">механізму </w:t>
            </w:r>
            <w:r w:rsidR="005B36FC" w:rsidRPr="005B36FC">
              <w:rPr>
                <w:lang w:val="uk-UA"/>
              </w:rPr>
              <w:t xml:space="preserve">визначення об’єму технологічних електричних мереж спільного використання в умовних одиницях згідно з положеннями </w:t>
            </w:r>
            <w:r w:rsidR="008575B6">
              <w:rPr>
                <w:lang w:val="uk-UA"/>
              </w:rPr>
              <w:t>Наказу № 100</w:t>
            </w:r>
            <w:r w:rsidR="005B36FC" w:rsidRPr="005B36FC">
              <w:rPr>
                <w:lang w:val="uk-UA"/>
              </w:rPr>
              <w:t xml:space="preserve"> та врах</w:t>
            </w:r>
            <w:r w:rsidR="00116451">
              <w:rPr>
                <w:lang w:val="uk-UA"/>
              </w:rPr>
              <w:t>овує</w:t>
            </w:r>
            <w:r w:rsidR="005B36FC" w:rsidRPr="005B36FC">
              <w:rPr>
                <w:lang w:val="uk-UA"/>
              </w:rPr>
              <w:t xml:space="preserve"> </w:t>
            </w:r>
            <w:r w:rsidR="005B36FC" w:rsidRPr="005B36FC">
              <w:rPr>
                <w:lang w:val="uk-UA"/>
              </w:rPr>
              <w:lastRenderedPageBreak/>
              <w:t>особливост</w:t>
            </w:r>
            <w:r w:rsidR="00116451">
              <w:rPr>
                <w:lang w:val="uk-UA"/>
              </w:rPr>
              <w:t>і</w:t>
            </w:r>
            <w:r w:rsidR="005B36FC" w:rsidRPr="005B36FC">
              <w:rPr>
                <w:lang w:val="uk-UA"/>
              </w:rPr>
              <w:t xml:space="preserve"> </w:t>
            </w:r>
            <w:proofErr w:type="spellStart"/>
            <w:r w:rsidR="005B36FC" w:rsidRPr="005B36FC">
              <w:rPr>
                <w:lang w:val="uk-UA"/>
              </w:rPr>
              <w:t>тарифоутворення</w:t>
            </w:r>
            <w:proofErr w:type="spellEnd"/>
            <w:r w:rsidR="005B36FC" w:rsidRPr="005B36FC">
              <w:rPr>
                <w:lang w:val="uk-UA"/>
              </w:rPr>
              <w:t xml:space="preserve"> операторів систем розподілу, які перейшли на стимулююче регулювання</w:t>
            </w:r>
            <w:r w:rsidR="00D720BD">
              <w:rPr>
                <w:lang w:val="uk-UA"/>
              </w:rPr>
              <w:t xml:space="preserve">, </w:t>
            </w:r>
            <w:r w:rsidR="00D720BD" w:rsidRPr="00D720BD">
              <w:rPr>
                <w:lang w:val="uk-UA"/>
              </w:rPr>
              <w:t>при визначенні граничних рівнів витрат за об'ємом умовних одиниць</w:t>
            </w:r>
            <w:r w:rsidR="006521CA">
              <w:rPr>
                <w:lang w:val="uk-UA"/>
              </w:rPr>
              <w:t>.</w:t>
            </w:r>
            <w:r w:rsidR="000D45B0" w:rsidRPr="00FF6FDE">
              <w:rPr>
                <w:lang w:val="uk-UA"/>
              </w:rPr>
              <w:t xml:space="preserve"> </w:t>
            </w:r>
          </w:p>
        </w:tc>
      </w:tr>
    </w:tbl>
    <w:p w14:paraId="6674ECE4" w14:textId="77777777" w:rsidR="00EC0CCB" w:rsidRDefault="00EC0CCB" w:rsidP="009C1FF7">
      <w:pPr>
        <w:pStyle w:val="a6"/>
        <w:spacing w:after="0"/>
        <w:ind w:left="0"/>
        <w:jc w:val="both"/>
        <w:rPr>
          <w:sz w:val="26"/>
          <w:szCs w:val="26"/>
        </w:rPr>
      </w:pPr>
    </w:p>
    <w:p w14:paraId="71D7AAB5" w14:textId="77777777" w:rsidR="00B64D9A" w:rsidRPr="00C63E24" w:rsidRDefault="00B64D9A"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951"/>
        <w:gridCol w:w="1797"/>
        <w:gridCol w:w="3105"/>
      </w:tblGrid>
      <w:tr w:rsidR="00C918F0" w:rsidRPr="00B64D9A" w14:paraId="584C0315" w14:textId="77777777" w:rsidTr="005D6D50">
        <w:tc>
          <w:tcPr>
            <w:tcW w:w="2410" w:type="dxa"/>
            <w:vAlign w:val="center"/>
          </w:tcPr>
          <w:p w14:paraId="2EB0DAD2" w14:textId="77777777" w:rsidR="00C918F0" w:rsidRPr="00B64D9A" w:rsidRDefault="00C918F0" w:rsidP="009C1FF7">
            <w:pPr>
              <w:pStyle w:val="a4"/>
              <w:spacing w:before="0" w:beforeAutospacing="0" w:after="0" w:afterAutospacing="0"/>
              <w:jc w:val="center"/>
              <w:rPr>
                <w:b/>
                <w:lang w:val="uk-UA"/>
              </w:rPr>
            </w:pPr>
            <w:r w:rsidRPr="00B64D9A">
              <w:rPr>
                <w:lang w:val="uk-UA"/>
              </w:rPr>
              <w:br w:type="page"/>
            </w:r>
            <w:r w:rsidRPr="00B64D9A">
              <w:rPr>
                <w:b/>
                <w:lang w:val="uk-UA"/>
              </w:rPr>
              <w:t>Рейтинг результативності</w:t>
            </w:r>
          </w:p>
        </w:tc>
        <w:tc>
          <w:tcPr>
            <w:tcW w:w="1985" w:type="dxa"/>
            <w:vAlign w:val="center"/>
          </w:tcPr>
          <w:p w14:paraId="51C764A8" w14:textId="77777777" w:rsidR="00C918F0" w:rsidRPr="00B64D9A" w:rsidRDefault="00C918F0" w:rsidP="009C1FF7">
            <w:pPr>
              <w:pStyle w:val="a4"/>
              <w:spacing w:before="0" w:beforeAutospacing="0" w:after="0" w:afterAutospacing="0"/>
              <w:jc w:val="center"/>
              <w:rPr>
                <w:b/>
                <w:lang w:val="uk-UA"/>
              </w:rPr>
            </w:pPr>
            <w:r w:rsidRPr="00B64D9A">
              <w:rPr>
                <w:b/>
                <w:lang w:val="uk-UA"/>
              </w:rPr>
              <w:t>Вигоди (підсумок)</w:t>
            </w:r>
          </w:p>
        </w:tc>
        <w:tc>
          <w:tcPr>
            <w:tcW w:w="1842" w:type="dxa"/>
            <w:vAlign w:val="center"/>
          </w:tcPr>
          <w:p w14:paraId="696D6DFA" w14:textId="77777777" w:rsidR="00C918F0" w:rsidRPr="00B64D9A" w:rsidRDefault="00C918F0" w:rsidP="009C1FF7">
            <w:pPr>
              <w:pStyle w:val="a4"/>
              <w:spacing w:before="0" w:beforeAutospacing="0" w:after="0" w:afterAutospacing="0"/>
              <w:jc w:val="center"/>
              <w:rPr>
                <w:b/>
                <w:lang w:val="uk-UA"/>
              </w:rPr>
            </w:pPr>
            <w:r w:rsidRPr="00B64D9A">
              <w:rPr>
                <w:b/>
                <w:lang w:val="uk-UA"/>
              </w:rPr>
              <w:t>Витрати (підсумок)</w:t>
            </w:r>
          </w:p>
        </w:tc>
        <w:tc>
          <w:tcPr>
            <w:tcW w:w="3225" w:type="dxa"/>
            <w:vAlign w:val="center"/>
          </w:tcPr>
          <w:p w14:paraId="2620EDB5" w14:textId="77777777" w:rsidR="00C918F0" w:rsidRPr="00B64D9A" w:rsidRDefault="00C918F0" w:rsidP="009C1FF7">
            <w:pPr>
              <w:pStyle w:val="a4"/>
              <w:spacing w:before="0" w:beforeAutospacing="0" w:after="0" w:afterAutospacing="0"/>
              <w:jc w:val="center"/>
              <w:rPr>
                <w:b/>
                <w:lang w:val="uk-UA"/>
              </w:rPr>
            </w:pPr>
            <w:r w:rsidRPr="00B64D9A">
              <w:rPr>
                <w:b/>
                <w:lang w:val="uk-UA"/>
              </w:rPr>
              <w:t>Обґрунтування відповідного місця альтернативи у рейтингу</w:t>
            </w:r>
          </w:p>
        </w:tc>
      </w:tr>
      <w:tr w:rsidR="00E969B9" w:rsidRPr="00B64D9A" w14:paraId="526C0369" w14:textId="77777777" w:rsidTr="005D6D50">
        <w:tc>
          <w:tcPr>
            <w:tcW w:w="2410" w:type="dxa"/>
          </w:tcPr>
          <w:p w14:paraId="771F1DA8" w14:textId="77777777" w:rsidR="00E969B9" w:rsidRPr="00B64D9A" w:rsidRDefault="00E969B9" w:rsidP="009C1FF7">
            <w:pPr>
              <w:pStyle w:val="21"/>
              <w:spacing w:after="0" w:line="240" w:lineRule="auto"/>
              <w:jc w:val="both"/>
              <w:rPr>
                <w:b/>
              </w:rPr>
            </w:pPr>
            <w:r w:rsidRPr="00B64D9A">
              <w:rPr>
                <w:b/>
              </w:rPr>
              <w:t>Альтернатива 1</w:t>
            </w:r>
          </w:p>
          <w:p w14:paraId="7FC1BED9" w14:textId="77777777" w:rsidR="00E969B9" w:rsidRPr="00B64D9A" w:rsidRDefault="00E969B9" w:rsidP="009C1FF7">
            <w:pPr>
              <w:pStyle w:val="21"/>
              <w:spacing w:after="0" w:line="240" w:lineRule="auto"/>
            </w:pPr>
            <w:r w:rsidRPr="00B64D9A">
              <w:t>Збереження чинного регулювання</w:t>
            </w:r>
          </w:p>
        </w:tc>
        <w:tc>
          <w:tcPr>
            <w:tcW w:w="1985" w:type="dxa"/>
          </w:tcPr>
          <w:p w14:paraId="46C37EBF" w14:textId="77777777" w:rsidR="00E969B9" w:rsidRPr="00B64D9A" w:rsidRDefault="00E969B9" w:rsidP="009C1FF7">
            <w:pPr>
              <w:rPr>
                <w:lang w:val="uk-UA"/>
              </w:rPr>
            </w:pPr>
            <w:r w:rsidRPr="00B64D9A">
              <w:rPr>
                <w:lang w:val="uk-UA"/>
              </w:rPr>
              <w:t>Відсутні</w:t>
            </w:r>
            <w:r w:rsidR="00291610" w:rsidRPr="00B64D9A">
              <w:rPr>
                <w:lang w:val="uk-UA"/>
              </w:rPr>
              <w:t>.</w:t>
            </w:r>
          </w:p>
        </w:tc>
        <w:tc>
          <w:tcPr>
            <w:tcW w:w="1842" w:type="dxa"/>
          </w:tcPr>
          <w:p w14:paraId="54E23F3A" w14:textId="77777777" w:rsidR="00E969B9" w:rsidRPr="00B64D9A" w:rsidRDefault="00AC2793" w:rsidP="009C1FF7">
            <w:pPr>
              <w:jc w:val="both"/>
              <w:rPr>
                <w:lang w:val="uk-UA"/>
              </w:rPr>
            </w:pPr>
            <w:r w:rsidRPr="00B64D9A">
              <w:rPr>
                <w:lang w:val="uk-UA"/>
              </w:rPr>
              <w:t>Відсутні.</w:t>
            </w:r>
          </w:p>
        </w:tc>
        <w:tc>
          <w:tcPr>
            <w:tcW w:w="3225" w:type="dxa"/>
          </w:tcPr>
          <w:p w14:paraId="06A065BF" w14:textId="77777777" w:rsidR="00E969B9" w:rsidRPr="00B64D9A" w:rsidRDefault="008319C6" w:rsidP="009C1FF7">
            <w:pPr>
              <w:rPr>
                <w:lang w:val="uk-UA"/>
              </w:rPr>
            </w:pPr>
            <w:r w:rsidRPr="00B64D9A">
              <w:rPr>
                <w:lang w:val="uk-UA"/>
              </w:rPr>
              <w:t>Не виконуються вимоги чинного законодавства</w:t>
            </w:r>
            <w:r w:rsidR="00F96CCC" w:rsidRPr="00B64D9A">
              <w:rPr>
                <w:lang w:val="uk-UA"/>
              </w:rPr>
              <w:t>.</w:t>
            </w:r>
          </w:p>
        </w:tc>
      </w:tr>
      <w:tr w:rsidR="00E969B9" w:rsidRPr="00B64D9A" w14:paraId="36D777E7" w14:textId="77777777" w:rsidTr="005D6D50">
        <w:tc>
          <w:tcPr>
            <w:tcW w:w="2410" w:type="dxa"/>
          </w:tcPr>
          <w:p w14:paraId="14CBC7BC" w14:textId="77777777" w:rsidR="00E969B9" w:rsidRPr="00B64D9A" w:rsidRDefault="00E969B9" w:rsidP="009C1FF7">
            <w:pPr>
              <w:pStyle w:val="21"/>
              <w:spacing w:after="0" w:line="240" w:lineRule="auto"/>
              <w:jc w:val="both"/>
              <w:rPr>
                <w:b/>
              </w:rPr>
            </w:pPr>
            <w:r w:rsidRPr="00B64D9A">
              <w:rPr>
                <w:b/>
              </w:rPr>
              <w:t>Альтернатива 2</w:t>
            </w:r>
          </w:p>
          <w:p w14:paraId="68BA430C" w14:textId="77777777" w:rsidR="00E969B9" w:rsidRPr="00B64D9A" w:rsidRDefault="00AC2793" w:rsidP="009C1FF7">
            <w:pPr>
              <w:pStyle w:val="21"/>
              <w:spacing w:after="0" w:line="240" w:lineRule="auto"/>
              <w:rPr>
                <w:b/>
              </w:rPr>
            </w:pPr>
            <w:r w:rsidRPr="00B64D9A">
              <w:t>Прийняття нового регуляторного акта</w:t>
            </w:r>
          </w:p>
        </w:tc>
        <w:tc>
          <w:tcPr>
            <w:tcW w:w="1985" w:type="dxa"/>
          </w:tcPr>
          <w:p w14:paraId="4CAB15B3" w14:textId="77777777" w:rsidR="00E969B9" w:rsidRPr="00B64D9A" w:rsidRDefault="0007200E" w:rsidP="009C1FF7">
            <w:pPr>
              <w:pStyle w:val="21"/>
              <w:spacing w:after="0" w:line="240" w:lineRule="auto"/>
              <w:jc w:val="both"/>
            </w:pPr>
            <w:r w:rsidRPr="00B64D9A">
              <w:t>Відсутні</w:t>
            </w:r>
            <w:r w:rsidR="00291610" w:rsidRPr="00B64D9A">
              <w:t>.</w:t>
            </w:r>
          </w:p>
        </w:tc>
        <w:tc>
          <w:tcPr>
            <w:tcW w:w="1842" w:type="dxa"/>
          </w:tcPr>
          <w:p w14:paraId="5A6C54E9" w14:textId="77777777" w:rsidR="00E969B9" w:rsidRPr="00B64D9A" w:rsidRDefault="00AC2793" w:rsidP="009C1FF7">
            <w:pPr>
              <w:pStyle w:val="21"/>
              <w:spacing w:after="0" w:line="240" w:lineRule="auto"/>
              <w:jc w:val="both"/>
            </w:pPr>
            <w:r w:rsidRPr="00B64D9A">
              <w:t>Відсутні.</w:t>
            </w:r>
          </w:p>
        </w:tc>
        <w:tc>
          <w:tcPr>
            <w:tcW w:w="3225" w:type="dxa"/>
          </w:tcPr>
          <w:p w14:paraId="0902432B" w14:textId="77777777" w:rsidR="00E969B9" w:rsidRPr="00B64D9A" w:rsidRDefault="00AC2793" w:rsidP="009C1FF7">
            <w:pPr>
              <w:rPr>
                <w:lang w:val="uk-UA"/>
              </w:rPr>
            </w:pPr>
            <w:r w:rsidRPr="00B64D9A">
              <w:rPr>
                <w:lang w:val="uk-UA"/>
              </w:rPr>
              <w:t>Недоцільність прийняття нового регуляторного акта</w:t>
            </w:r>
            <w:r w:rsidR="00F96CCC" w:rsidRPr="00B64D9A">
              <w:rPr>
                <w:lang w:val="uk-UA"/>
              </w:rPr>
              <w:t>.</w:t>
            </w:r>
          </w:p>
        </w:tc>
      </w:tr>
      <w:tr w:rsidR="00AC2793" w:rsidRPr="00B64D9A" w14:paraId="6112271B" w14:textId="77777777" w:rsidTr="005D6D50">
        <w:tc>
          <w:tcPr>
            <w:tcW w:w="2410" w:type="dxa"/>
          </w:tcPr>
          <w:p w14:paraId="031FA400" w14:textId="77777777" w:rsidR="00AC2793" w:rsidRPr="00B64D9A" w:rsidRDefault="00AC2793" w:rsidP="009C1FF7">
            <w:pPr>
              <w:pStyle w:val="21"/>
              <w:spacing w:after="0" w:line="240" w:lineRule="auto"/>
              <w:jc w:val="both"/>
              <w:rPr>
                <w:b/>
              </w:rPr>
            </w:pPr>
            <w:r w:rsidRPr="00B64D9A">
              <w:rPr>
                <w:b/>
              </w:rPr>
              <w:t>Обрана альтернатива 3</w:t>
            </w:r>
          </w:p>
          <w:p w14:paraId="6FE3479F" w14:textId="77777777" w:rsidR="00AC2793" w:rsidRPr="00B64D9A" w:rsidRDefault="00AC2793" w:rsidP="009C1FF7">
            <w:pPr>
              <w:pStyle w:val="21"/>
              <w:spacing w:after="0" w:line="240" w:lineRule="auto"/>
            </w:pPr>
            <w:r w:rsidRPr="00B64D9A">
              <w:t>Внесення змін до чинного регуляторного акта</w:t>
            </w:r>
          </w:p>
        </w:tc>
        <w:tc>
          <w:tcPr>
            <w:tcW w:w="1985" w:type="dxa"/>
          </w:tcPr>
          <w:p w14:paraId="7D3FA4BC" w14:textId="77777777" w:rsidR="00AC2793" w:rsidRPr="00B64D9A" w:rsidRDefault="00AC2793" w:rsidP="009C1FF7">
            <w:pPr>
              <w:rPr>
                <w:lang w:val="uk-UA"/>
              </w:rPr>
            </w:pPr>
            <w:r w:rsidRPr="00B64D9A">
              <w:rPr>
                <w:lang w:val="uk-UA"/>
              </w:rPr>
              <w:t>Забезпечує досягнення цілей державного регулювання.</w:t>
            </w:r>
          </w:p>
        </w:tc>
        <w:tc>
          <w:tcPr>
            <w:tcW w:w="1842" w:type="dxa"/>
          </w:tcPr>
          <w:p w14:paraId="0D9FA887" w14:textId="77777777" w:rsidR="00AC2793" w:rsidRPr="00B64D9A" w:rsidRDefault="00D22881" w:rsidP="009C1FF7">
            <w:pPr>
              <w:rPr>
                <w:lang w:val="uk-UA"/>
              </w:rPr>
            </w:pPr>
            <w:r w:rsidRPr="00B64D9A">
              <w:rPr>
                <w:lang w:val="uk-UA"/>
              </w:rPr>
              <w:t>Відсутні.</w:t>
            </w:r>
          </w:p>
        </w:tc>
        <w:tc>
          <w:tcPr>
            <w:tcW w:w="3225" w:type="dxa"/>
          </w:tcPr>
          <w:p w14:paraId="4110E9A2" w14:textId="11607534" w:rsidR="00B1639E" w:rsidRPr="00B64D9A" w:rsidRDefault="00AC2793" w:rsidP="009C1FF7">
            <w:pPr>
              <w:jc w:val="both"/>
              <w:rPr>
                <w:lang w:val="uk-UA"/>
              </w:rPr>
            </w:pPr>
            <w:r w:rsidRPr="00B64D9A">
              <w:rPr>
                <w:lang w:val="uk-UA"/>
              </w:rPr>
              <w:t xml:space="preserve">Дозволяє вирішити проблему самим ефективним шляхом. </w:t>
            </w:r>
            <w:r w:rsidR="00B1639E" w:rsidRPr="00B64D9A">
              <w:rPr>
                <w:lang w:val="uk-UA"/>
              </w:rPr>
              <w:t xml:space="preserve">Забезпечує удосконалення норм та </w:t>
            </w:r>
            <w:r w:rsidR="00116451">
              <w:rPr>
                <w:lang w:val="uk-UA"/>
              </w:rPr>
              <w:t>положень</w:t>
            </w:r>
            <w:r w:rsidR="00B1639E" w:rsidRPr="00B64D9A">
              <w:rPr>
                <w:lang w:val="uk-UA"/>
              </w:rPr>
              <w:t xml:space="preserve"> визначених </w:t>
            </w:r>
            <w:r w:rsidR="00B64D9A">
              <w:rPr>
                <w:lang w:val="uk-UA"/>
              </w:rPr>
              <w:t>Методикою</w:t>
            </w:r>
            <w:r w:rsidR="00B1639E" w:rsidRPr="00B64D9A">
              <w:rPr>
                <w:lang w:val="uk-UA"/>
              </w:rPr>
              <w:t>.</w:t>
            </w:r>
          </w:p>
          <w:p w14:paraId="40DFB43C" w14:textId="77777777" w:rsidR="00461DF2" w:rsidRPr="00D720BD" w:rsidRDefault="00461DF2" w:rsidP="009C1FF7">
            <w:pPr>
              <w:pStyle w:val="21"/>
              <w:spacing w:after="0" w:line="240" w:lineRule="auto"/>
              <w:jc w:val="both"/>
              <w:rPr>
                <w:sz w:val="20"/>
                <w:szCs w:val="20"/>
              </w:rPr>
            </w:pPr>
          </w:p>
        </w:tc>
      </w:tr>
    </w:tbl>
    <w:p w14:paraId="296C60D0" w14:textId="77777777" w:rsidR="00C918F0" w:rsidRPr="00C63E24" w:rsidRDefault="00C918F0"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B64D9A" w14:paraId="1A88A0D8" w14:textId="77777777" w:rsidTr="00AE5E9D">
        <w:tc>
          <w:tcPr>
            <w:tcW w:w="2661" w:type="dxa"/>
            <w:vAlign w:val="center"/>
          </w:tcPr>
          <w:p w14:paraId="3DCAE63A" w14:textId="77777777" w:rsidR="00C918F0" w:rsidRPr="00B64D9A" w:rsidRDefault="00C918F0" w:rsidP="009C1FF7">
            <w:pPr>
              <w:pStyle w:val="a4"/>
              <w:spacing w:before="0" w:beforeAutospacing="0" w:after="0" w:afterAutospacing="0"/>
              <w:jc w:val="center"/>
              <w:rPr>
                <w:b/>
                <w:lang w:val="uk-UA"/>
              </w:rPr>
            </w:pPr>
            <w:r w:rsidRPr="00B64D9A">
              <w:rPr>
                <w:b/>
                <w:lang w:val="uk-UA"/>
              </w:rPr>
              <w:t>Рейтинг</w:t>
            </w:r>
          </w:p>
        </w:tc>
        <w:tc>
          <w:tcPr>
            <w:tcW w:w="4143" w:type="dxa"/>
            <w:vAlign w:val="center"/>
          </w:tcPr>
          <w:p w14:paraId="2BEF10AB" w14:textId="77777777" w:rsidR="00C918F0" w:rsidRPr="00B64D9A" w:rsidRDefault="00C918F0" w:rsidP="009C1FF7">
            <w:pPr>
              <w:pStyle w:val="a4"/>
              <w:spacing w:before="0" w:beforeAutospacing="0" w:after="0" w:afterAutospacing="0"/>
              <w:jc w:val="center"/>
              <w:rPr>
                <w:b/>
                <w:lang w:val="uk-UA"/>
              </w:rPr>
            </w:pPr>
            <w:r w:rsidRPr="00B64D9A">
              <w:rPr>
                <w:b/>
                <w:lang w:val="uk-UA"/>
              </w:rPr>
              <w:t>Аргументи щодо переваги обраної альтернативи / причини відмови від альтернативи</w:t>
            </w:r>
          </w:p>
        </w:tc>
        <w:tc>
          <w:tcPr>
            <w:tcW w:w="2658" w:type="dxa"/>
            <w:vAlign w:val="center"/>
          </w:tcPr>
          <w:p w14:paraId="0D5F428C" w14:textId="77777777" w:rsidR="00C918F0" w:rsidRPr="00B64D9A" w:rsidRDefault="00C918F0" w:rsidP="009C1FF7">
            <w:pPr>
              <w:pStyle w:val="a4"/>
              <w:spacing w:before="0" w:beforeAutospacing="0" w:after="0" w:afterAutospacing="0"/>
              <w:jc w:val="center"/>
              <w:rPr>
                <w:b/>
                <w:lang w:val="uk-UA"/>
              </w:rPr>
            </w:pPr>
            <w:r w:rsidRPr="00B64D9A">
              <w:rPr>
                <w:b/>
                <w:lang w:val="uk-UA"/>
              </w:rPr>
              <w:t>Оцінка ризику зовнішніх чинників на дію запропонованого регуляторного акта</w:t>
            </w:r>
          </w:p>
        </w:tc>
      </w:tr>
      <w:tr w:rsidR="00105307" w:rsidRPr="00B64D9A" w14:paraId="4200D1FA" w14:textId="77777777" w:rsidTr="00AE5E9D">
        <w:tc>
          <w:tcPr>
            <w:tcW w:w="2661" w:type="dxa"/>
          </w:tcPr>
          <w:p w14:paraId="068F49DA" w14:textId="77777777" w:rsidR="00105307" w:rsidRPr="00B64D9A" w:rsidRDefault="00105307" w:rsidP="009C1FF7">
            <w:pPr>
              <w:pStyle w:val="21"/>
              <w:spacing w:after="0" w:line="240" w:lineRule="auto"/>
              <w:jc w:val="both"/>
              <w:rPr>
                <w:b/>
              </w:rPr>
            </w:pPr>
            <w:r w:rsidRPr="00B64D9A">
              <w:rPr>
                <w:b/>
              </w:rPr>
              <w:t>Альтернатива 1</w:t>
            </w:r>
          </w:p>
          <w:p w14:paraId="4210D955" w14:textId="77777777" w:rsidR="00105307" w:rsidRPr="00B64D9A" w:rsidRDefault="0007200E" w:rsidP="009C1FF7">
            <w:pPr>
              <w:pStyle w:val="21"/>
              <w:spacing w:after="0" w:line="240" w:lineRule="auto"/>
            </w:pPr>
            <w:r w:rsidRPr="00B64D9A">
              <w:t>Збереження чинного регулювання</w:t>
            </w:r>
          </w:p>
        </w:tc>
        <w:tc>
          <w:tcPr>
            <w:tcW w:w="4143" w:type="dxa"/>
          </w:tcPr>
          <w:p w14:paraId="1B6E6101" w14:textId="77777777" w:rsidR="00105307" w:rsidRPr="00B64D9A" w:rsidRDefault="008319C6" w:rsidP="009C1FF7">
            <w:pPr>
              <w:rPr>
                <w:lang w:val="uk-UA"/>
              </w:rPr>
            </w:pPr>
            <w:r w:rsidRPr="00B64D9A">
              <w:rPr>
                <w:lang w:val="uk-UA"/>
              </w:rPr>
              <w:t>Не дозволяє виконувати вимоги чинного законодавства</w:t>
            </w:r>
            <w:r w:rsidR="00F96CCC" w:rsidRPr="00B64D9A">
              <w:rPr>
                <w:lang w:val="uk-UA"/>
              </w:rPr>
              <w:t>.</w:t>
            </w:r>
          </w:p>
        </w:tc>
        <w:tc>
          <w:tcPr>
            <w:tcW w:w="2658" w:type="dxa"/>
          </w:tcPr>
          <w:p w14:paraId="748C3602" w14:textId="77777777" w:rsidR="00105307" w:rsidRPr="00B64D9A" w:rsidRDefault="00105307" w:rsidP="009C1FF7">
            <w:pPr>
              <w:rPr>
                <w:lang w:val="uk-UA"/>
              </w:rPr>
            </w:pPr>
            <w:r w:rsidRPr="00B64D9A">
              <w:rPr>
                <w:lang w:val="uk-UA"/>
              </w:rPr>
              <w:t>Відсутні</w:t>
            </w:r>
            <w:r w:rsidR="00291610" w:rsidRPr="00B64D9A">
              <w:rPr>
                <w:lang w:val="uk-UA"/>
              </w:rPr>
              <w:t>.</w:t>
            </w:r>
          </w:p>
        </w:tc>
      </w:tr>
      <w:tr w:rsidR="00105307" w:rsidRPr="00B64D9A" w14:paraId="20BCE23C" w14:textId="77777777" w:rsidTr="00AE5E9D">
        <w:tc>
          <w:tcPr>
            <w:tcW w:w="2661" w:type="dxa"/>
          </w:tcPr>
          <w:p w14:paraId="34844959" w14:textId="77777777" w:rsidR="00105307" w:rsidRPr="00B64D9A" w:rsidRDefault="00105307" w:rsidP="009C1FF7">
            <w:pPr>
              <w:pStyle w:val="21"/>
              <w:spacing w:after="0" w:line="240" w:lineRule="auto"/>
              <w:jc w:val="both"/>
              <w:rPr>
                <w:b/>
              </w:rPr>
            </w:pPr>
            <w:r w:rsidRPr="00B64D9A">
              <w:rPr>
                <w:b/>
              </w:rPr>
              <w:t>Альтернатива 2</w:t>
            </w:r>
          </w:p>
          <w:p w14:paraId="51FEB9E4" w14:textId="77777777" w:rsidR="00105307" w:rsidRPr="00B64D9A" w:rsidRDefault="00FD097E" w:rsidP="009C1FF7">
            <w:pPr>
              <w:pStyle w:val="21"/>
              <w:spacing w:after="0" w:line="240" w:lineRule="auto"/>
            </w:pPr>
            <w:r w:rsidRPr="00B64D9A">
              <w:t>Прийняття нового регуляторного акта</w:t>
            </w:r>
          </w:p>
        </w:tc>
        <w:tc>
          <w:tcPr>
            <w:tcW w:w="4143" w:type="dxa"/>
          </w:tcPr>
          <w:p w14:paraId="342E4282" w14:textId="77777777" w:rsidR="00105307" w:rsidRPr="00B64D9A" w:rsidRDefault="00FD097E" w:rsidP="009C1FF7">
            <w:pPr>
              <w:rPr>
                <w:lang w:val="uk-UA"/>
              </w:rPr>
            </w:pPr>
            <w:r w:rsidRPr="00B64D9A">
              <w:rPr>
                <w:lang w:val="uk-UA"/>
              </w:rPr>
              <w:t>Недоцільність прийняття нового регуляторного акта, який буде дублювати чинн</w:t>
            </w:r>
            <w:r w:rsidR="00626B70" w:rsidRPr="00B64D9A">
              <w:rPr>
                <w:lang w:val="uk-UA"/>
              </w:rPr>
              <w:t>і</w:t>
            </w:r>
            <w:r w:rsidRPr="00B64D9A">
              <w:rPr>
                <w:lang w:val="uk-UA"/>
              </w:rPr>
              <w:t xml:space="preserve"> регуляторн</w:t>
            </w:r>
            <w:r w:rsidR="00626B70" w:rsidRPr="00B64D9A">
              <w:rPr>
                <w:lang w:val="uk-UA"/>
              </w:rPr>
              <w:t>і</w:t>
            </w:r>
            <w:r w:rsidRPr="00B64D9A">
              <w:rPr>
                <w:lang w:val="uk-UA"/>
              </w:rPr>
              <w:t xml:space="preserve"> акт</w:t>
            </w:r>
            <w:r w:rsidR="00626B70" w:rsidRPr="00B64D9A">
              <w:rPr>
                <w:lang w:val="uk-UA"/>
              </w:rPr>
              <w:t>и</w:t>
            </w:r>
            <w:r w:rsidRPr="00B64D9A">
              <w:rPr>
                <w:lang w:val="uk-UA"/>
              </w:rPr>
              <w:t>.</w:t>
            </w:r>
          </w:p>
        </w:tc>
        <w:tc>
          <w:tcPr>
            <w:tcW w:w="2658" w:type="dxa"/>
          </w:tcPr>
          <w:p w14:paraId="6DBA5788" w14:textId="77777777" w:rsidR="00105307" w:rsidRPr="00B64D9A" w:rsidRDefault="00105307" w:rsidP="009C1FF7">
            <w:pPr>
              <w:rPr>
                <w:lang w:val="uk-UA"/>
              </w:rPr>
            </w:pPr>
            <w:r w:rsidRPr="00B64D9A">
              <w:rPr>
                <w:lang w:val="uk-UA"/>
              </w:rPr>
              <w:t>Відсутні</w:t>
            </w:r>
            <w:r w:rsidR="00291610" w:rsidRPr="00B64D9A">
              <w:rPr>
                <w:lang w:val="uk-UA"/>
              </w:rPr>
              <w:t>.</w:t>
            </w:r>
          </w:p>
        </w:tc>
      </w:tr>
      <w:tr w:rsidR="00105307" w:rsidRPr="00B64D9A" w14:paraId="6E3855A0" w14:textId="77777777" w:rsidTr="00AE5E9D">
        <w:tc>
          <w:tcPr>
            <w:tcW w:w="2661" w:type="dxa"/>
          </w:tcPr>
          <w:p w14:paraId="093FEBF2" w14:textId="77777777" w:rsidR="00AE4E72" w:rsidRPr="00B64D9A" w:rsidRDefault="00105307" w:rsidP="009C1FF7">
            <w:pPr>
              <w:pStyle w:val="21"/>
              <w:spacing w:after="0" w:line="240" w:lineRule="auto"/>
              <w:jc w:val="both"/>
              <w:rPr>
                <w:b/>
              </w:rPr>
            </w:pPr>
            <w:r w:rsidRPr="00B64D9A">
              <w:rPr>
                <w:b/>
              </w:rPr>
              <w:t xml:space="preserve">Обрана </w:t>
            </w:r>
          </w:p>
          <w:p w14:paraId="744B55B6" w14:textId="77777777" w:rsidR="00105307" w:rsidRPr="00B64D9A" w:rsidRDefault="00105307" w:rsidP="009C1FF7">
            <w:pPr>
              <w:pStyle w:val="21"/>
              <w:spacing w:after="0" w:line="240" w:lineRule="auto"/>
              <w:jc w:val="both"/>
              <w:rPr>
                <w:b/>
              </w:rPr>
            </w:pPr>
            <w:r w:rsidRPr="00B64D9A">
              <w:rPr>
                <w:b/>
              </w:rPr>
              <w:t>альтернатива 3</w:t>
            </w:r>
          </w:p>
          <w:p w14:paraId="09242D2B" w14:textId="77777777" w:rsidR="00105307" w:rsidRPr="00B64D9A" w:rsidRDefault="00FD097E" w:rsidP="009C1FF7">
            <w:pPr>
              <w:pStyle w:val="21"/>
              <w:spacing w:after="0" w:line="240" w:lineRule="auto"/>
            </w:pPr>
            <w:r w:rsidRPr="00B64D9A">
              <w:t>Внесення змін до чинного регуляторного акта</w:t>
            </w:r>
          </w:p>
        </w:tc>
        <w:tc>
          <w:tcPr>
            <w:tcW w:w="4143" w:type="dxa"/>
          </w:tcPr>
          <w:p w14:paraId="4BE57C73" w14:textId="77777777" w:rsidR="00FD097E" w:rsidRPr="00B64D9A" w:rsidRDefault="00FD097E" w:rsidP="009C1FF7">
            <w:pPr>
              <w:rPr>
                <w:lang w:val="uk-UA"/>
              </w:rPr>
            </w:pPr>
            <w:r w:rsidRPr="00B64D9A">
              <w:rPr>
                <w:lang w:val="uk-UA"/>
              </w:rPr>
              <w:t xml:space="preserve">Дозволяє вирішити проблему самим ефективним шляхом. </w:t>
            </w:r>
          </w:p>
          <w:p w14:paraId="3DE41999" w14:textId="77777777" w:rsidR="00461DF2" w:rsidRPr="00B64D9A" w:rsidRDefault="00461DF2" w:rsidP="009C1FF7">
            <w:pPr>
              <w:jc w:val="both"/>
              <w:rPr>
                <w:lang w:val="uk-UA"/>
              </w:rPr>
            </w:pPr>
          </w:p>
        </w:tc>
        <w:tc>
          <w:tcPr>
            <w:tcW w:w="2658" w:type="dxa"/>
          </w:tcPr>
          <w:p w14:paraId="72B6E9E8" w14:textId="77777777" w:rsidR="00105307" w:rsidRPr="00B64D9A" w:rsidRDefault="00105307" w:rsidP="009C1FF7">
            <w:pPr>
              <w:rPr>
                <w:lang w:val="uk-UA"/>
              </w:rPr>
            </w:pPr>
            <w:r w:rsidRPr="00B64D9A">
              <w:rPr>
                <w:lang w:val="uk-UA"/>
              </w:rPr>
              <w:t>Відсутні</w:t>
            </w:r>
            <w:r w:rsidR="00291610" w:rsidRPr="00B64D9A">
              <w:rPr>
                <w:lang w:val="uk-UA"/>
              </w:rPr>
              <w:t>.</w:t>
            </w:r>
          </w:p>
        </w:tc>
      </w:tr>
    </w:tbl>
    <w:p w14:paraId="0239CE25" w14:textId="77777777" w:rsidR="00EC0CCB" w:rsidRPr="00C63E24" w:rsidRDefault="00EC0CCB" w:rsidP="009C1FF7">
      <w:pPr>
        <w:pStyle w:val="a6"/>
        <w:spacing w:after="0"/>
        <w:ind w:left="0" w:firstLine="709"/>
        <w:jc w:val="both"/>
        <w:rPr>
          <w:b/>
          <w:sz w:val="26"/>
          <w:szCs w:val="26"/>
        </w:rPr>
      </w:pPr>
    </w:p>
    <w:p w14:paraId="7EA60E05" w14:textId="77777777" w:rsidR="00C918F0" w:rsidRPr="00C63E24" w:rsidRDefault="00C918F0" w:rsidP="009C1FF7">
      <w:pPr>
        <w:pStyle w:val="a6"/>
        <w:spacing w:after="0"/>
        <w:ind w:left="0"/>
        <w:jc w:val="center"/>
        <w:rPr>
          <w:b/>
          <w:sz w:val="26"/>
          <w:szCs w:val="26"/>
        </w:rPr>
      </w:pPr>
      <w:r w:rsidRPr="00C63E24">
        <w:rPr>
          <w:b/>
          <w:sz w:val="26"/>
          <w:szCs w:val="26"/>
        </w:rPr>
        <w:t>V. Механізми та заходи, які забезпечать розв'язання визначеної проблеми</w:t>
      </w:r>
    </w:p>
    <w:p w14:paraId="4374D8F2" w14:textId="77777777" w:rsidR="0018292F" w:rsidRPr="00D720BD" w:rsidRDefault="0018292F" w:rsidP="009C1FF7">
      <w:pPr>
        <w:pStyle w:val="a6"/>
        <w:spacing w:after="0"/>
        <w:ind w:left="0" w:firstLine="709"/>
        <w:jc w:val="both"/>
        <w:rPr>
          <w:b/>
        </w:rPr>
      </w:pPr>
    </w:p>
    <w:p w14:paraId="6A44599F" w14:textId="03BD4940" w:rsidR="00455503" w:rsidRDefault="00C918F0" w:rsidP="006521CA">
      <w:pPr>
        <w:widowControl w:val="0"/>
        <w:ind w:firstLine="709"/>
        <w:jc w:val="both"/>
        <w:rPr>
          <w:sz w:val="26"/>
          <w:szCs w:val="26"/>
          <w:lang w:val="uk-UA"/>
        </w:rPr>
      </w:pPr>
      <w:r w:rsidRPr="00C63E24">
        <w:rPr>
          <w:sz w:val="26"/>
          <w:szCs w:val="26"/>
          <w:lang w:val="uk-UA"/>
        </w:rPr>
        <w:t>Про</w:t>
      </w:r>
      <w:r w:rsidR="00651390" w:rsidRPr="00C63E24">
        <w:rPr>
          <w:sz w:val="26"/>
          <w:szCs w:val="26"/>
          <w:lang w:val="uk-UA"/>
        </w:rPr>
        <w:t>є</w:t>
      </w:r>
      <w:r w:rsidRPr="00C63E24">
        <w:rPr>
          <w:sz w:val="26"/>
          <w:szCs w:val="26"/>
          <w:lang w:val="uk-UA"/>
        </w:rPr>
        <w:t xml:space="preserve">ктом пропонується </w:t>
      </w:r>
      <w:r w:rsidR="00461DF2" w:rsidRPr="00C63E24">
        <w:rPr>
          <w:sz w:val="26"/>
          <w:szCs w:val="26"/>
          <w:lang w:val="uk-UA"/>
        </w:rPr>
        <w:t>затвердити</w:t>
      </w:r>
      <w:r w:rsidRPr="00C63E24">
        <w:rPr>
          <w:sz w:val="26"/>
          <w:szCs w:val="26"/>
          <w:lang w:val="uk-UA"/>
        </w:rPr>
        <w:t xml:space="preserve"> </w:t>
      </w:r>
      <w:r w:rsidR="00461DF2" w:rsidRPr="00C63E24">
        <w:rPr>
          <w:sz w:val="26"/>
          <w:szCs w:val="26"/>
          <w:lang w:val="uk-UA"/>
        </w:rPr>
        <w:t>З</w:t>
      </w:r>
      <w:r w:rsidR="00FD097E" w:rsidRPr="00C63E24">
        <w:rPr>
          <w:sz w:val="26"/>
          <w:szCs w:val="26"/>
          <w:lang w:val="uk-UA"/>
        </w:rPr>
        <w:t xml:space="preserve">міни до </w:t>
      </w:r>
      <w:r w:rsidR="006521CA" w:rsidRPr="006521CA">
        <w:rPr>
          <w:sz w:val="26"/>
          <w:szCs w:val="26"/>
          <w:lang w:val="uk-UA"/>
        </w:rPr>
        <w:t xml:space="preserve">Методики з метою удосконалення </w:t>
      </w:r>
      <w:r w:rsidR="000738CF">
        <w:rPr>
          <w:sz w:val="26"/>
          <w:szCs w:val="26"/>
          <w:lang w:val="uk-UA"/>
        </w:rPr>
        <w:t xml:space="preserve">її </w:t>
      </w:r>
      <w:r w:rsidR="006521CA" w:rsidRPr="006521CA">
        <w:rPr>
          <w:sz w:val="26"/>
          <w:szCs w:val="26"/>
          <w:lang w:val="uk-UA"/>
        </w:rPr>
        <w:t xml:space="preserve">норм та </w:t>
      </w:r>
      <w:r w:rsidR="000738CF">
        <w:rPr>
          <w:sz w:val="26"/>
          <w:szCs w:val="26"/>
          <w:lang w:val="uk-UA"/>
        </w:rPr>
        <w:t xml:space="preserve">положень, а також приведення окремих </w:t>
      </w:r>
      <w:r w:rsidR="008575B6">
        <w:rPr>
          <w:sz w:val="26"/>
          <w:szCs w:val="26"/>
          <w:lang w:val="uk-UA"/>
        </w:rPr>
        <w:t xml:space="preserve">її </w:t>
      </w:r>
      <w:r w:rsidR="000738CF">
        <w:rPr>
          <w:sz w:val="26"/>
          <w:szCs w:val="26"/>
          <w:lang w:val="uk-UA"/>
        </w:rPr>
        <w:t xml:space="preserve">положень у відповідність до положень </w:t>
      </w:r>
      <w:r w:rsidR="008575B6">
        <w:rPr>
          <w:sz w:val="26"/>
          <w:szCs w:val="26"/>
          <w:lang w:val="uk-UA"/>
        </w:rPr>
        <w:t>Наказу № 100</w:t>
      </w:r>
      <w:r w:rsidR="000738CF">
        <w:rPr>
          <w:sz w:val="26"/>
          <w:szCs w:val="26"/>
          <w:lang w:val="uk-UA"/>
        </w:rPr>
        <w:t>.</w:t>
      </w:r>
    </w:p>
    <w:p w14:paraId="5B2F12A2" w14:textId="0612777A" w:rsidR="00EB6BA0" w:rsidRPr="00C63E24" w:rsidRDefault="006521CA" w:rsidP="00A35CD7">
      <w:pPr>
        <w:widowControl w:val="0"/>
        <w:ind w:firstLine="709"/>
        <w:jc w:val="both"/>
        <w:rPr>
          <w:b/>
          <w:sz w:val="26"/>
          <w:szCs w:val="26"/>
          <w:lang w:val="uk-UA"/>
        </w:rPr>
      </w:pPr>
      <w:r>
        <w:rPr>
          <w:sz w:val="26"/>
          <w:szCs w:val="26"/>
          <w:lang w:val="uk-UA"/>
        </w:rPr>
        <w:t>Реалізація Проєкту</w:t>
      </w:r>
      <w:r w:rsidR="000738CF">
        <w:rPr>
          <w:sz w:val="26"/>
          <w:szCs w:val="26"/>
          <w:lang w:val="uk-UA"/>
        </w:rPr>
        <w:t xml:space="preserve"> удосконалить </w:t>
      </w:r>
      <w:r w:rsidR="00A80487">
        <w:rPr>
          <w:sz w:val="26"/>
          <w:szCs w:val="26"/>
          <w:lang w:val="uk-UA"/>
        </w:rPr>
        <w:t xml:space="preserve">механізм </w:t>
      </w:r>
      <w:r w:rsidR="00116451" w:rsidRPr="00116451">
        <w:rPr>
          <w:sz w:val="26"/>
          <w:szCs w:val="26"/>
          <w:lang w:val="uk-UA"/>
        </w:rPr>
        <w:t xml:space="preserve">визначення об’єму технологічних електричних мереж спільного використання в умовних одиницях згідно з положеннями </w:t>
      </w:r>
      <w:r w:rsidR="00A35CD7">
        <w:rPr>
          <w:sz w:val="26"/>
          <w:szCs w:val="26"/>
          <w:lang w:val="uk-UA"/>
        </w:rPr>
        <w:t>Наказу № 100</w:t>
      </w:r>
      <w:r w:rsidR="000738CF">
        <w:rPr>
          <w:sz w:val="26"/>
          <w:szCs w:val="26"/>
          <w:lang w:val="uk-UA"/>
        </w:rPr>
        <w:t xml:space="preserve">, а також </w:t>
      </w:r>
      <w:r w:rsidR="00116451" w:rsidRPr="00116451">
        <w:rPr>
          <w:sz w:val="26"/>
          <w:szCs w:val="26"/>
          <w:lang w:val="uk-UA"/>
        </w:rPr>
        <w:t xml:space="preserve">врахує особливості </w:t>
      </w:r>
      <w:proofErr w:type="spellStart"/>
      <w:r w:rsidR="00116451" w:rsidRPr="00116451">
        <w:rPr>
          <w:sz w:val="26"/>
          <w:szCs w:val="26"/>
          <w:lang w:val="uk-UA"/>
        </w:rPr>
        <w:t>тарифоутворення</w:t>
      </w:r>
      <w:proofErr w:type="spellEnd"/>
      <w:r w:rsidR="00116451" w:rsidRPr="00116451">
        <w:rPr>
          <w:sz w:val="26"/>
          <w:szCs w:val="26"/>
          <w:lang w:val="uk-UA"/>
        </w:rPr>
        <w:t xml:space="preserve"> операторів систем розподілу, які перейшли на стимулююче регулювання</w:t>
      </w:r>
      <w:r w:rsidR="00D720BD">
        <w:rPr>
          <w:sz w:val="26"/>
          <w:szCs w:val="26"/>
          <w:lang w:val="uk-UA"/>
        </w:rPr>
        <w:t>,</w:t>
      </w:r>
      <w:r w:rsidR="000738CF">
        <w:rPr>
          <w:sz w:val="26"/>
          <w:szCs w:val="26"/>
          <w:lang w:val="uk-UA"/>
        </w:rPr>
        <w:t xml:space="preserve"> </w:t>
      </w:r>
      <w:r w:rsidR="00D720BD" w:rsidRPr="00D720BD">
        <w:rPr>
          <w:sz w:val="26"/>
          <w:szCs w:val="26"/>
          <w:lang w:val="uk-UA"/>
        </w:rPr>
        <w:t>при визначенні граничних рівнів витрат за об'ємом умовних одиниць</w:t>
      </w:r>
      <w:r w:rsidR="00D720BD">
        <w:rPr>
          <w:sz w:val="26"/>
          <w:szCs w:val="26"/>
          <w:lang w:val="uk-UA"/>
        </w:rPr>
        <w:t>.</w:t>
      </w:r>
    </w:p>
    <w:p w14:paraId="37EAC3F1" w14:textId="77777777" w:rsidR="00C918F0" w:rsidRPr="00C63E24" w:rsidRDefault="00C918F0" w:rsidP="009C1FF7">
      <w:pPr>
        <w:jc w:val="center"/>
        <w:rPr>
          <w:b/>
          <w:sz w:val="26"/>
          <w:szCs w:val="26"/>
          <w:lang w:val="uk-UA"/>
        </w:rPr>
      </w:pPr>
      <w:r w:rsidRPr="00C63E24">
        <w:rPr>
          <w:b/>
          <w:sz w:val="26"/>
          <w:szCs w:val="26"/>
          <w:lang w:val="uk-UA"/>
        </w:rPr>
        <w:lastRenderedPageBreak/>
        <w:t>VI. Обґрунтування запропонованог</w:t>
      </w:r>
      <w:r w:rsidR="00283A88" w:rsidRPr="00C63E24">
        <w:rPr>
          <w:b/>
          <w:sz w:val="26"/>
          <w:szCs w:val="26"/>
          <w:lang w:val="uk-UA"/>
        </w:rPr>
        <w:t>о строку дії регуляторного акта</w:t>
      </w:r>
    </w:p>
    <w:p w14:paraId="446BCE64" w14:textId="77777777" w:rsidR="0018292F" w:rsidRPr="00D720BD" w:rsidRDefault="0018292F" w:rsidP="009C1FF7">
      <w:pPr>
        <w:jc w:val="center"/>
        <w:rPr>
          <w:sz w:val="20"/>
          <w:szCs w:val="20"/>
          <w:lang w:val="uk-UA"/>
        </w:rPr>
      </w:pPr>
    </w:p>
    <w:p w14:paraId="76D9A3FF" w14:textId="77777777" w:rsidR="00C918F0" w:rsidRPr="00C63E24" w:rsidRDefault="00C918F0" w:rsidP="009C1FF7">
      <w:pPr>
        <w:ind w:firstLine="709"/>
        <w:jc w:val="both"/>
        <w:rPr>
          <w:sz w:val="26"/>
          <w:szCs w:val="26"/>
          <w:lang w:val="uk-UA"/>
        </w:rPr>
      </w:pPr>
      <w:r w:rsidRPr="00C63E24">
        <w:rPr>
          <w:sz w:val="26"/>
          <w:szCs w:val="26"/>
          <w:lang w:val="uk-UA"/>
        </w:rPr>
        <w:t>Термін дії акта необмежений та може бути змінений у разі внесення відповідних змін до чинного законодавства.</w:t>
      </w:r>
    </w:p>
    <w:p w14:paraId="6E771A01" w14:textId="77777777" w:rsidR="00D720BD" w:rsidRPr="00C63E24" w:rsidRDefault="00D720BD" w:rsidP="009C1FF7">
      <w:pPr>
        <w:ind w:firstLine="709"/>
        <w:jc w:val="both"/>
        <w:rPr>
          <w:b/>
          <w:sz w:val="26"/>
          <w:szCs w:val="26"/>
          <w:lang w:val="uk-UA"/>
        </w:rPr>
      </w:pPr>
    </w:p>
    <w:p w14:paraId="31F263A1" w14:textId="77777777" w:rsidR="00C918F0" w:rsidRPr="00C63E24" w:rsidRDefault="00C918F0" w:rsidP="009C1FF7">
      <w:pPr>
        <w:jc w:val="center"/>
        <w:rPr>
          <w:b/>
          <w:sz w:val="26"/>
          <w:szCs w:val="26"/>
          <w:lang w:val="uk-UA"/>
        </w:rPr>
      </w:pPr>
      <w:r w:rsidRPr="00C63E24">
        <w:rPr>
          <w:b/>
          <w:sz w:val="26"/>
          <w:szCs w:val="26"/>
          <w:lang w:val="uk-UA"/>
        </w:rPr>
        <w:t>VII. Визначення показників результа</w:t>
      </w:r>
      <w:r w:rsidR="00283A88" w:rsidRPr="00C63E24">
        <w:rPr>
          <w:b/>
          <w:sz w:val="26"/>
          <w:szCs w:val="26"/>
          <w:lang w:val="uk-UA"/>
        </w:rPr>
        <w:t>тивності дії регуляторного акта</w:t>
      </w:r>
    </w:p>
    <w:p w14:paraId="3AE4EA36" w14:textId="77777777" w:rsidR="00455503" w:rsidRPr="00C63E24" w:rsidRDefault="00455503" w:rsidP="009C1FF7">
      <w:pPr>
        <w:ind w:firstLine="709"/>
        <w:jc w:val="both"/>
        <w:rPr>
          <w:sz w:val="26"/>
          <w:szCs w:val="26"/>
          <w:lang w:val="uk-UA"/>
        </w:rPr>
      </w:pPr>
    </w:p>
    <w:p w14:paraId="7AF9E178" w14:textId="77777777" w:rsidR="00C918F0" w:rsidRPr="00C63E24" w:rsidRDefault="00C918F0" w:rsidP="009C1FF7">
      <w:pPr>
        <w:ind w:firstLine="709"/>
        <w:jc w:val="both"/>
        <w:rPr>
          <w:sz w:val="26"/>
          <w:szCs w:val="26"/>
          <w:lang w:val="uk-UA"/>
        </w:rPr>
      </w:pPr>
      <w:r w:rsidRPr="00C63E24">
        <w:rPr>
          <w:sz w:val="26"/>
          <w:szCs w:val="26"/>
          <w:lang w:val="uk-UA"/>
        </w:rPr>
        <w:t>За результатами дії регуляторного акта:</w:t>
      </w:r>
    </w:p>
    <w:p w14:paraId="5F4BC036" w14:textId="77777777" w:rsidR="00C918F0" w:rsidRPr="00C63E24" w:rsidRDefault="00C918F0" w:rsidP="009C1FF7">
      <w:pPr>
        <w:ind w:firstLine="709"/>
        <w:jc w:val="both"/>
        <w:rPr>
          <w:sz w:val="26"/>
          <w:szCs w:val="26"/>
          <w:lang w:val="uk-UA"/>
        </w:rPr>
      </w:pPr>
      <w:r w:rsidRPr="00C63E24">
        <w:rPr>
          <w:sz w:val="26"/>
          <w:szCs w:val="26"/>
          <w:lang w:val="uk-UA"/>
        </w:rPr>
        <w:t>дія акта не передбачає надходжень та/або видатків з/до державного та/або місцевих бюджетів і державних цільових фондів, пов'язаних із дією акта;</w:t>
      </w:r>
    </w:p>
    <w:p w14:paraId="7819CF20" w14:textId="7ABF7FAA" w:rsidR="006B3402" w:rsidRPr="00C63E24" w:rsidRDefault="00C918F0" w:rsidP="009C1FF7">
      <w:pPr>
        <w:ind w:firstLine="709"/>
        <w:jc w:val="both"/>
        <w:rPr>
          <w:sz w:val="26"/>
          <w:szCs w:val="26"/>
          <w:lang w:val="uk-UA"/>
        </w:rPr>
      </w:pPr>
      <w:r w:rsidRPr="00C63E24">
        <w:rPr>
          <w:sz w:val="26"/>
          <w:szCs w:val="26"/>
          <w:lang w:val="uk-UA"/>
        </w:rPr>
        <w:t xml:space="preserve">дія </w:t>
      </w:r>
      <w:proofErr w:type="spellStart"/>
      <w:r w:rsidRPr="00C63E24">
        <w:rPr>
          <w:sz w:val="26"/>
          <w:szCs w:val="26"/>
          <w:lang w:val="uk-UA"/>
        </w:rPr>
        <w:t>акта</w:t>
      </w:r>
      <w:proofErr w:type="spellEnd"/>
      <w:r w:rsidRPr="00C63E24">
        <w:rPr>
          <w:sz w:val="26"/>
          <w:szCs w:val="26"/>
          <w:lang w:val="uk-UA"/>
        </w:rPr>
        <w:t xml:space="preserve"> розповсюджується </w:t>
      </w:r>
      <w:r w:rsidRPr="00E40EC5">
        <w:rPr>
          <w:sz w:val="26"/>
          <w:szCs w:val="26"/>
          <w:lang w:val="uk-UA"/>
        </w:rPr>
        <w:t>на</w:t>
      </w:r>
      <w:r w:rsidR="002E6882" w:rsidRPr="00E40EC5">
        <w:rPr>
          <w:sz w:val="26"/>
          <w:szCs w:val="26"/>
          <w:lang w:val="uk-UA"/>
        </w:rPr>
        <w:t xml:space="preserve"> </w:t>
      </w:r>
      <w:r w:rsidR="00E40EC5" w:rsidRPr="00E40EC5">
        <w:rPr>
          <w:sz w:val="26"/>
          <w:szCs w:val="26"/>
          <w:lang w:val="uk-UA"/>
        </w:rPr>
        <w:t xml:space="preserve">оператора системи передачі, операторів систем розподілу, а також на </w:t>
      </w:r>
      <w:r w:rsidR="00A35CD7" w:rsidRPr="00A35CD7">
        <w:rPr>
          <w:sz w:val="26"/>
          <w:szCs w:val="26"/>
          <w:lang w:val="uk-UA"/>
        </w:rPr>
        <w:t>основни</w:t>
      </w:r>
      <w:r w:rsidR="00A35CD7">
        <w:rPr>
          <w:sz w:val="26"/>
          <w:szCs w:val="26"/>
          <w:lang w:val="uk-UA"/>
        </w:rPr>
        <w:t>х</w:t>
      </w:r>
      <w:r w:rsidR="00A35CD7" w:rsidRPr="00A35CD7">
        <w:rPr>
          <w:sz w:val="26"/>
          <w:szCs w:val="26"/>
          <w:lang w:val="uk-UA"/>
        </w:rPr>
        <w:t xml:space="preserve"> споживач</w:t>
      </w:r>
      <w:r w:rsidR="00A35CD7">
        <w:rPr>
          <w:sz w:val="26"/>
          <w:szCs w:val="26"/>
          <w:lang w:val="uk-UA"/>
        </w:rPr>
        <w:t>ів</w:t>
      </w:r>
      <w:r w:rsidR="009D202A" w:rsidRPr="00C63E24">
        <w:rPr>
          <w:sz w:val="26"/>
          <w:szCs w:val="26"/>
          <w:lang w:val="uk-UA"/>
        </w:rPr>
        <w:t>;</w:t>
      </w:r>
    </w:p>
    <w:p w14:paraId="112BF3F7" w14:textId="77777777" w:rsidR="00CC2006" w:rsidRPr="00C63E24" w:rsidRDefault="00CC2006" w:rsidP="009C1FF7">
      <w:pPr>
        <w:pStyle w:val="aa"/>
        <w:widowControl w:val="0"/>
        <w:spacing w:after="0"/>
        <w:ind w:firstLine="709"/>
        <w:jc w:val="both"/>
        <w:rPr>
          <w:b/>
          <w:bCs/>
          <w:color w:val="000000"/>
          <w:sz w:val="26"/>
          <w:szCs w:val="26"/>
          <w:u w:val="single"/>
          <w:lang w:val="uk-UA"/>
        </w:rPr>
      </w:pPr>
      <w:r w:rsidRPr="00C63E24">
        <w:rPr>
          <w:bCs/>
          <w:color w:val="000000"/>
          <w:sz w:val="26"/>
          <w:szCs w:val="26"/>
          <w:lang w:val="uk-UA"/>
        </w:rPr>
        <w:t>рів</w:t>
      </w:r>
      <w:r w:rsidR="00B51B93" w:rsidRPr="00C63E24">
        <w:rPr>
          <w:bCs/>
          <w:color w:val="000000"/>
          <w:sz w:val="26"/>
          <w:szCs w:val="26"/>
          <w:lang w:val="uk-UA"/>
        </w:rPr>
        <w:t>ень</w:t>
      </w:r>
      <w:r w:rsidRPr="00C63E24">
        <w:rPr>
          <w:bCs/>
          <w:color w:val="000000"/>
          <w:sz w:val="26"/>
          <w:szCs w:val="26"/>
          <w:lang w:val="uk-UA"/>
        </w:rPr>
        <w:t xml:space="preserve"> поінформованості суб’єктів господарювання</w:t>
      </w:r>
      <w:r w:rsidR="00B739AD" w:rsidRPr="00C63E24">
        <w:rPr>
          <w:bCs/>
          <w:color w:val="000000"/>
          <w:sz w:val="26"/>
          <w:szCs w:val="26"/>
          <w:lang w:val="uk-UA"/>
        </w:rPr>
        <w:t xml:space="preserve"> та фізичних осіб </w:t>
      </w:r>
      <w:r w:rsidRPr="00C63E24">
        <w:rPr>
          <w:bCs/>
          <w:color w:val="000000"/>
          <w:sz w:val="26"/>
          <w:szCs w:val="26"/>
          <w:lang w:val="uk-UA"/>
        </w:rPr>
        <w:t>з основних положень акта</w:t>
      </w:r>
      <w:r w:rsidR="00B739AD" w:rsidRPr="00C63E24">
        <w:rPr>
          <w:bCs/>
          <w:color w:val="000000"/>
          <w:sz w:val="26"/>
          <w:szCs w:val="26"/>
          <w:lang w:val="uk-UA"/>
        </w:rPr>
        <w:t xml:space="preserve"> – середній</w:t>
      </w:r>
      <w:r w:rsidRPr="00C63E24">
        <w:rPr>
          <w:sz w:val="26"/>
          <w:szCs w:val="26"/>
          <w:lang w:val="uk-UA"/>
        </w:rPr>
        <w:t>.</w:t>
      </w:r>
    </w:p>
    <w:p w14:paraId="5E3B0F97" w14:textId="16F3D07D" w:rsidR="006E650E" w:rsidRPr="00C63E24" w:rsidRDefault="00CC2006" w:rsidP="009C1FF7">
      <w:pPr>
        <w:pStyle w:val="aa"/>
        <w:widowControl w:val="0"/>
        <w:spacing w:after="0"/>
        <w:ind w:firstLine="709"/>
        <w:jc w:val="both"/>
        <w:rPr>
          <w:bCs/>
          <w:color w:val="000000"/>
          <w:sz w:val="26"/>
          <w:szCs w:val="26"/>
          <w:lang w:val="uk-UA"/>
        </w:rPr>
      </w:pPr>
      <w:r w:rsidRPr="00C63E24">
        <w:rPr>
          <w:bCs/>
          <w:color w:val="000000"/>
          <w:sz w:val="26"/>
          <w:szCs w:val="26"/>
          <w:lang w:val="uk-UA"/>
        </w:rPr>
        <w:t xml:space="preserve">Відповідно до </w:t>
      </w:r>
      <w:r w:rsidR="00B739AD" w:rsidRPr="00C63E24">
        <w:rPr>
          <w:bCs/>
          <w:color w:val="000000"/>
          <w:sz w:val="26"/>
          <w:szCs w:val="26"/>
          <w:lang w:val="uk-UA"/>
        </w:rPr>
        <w:t>вимог</w:t>
      </w:r>
      <w:r w:rsidRPr="00C63E24">
        <w:rPr>
          <w:bCs/>
          <w:color w:val="000000"/>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r w:rsidR="00677F94" w:rsidRPr="00C63E24">
        <w:rPr>
          <w:bCs/>
          <w:color w:val="000000"/>
          <w:sz w:val="26"/>
          <w:szCs w:val="26"/>
          <w:lang w:val="uk-UA"/>
        </w:rPr>
        <w:t>проєкт</w:t>
      </w:r>
      <w:r w:rsidRPr="00C63E24">
        <w:rPr>
          <w:bCs/>
          <w:color w:val="000000"/>
          <w:sz w:val="26"/>
          <w:szCs w:val="26"/>
          <w:lang w:val="uk-UA"/>
        </w:rPr>
        <w:t xml:space="preserve"> постанови</w:t>
      </w:r>
      <w:r w:rsidR="00E853A2" w:rsidRPr="00C63E24">
        <w:rPr>
          <w:bCs/>
          <w:color w:val="000000"/>
          <w:sz w:val="26"/>
          <w:szCs w:val="26"/>
          <w:lang w:val="uk-UA"/>
        </w:rPr>
        <w:t xml:space="preserve"> </w:t>
      </w:r>
      <w:r w:rsidR="00E853A2" w:rsidRPr="00C63E24">
        <w:rPr>
          <w:sz w:val="26"/>
          <w:szCs w:val="26"/>
          <w:lang w:val="uk-UA"/>
        </w:rPr>
        <w:t xml:space="preserve">НКРЕКП </w:t>
      </w:r>
      <w:r w:rsidR="005D6D50" w:rsidRPr="00C63E24">
        <w:rPr>
          <w:sz w:val="26"/>
          <w:szCs w:val="26"/>
          <w:lang w:val="uk-UA"/>
        </w:rPr>
        <w:t>«</w:t>
      </w:r>
      <w:r w:rsidR="00E40EC5" w:rsidRPr="00E40EC5">
        <w:rPr>
          <w:sz w:val="26"/>
          <w:szCs w:val="26"/>
          <w:lang w:val="uk-UA"/>
        </w:rPr>
        <w:t>Про затвердження Змін до Методики обрахування плати за спільне використання технологічних електричних мереж</w:t>
      </w:r>
      <w:r w:rsidR="005D6D50" w:rsidRPr="00C63E24">
        <w:rPr>
          <w:sz w:val="26"/>
          <w:szCs w:val="26"/>
          <w:lang w:val="uk-UA"/>
        </w:rPr>
        <w:t>»</w:t>
      </w:r>
      <w:r w:rsidRPr="00C63E24">
        <w:rPr>
          <w:bCs/>
          <w:color w:val="000000"/>
          <w:sz w:val="26"/>
          <w:szCs w:val="26"/>
          <w:lang w:val="uk-UA"/>
        </w:rPr>
        <w:t xml:space="preserve">, що має ознаки регуляторного акта, аналіз впливу та повідомлення про оприлюднення розміщено на офіційному вебсайті НКРЕКП в мережі Інтернет </w:t>
      </w:r>
      <w:hyperlink r:id="rId8" w:history="1">
        <w:r w:rsidRPr="00C63E24">
          <w:rPr>
            <w:rStyle w:val="ac"/>
            <w:bCs/>
            <w:sz w:val="26"/>
            <w:szCs w:val="26"/>
            <w:lang w:val="uk-UA"/>
          </w:rPr>
          <w:t>www.nerc.gov.ua</w:t>
        </w:r>
      </w:hyperlink>
      <w:r w:rsidRPr="00C63E24">
        <w:rPr>
          <w:rStyle w:val="ac"/>
          <w:bCs/>
          <w:sz w:val="26"/>
          <w:szCs w:val="26"/>
          <w:lang w:val="uk-UA"/>
        </w:rPr>
        <w:t>.</w:t>
      </w:r>
      <w:r w:rsidRPr="00C63E24">
        <w:rPr>
          <w:bCs/>
          <w:color w:val="000000"/>
          <w:sz w:val="26"/>
          <w:szCs w:val="26"/>
          <w:lang w:val="uk-UA"/>
        </w:rPr>
        <w:t xml:space="preserve"> </w:t>
      </w:r>
    </w:p>
    <w:p w14:paraId="1AD1EAED" w14:textId="77777777" w:rsidR="00455503" w:rsidRPr="00C63E24" w:rsidRDefault="00CC2006" w:rsidP="009C1FF7">
      <w:pPr>
        <w:pStyle w:val="aa"/>
        <w:widowControl w:val="0"/>
        <w:spacing w:after="0"/>
        <w:ind w:firstLine="709"/>
        <w:jc w:val="both"/>
        <w:rPr>
          <w:bCs/>
          <w:color w:val="000000"/>
          <w:sz w:val="26"/>
          <w:szCs w:val="26"/>
          <w:lang w:val="uk-UA"/>
        </w:rPr>
      </w:pPr>
      <w:r w:rsidRPr="00C63E24">
        <w:rPr>
          <w:bCs/>
          <w:color w:val="000000"/>
          <w:sz w:val="26"/>
          <w:szCs w:val="26"/>
          <w:lang w:val="uk-UA"/>
        </w:rPr>
        <w:t>НКРЕКП у межах компетенції надає необхідні роз’яснення щодо норм про</w:t>
      </w:r>
      <w:r w:rsidR="00BC7215" w:rsidRPr="00C63E24">
        <w:rPr>
          <w:bCs/>
          <w:color w:val="000000"/>
          <w:sz w:val="26"/>
          <w:szCs w:val="26"/>
          <w:lang w:val="uk-UA"/>
        </w:rPr>
        <w:t>є</w:t>
      </w:r>
      <w:r w:rsidRPr="00C63E24">
        <w:rPr>
          <w:bCs/>
          <w:color w:val="000000"/>
          <w:sz w:val="26"/>
          <w:szCs w:val="26"/>
          <w:lang w:val="uk-UA"/>
        </w:rPr>
        <w:t>кту регуляторного акта і надаватиме роз’яснення щодо застосування акта, який буде опубліковано в засобах масової інформації після його прийняття.</w:t>
      </w:r>
    </w:p>
    <w:p w14:paraId="022E3C20" w14:textId="77777777" w:rsidR="00455503" w:rsidRPr="00C63E24" w:rsidRDefault="00455503" w:rsidP="009C1FF7">
      <w:pPr>
        <w:pStyle w:val="aa"/>
        <w:widowControl w:val="0"/>
        <w:spacing w:after="0"/>
        <w:ind w:firstLine="709"/>
        <w:jc w:val="both"/>
        <w:rPr>
          <w:bCs/>
          <w:color w:val="000000"/>
          <w:sz w:val="26"/>
          <w:szCs w:val="26"/>
          <w:lang w:val="uk-UA"/>
        </w:rPr>
      </w:pPr>
    </w:p>
    <w:p w14:paraId="42C549AD" w14:textId="77777777" w:rsidR="00C918F0" w:rsidRPr="00C63E24" w:rsidRDefault="00447909" w:rsidP="009C1FF7">
      <w:pPr>
        <w:jc w:val="center"/>
        <w:rPr>
          <w:b/>
          <w:sz w:val="26"/>
          <w:szCs w:val="26"/>
          <w:lang w:val="uk-UA"/>
        </w:rPr>
      </w:pPr>
      <w:r w:rsidRPr="00C63E24">
        <w:rPr>
          <w:b/>
          <w:sz w:val="26"/>
          <w:szCs w:val="26"/>
          <w:lang w:val="uk-UA"/>
        </w:rPr>
        <w:t>VIII</w:t>
      </w:r>
      <w:r w:rsidR="00C918F0" w:rsidRPr="00C63E24">
        <w:rPr>
          <w:b/>
          <w:sz w:val="26"/>
          <w:szCs w:val="26"/>
          <w:lang w:val="uk-UA"/>
        </w:rPr>
        <w:t xml:space="preserve">. </w:t>
      </w:r>
      <w:r w:rsidRPr="00C63E24">
        <w:rPr>
          <w:b/>
          <w:sz w:val="26"/>
          <w:szCs w:val="26"/>
          <w:lang w:val="uk-UA"/>
        </w:rPr>
        <w:t>Очікувані результати прийняття регуляторного акта</w:t>
      </w:r>
    </w:p>
    <w:p w14:paraId="25A85894" w14:textId="77777777" w:rsidR="007626FF" w:rsidRPr="00C63E24" w:rsidRDefault="007626FF" w:rsidP="009C1FF7">
      <w:pPr>
        <w:jc w:val="center"/>
        <w:rPr>
          <w:b/>
          <w:sz w:val="26"/>
          <w:szCs w:val="26"/>
          <w:lang w:val="uk-UA"/>
        </w:rPr>
      </w:pPr>
    </w:p>
    <w:p w14:paraId="465AF15E" w14:textId="220ECA92" w:rsidR="00EE0CF0" w:rsidRPr="00D720BD" w:rsidRDefault="00CC2006" w:rsidP="009C1FF7">
      <w:pPr>
        <w:shd w:val="clear" w:color="auto" w:fill="FFFFFF"/>
        <w:ind w:firstLine="720"/>
        <w:jc w:val="both"/>
        <w:rPr>
          <w:sz w:val="26"/>
          <w:szCs w:val="26"/>
          <w:lang w:val="uk-UA"/>
        </w:rPr>
      </w:pPr>
      <w:r w:rsidRPr="00C63E24">
        <w:rPr>
          <w:sz w:val="26"/>
          <w:szCs w:val="26"/>
          <w:lang w:val="uk-UA"/>
        </w:rPr>
        <w:t>Результатом прийняття про</w:t>
      </w:r>
      <w:r w:rsidR="007628C8" w:rsidRPr="00C63E24">
        <w:rPr>
          <w:sz w:val="26"/>
          <w:szCs w:val="26"/>
          <w:lang w:val="uk-UA"/>
        </w:rPr>
        <w:t>є</w:t>
      </w:r>
      <w:r w:rsidRPr="00C63E24">
        <w:rPr>
          <w:sz w:val="26"/>
          <w:szCs w:val="26"/>
          <w:lang w:val="uk-UA"/>
        </w:rPr>
        <w:t xml:space="preserve">кту постанови НКРЕКП </w:t>
      </w:r>
      <w:r w:rsidR="007626FF" w:rsidRPr="00C63E24">
        <w:rPr>
          <w:sz w:val="26"/>
          <w:szCs w:val="26"/>
          <w:lang w:val="uk-UA"/>
        </w:rPr>
        <w:t>«</w:t>
      </w:r>
      <w:r w:rsidR="00386349" w:rsidRPr="00C63E24">
        <w:rPr>
          <w:sz w:val="26"/>
          <w:szCs w:val="26"/>
          <w:lang w:val="uk-UA"/>
        </w:rPr>
        <w:t xml:space="preserve">Про затвердження </w:t>
      </w:r>
      <w:r w:rsidR="00E40EC5" w:rsidRPr="00E40EC5">
        <w:rPr>
          <w:sz w:val="26"/>
          <w:szCs w:val="26"/>
          <w:lang w:val="uk-UA"/>
        </w:rPr>
        <w:t>Змін до Методики обрахування плати за спільне використання технологічних електричних мереж</w:t>
      </w:r>
      <w:r w:rsidR="007626FF" w:rsidRPr="00C63E24">
        <w:rPr>
          <w:sz w:val="26"/>
          <w:szCs w:val="26"/>
          <w:lang w:val="uk-UA"/>
        </w:rPr>
        <w:t xml:space="preserve">» </w:t>
      </w:r>
      <w:bookmarkStart w:id="3" w:name="_Hlk82507523"/>
      <w:r w:rsidRPr="00D720BD">
        <w:rPr>
          <w:sz w:val="26"/>
          <w:szCs w:val="26"/>
          <w:lang w:val="uk-UA"/>
        </w:rPr>
        <w:t xml:space="preserve">є </w:t>
      </w:r>
      <w:bookmarkEnd w:id="3"/>
      <w:r w:rsidR="00D720BD" w:rsidRPr="00D720BD">
        <w:rPr>
          <w:sz w:val="26"/>
          <w:szCs w:val="26"/>
          <w:lang w:val="uk-UA"/>
        </w:rPr>
        <w:t xml:space="preserve">удосконалення </w:t>
      </w:r>
      <w:r w:rsidR="00A80487">
        <w:rPr>
          <w:sz w:val="26"/>
          <w:szCs w:val="26"/>
          <w:lang w:val="uk-UA"/>
        </w:rPr>
        <w:t xml:space="preserve">механізму </w:t>
      </w:r>
      <w:r w:rsidR="00D720BD" w:rsidRPr="00D720BD">
        <w:rPr>
          <w:sz w:val="26"/>
          <w:szCs w:val="26"/>
          <w:lang w:val="uk-UA"/>
        </w:rPr>
        <w:t xml:space="preserve">визначення об’єму технологічних електричних мереж спільного використання в умовних одиницях згідно з положеннями </w:t>
      </w:r>
      <w:r w:rsidR="00A35CD7">
        <w:rPr>
          <w:sz w:val="26"/>
          <w:szCs w:val="26"/>
          <w:lang w:val="uk-UA"/>
        </w:rPr>
        <w:t>Наказу № 100</w:t>
      </w:r>
      <w:r w:rsidR="00D720BD" w:rsidRPr="00D720BD">
        <w:rPr>
          <w:sz w:val="26"/>
          <w:szCs w:val="26"/>
          <w:lang w:val="uk-UA"/>
        </w:rPr>
        <w:t xml:space="preserve">, а також врахування особливості </w:t>
      </w:r>
      <w:proofErr w:type="spellStart"/>
      <w:r w:rsidR="00D720BD" w:rsidRPr="00D720BD">
        <w:rPr>
          <w:sz w:val="26"/>
          <w:szCs w:val="26"/>
          <w:lang w:val="uk-UA"/>
        </w:rPr>
        <w:t>тарифоутворення</w:t>
      </w:r>
      <w:proofErr w:type="spellEnd"/>
      <w:r w:rsidR="00D720BD" w:rsidRPr="00D720BD">
        <w:rPr>
          <w:sz w:val="26"/>
          <w:szCs w:val="26"/>
          <w:lang w:val="uk-UA"/>
        </w:rPr>
        <w:t xml:space="preserve"> операторів систем розподілу, які перейшли на стимулююче регулювання, при визначенні граничних рівнів витрат за об'ємом умовних одиниць</w:t>
      </w:r>
      <w:r w:rsidR="00EE0CF0" w:rsidRPr="00D720BD">
        <w:rPr>
          <w:sz w:val="26"/>
          <w:szCs w:val="26"/>
          <w:lang w:val="uk-UA"/>
        </w:rPr>
        <w:t>.</w:t>
      </w:r>
    </w:p>
    <w:p w14:paraId="29EA878E" w14:textId="77777777" w:rsidR="00EE0CF0" w:rsidRPr="00D720BD" w:rsidRDefault="00B51B93" w:rsidP="00734069">
      <w:pPr>
        <w:pStyle w:val="rvps2"/>
        <w:spacing w:before="0" w:beforeAutospacing="0" w:after="0" w:afterAutospacing="0"/>
        <w:ind w:firstLine="708"/>
        <w:jc w:val="both"/>
        <w:rPr>
          <w:sz w:val="26"/>
          <w:szCs w:val="26"/>
        </w:rPr>
      </w:pPr>
      <w:r w:rsidRPr="00D720BD">
        <w:rPr>
          <w:sz w:val="26"/>
          <w:szCs w:val="26"/>
        </w:rPr>
        <w:t xml:space="preserve"> </w:t>
      </w:r>
    </w:p>
    <w:p w14:paraId="255F1559" w14:textId="77777777" w:rsidR="00E95445" w:rsidRPr="00C63E24" w:rsidRDefault="00E95445" w:rsidP="009C1FF7">
      <w:pPr>
        <w:ind w:firstLine="709"/>
        <w:jc w:val="both"/>
        <w:rPr>
          <w:sz w:val="26"/>
          <w:szCs w:val="26"/>
          <w:lang w:val="uk-UA"/>
        </w:rPr>
      </w:pPr>
    </w:p>
    <w:p w14:paraId="4BC2CB1A" w14:textId="77777777" w:rsidR="003E6D2F" w:rsidRPr="00C63E24" w:rsidRDefault="003E6D2F" w:rsidP="009C1FF7">
      <w:pPr>
        <w:jc w:val="both"/>
        <w:rPr>
          <w:sz w:val="26"/>
          <w:szCs w:val="26"/>
          <w:lang w:val="uk-UA"/>
        </w:rPr>
      </w:pPr>
      <w:r w:rsidRPr="00C63E24">
        <w:rPr>
          <w:b/>
          <w:sz w:val="26"/>
          <w:szCs w:val="26"/>
          <w:lang w:val="uk-UA"/>
        </w:rPr>
        <w:t>Голов</w:t>
      </w:r>
      <w:r w:rsidR="00461DF2" w:rsidRPr="00C63E24">
        <w:rPr>
          <w:b/>
          <w:sz w:val="26"/>
          <w:szCs w:val="26"/>
          <w:lang w:val="uk-UA"/>
        </w:rPr>
        <w:t>а</w:t>
      </w:r>
      <w:r w:rsidRPr="00C63E24">
        <w:rPr>
          <w:b/>
          <w:sz w:val="26"/>
          <w:szCs w:val="26"/>
          <w:lang w:val="uk-UA"/>
        </w:rPr>
        <w:t xml:space="preserve"> НКРЕКП</w:t>
      </w:r>
      <w:r w:rsidRPr="00C63E24">
        <w:rPr>
          <w:b/>
          <w:sz w:val="26"/>
          <w:szCs w:val="26"/>
          <w:lang w:val="uk-UA"/>
        </w:rPr>
        <w:tab/>
      </w:r>
      <w:r w:rsidRPr="00C63E24">
        <w:rPr>
          <w:b/>
          <w:sz w:val="26"/>
          <w:szCs w:val="26"/>
          <w:lang w:val="uk-UA"/>
        </w:rPr>
        <w:tab/>
      </w:r>
      <w:r w:rsidRPr="00C63E24">
        <w:rPr>
          <w:b/>
          <w:sz w:val="26"/>
          <w:szCs w:val="26"/>
          <w:lang w:val="uk-UA"/>
        </w:rPr>
        <w:tab/>
      </w:r>
      <w:r w:rsidR="00B82691" w:rsidRPr="00C63E24">
        <w:rPr>
          <w:b/>
          <w:sz w:val="26"/>
          <w:szCs w:val="26"/>
          <w:lang w:val="uk-UA"/>
        </w:rPr>
        <w:t xml:space="preserve">                 </w:t>
      </w:r>
      <w:r w:rsidR="00AA4329" w:rsidRPr="00C63E24">
        <w:rPr>
          <w:b/>
          <w:sz w:val="26"/>
          <w:szCs w:val="26"/>
          <w:lang w:val="uk-UA"/>
        </w:rPr>
        <w:t xml:space="preserve">            </w:t>
      </w:r>
      <w:r w:rsidR="00544D51" w:rsidRPr="00C63E24">
        <w:rPr>
          <w:b/>
          <w:sz w:val="26"/>
          <w:szCs w:val="26"/>
          <w:lang w:val="uk-UA"/>
        </w:rPr>
        <w:t xml:space="preserve">                   </w:t>
      </w:r>
      <w:r w:rsidR="00AA4329" w:rsidRPr="00C63E24">
        <w:rPr>
          <w:b/>
          <w:sz w:val="26"/>
          <w:szCs w:val="26"/>
          <w:lang w:val="uk-UA"/>
        </w:rPr>
        <w:t xml:space="preserve">  </w:t>
      </w:r>
      <w:r w:rsidR="00F479A7">
        <w:rPr>
          <w:b/>
          <w:sz w:val="26"/>
          <w:szCs w:val="26"/>
          <w:shd w:val="clear" w:color="auto" w:fill="FFFFFF"/>
          <w:lang w:val="uk-UA"/>
        </w:rPr>
        <w:t>Юрій</w:t>
      </w:r>
      <w:r w:rsidR="00AA4329" w:rsidRPr="00C63E24">
        <w:rPr>
          <w:b/>
          <w:sz w:val="26"/>
          <w:szCs w:val="26"/>
          <w:shd w:val="clear" w:color="auto" w:fill="FFFFFF"/>
          <w:lang w:val="uk-UA"/>
        </w:rPr>
        <w:t xml:space="preserve"> </w:t>
      </w:r>
      <w:r w:rsidR="00F479A7">
        <w:rPr>
          <w:b/>
          <w:sz w:val="26"/>
          <w:szCs w:val="26"/>
          <w:shd w:val="clear" w:color="auto" w:fill="FFFFFF"/>
          <w:lang w:val="uk-UA"/>
        </w:rPr>
        <w:t>ВЛАСЕНКО</w:t>
      </w:r>
    </w:p>
    <w:p w14:paraId="0AF68123" w14:textId="77777777" w:rsidR="00734069" w:rsidRPr="00C63E24" w:rsidRDefault="00734069" w:rsidP="009C1FF7">
      <w:pPr>
        <w:ind w:firstLine="720"/>
        <w:jc w:val="both"/>
        <w:rPr>
          <w:sz w:val="26"/>
          <w:szCs w:val="26"/>
          <w:u w:val="single"/>
          <w:lang w:val="uk-UA"/>
        </w:rPr>
      </w:pPr>
    </w:p>
    <w:p w14:paraId="2DC4C347" w14:textId="77777777" w:rsidR="00734069" w:rsidRPr="00C63E24" w:rsidRDefault="00734069" w:rsidP="009C1FF7">
      <w:pPr>
        <w:ind w:firstLine="720"/>
        <w:jc w:val="both"/>
        <w:rPr>
          <w:sz w:val="26"/>
          <w:szCs w:val="26"/>
          <w:u w:val="single"/>
          <w:lang w:val="uk-UA"/>
        </w:rPr>
      </w:pPr>
    </w:p>
    <w:p w14:paraId="70845108" w14:textId="77777777" w:rsidR="00734069" w:rsidRPr="00C63E24" w:rsidRDefault="00734069" w:rsidP="009C1FF7">
      <w:pPr>
        <w:ind w:firstLine="720"/>
        <w:jc w:val="both"/>
        <w:rPr>
          <w:sz w:val="26"/>
          <w:szCs w:val="26"/>
          <w:u w:val="single"/>
          <w:lang w:val="uk-UA"/>
        </w:rPr>
      </w:pPr>
    </w:p>
    <w:p w14:paraId="1F25A2BC" w14:textId="4286EDDD" w:rsidR="00E057A6" w:rsidRPr="00116451" w:rsidRDefault="00455503" w:rsidP="009C1FF7">
      <w:pPr>
        <w:ind w:firstLine="720"/>
        <w:jc w:val="both"/>
        <w:rPr>
          <w:sz w:val="26"/>
          <w:szCs w:val="26"/>
          <w:u w:val="single"/>
          <w:lang w:val="uk-UA"/>
        </w:rPr>
      </w:pPr>
      <w:r w:rsidRPr="00116451">
        <w:rPr>
          <w:sz w:val="26"/>
          <w:szCs w:val="26"/>
          <w:u w:val="single"/>
          <w:lang w:val="uk-UA"/>
        </w:rPr>
        <w:t>«</w:t>
      </w:r>
      <w:r w:rsidR="000D3BDF" w:rsidRPr="00116451">
        <w:rPr>
          <w:sz w:val="26"/>
          <w:szCs w:val="26"/>
          <w:u w:val="single"/>
          <w:lang w:val="uk-UA"/>
        </w:rPr>
        <w:t xml:space="preserve"> </w:t>
      </w:r>
      <w:r w:rsidR="00116451">
        <w:rPr>
          <w:sz w:val="26"/>
          <w:szCs w:val="26"/>
          <w:u w:val="single"/>
          <w:lang w:val="uk-UA"/>
        </w:rPr>
        <w:t xml:space="preserve">     </w:t>
      </w:r>
      <w:r w:rsidR="000D3BDF" w:rsidRPr="00116451">
        <w:rPr>
          <w:sz w:val="26"/>
          <w:szCs w:val="26"/>
          <w:u w:val="single"/>
          <w:lang w:val="uk-UA"/>
        </w:rPr>
        <w:t xml:space="preserve"> </w:t>
      </w:r>
      <w:r w:rsidRPr="00116451">
        <w:rPr>
          <w:sz w:val="26"/>
          <w:szCs w:val="26"/>
          <w:u w:val="single"/>
          <w:lang w:val="uk-UA"/>
        </w:rPr>
        <w:t>»</w:t>
      </w:r>
      <w:r w:rsidR="00DF57D0" w:rsidRPr="00116451">
        <w:rPr>
          <w:sz w:val="26"/>
          <w:szCs w:val="26"/>
          <w:u w:val="single"/>
          <w:lang w:val="uk-UA"/>
        </w:rPr>
        <w:t xml:space="preserve"> </w:t>
      </w:r>
      <w:r w:rsidR="00AA4329" w:rsidRPr="00116451">
        <w:rPr>
          <w:sz w:val="26"/>
          <w:szCs w:val="26"/>
          <w:u w:val="single"/>
          <w:lang w:val="uk-UA"/>
        </w:rPr>
        <w:t xml:space="preserve"> </w:t>
      </w:r>
      <w:r w:rsidR="00116451" w:rsidRPr="00116451">
        <w:rPr>
          <w:sz w:val="26"/>
          <w:szCs w:val="26"/>
          <w:u w:val="single"/>
          <w:lang w:val="uk-UA"/>
        </w:rPr>
        <w:t>серпня</w:t>
      </w:r>
      <w:r w:rsidR="002E5A64" w:rsidRPr="00116451">
        <w:rPr>
          <w:sz w:val="26"/>
          <w:szCs w:val="26"/>
          <w:u w:val="single"/>
          <w:lang w:val="uk-UA"/>
        </w:rPr>
        <w:t xml:space="preserve"> </w:t>
      </w:r>
      <w:r w:rsidR="003E6D2F" w:rsidRPr="00116451">
        <w:rPr>
          <w:sz w:val="26"/>
          <w:szCs w:val="26"/>
          <w:u w:val="single"/>
          <w:lang w:val="uk-UA"/>
        </w:rPr>
        <w:t xml:space="preserve"> 20</w:t>
      </w:r>
      <w:r w:rsidR="00E54061" w:rsidRPr="00116451">
        <w:rPr>
          <w:sz w:val="26"/>
          <w:szCs w:val="26"/>
          <w:u w:val="single"/>
          <w:lang w:val="uk-UA"/>
        </w:rPr>
        <w:t>2</w:t>
      </w:r>
      <w:r w:rsidR="00116451" w:rsidRPr="00116451">
        <w:rPr>
          <w:sz w:val="26"/>
          <w:szCs w:val="26"/>
          <w:u w:val="single"/>
          <w:lang w:val="uk-UA"/>
        </w:rPr>
        <w:t>5</w:t>
      </w:r>
      <w:r w:rsidR="003E6D2F" w:rsidRPr="00116451">
        <w:rPr>
          <w:sz w:val="26"/>
          <w:szCs w:val="26"/>
          <w:u w:val="single"/>
          <w:lang w:val="uk-UA"/>
        </w:rPr>
        <w:t xml:space="preserve"> р.</w:t>
      </w:r>
    </w:p>
    <w:sectPr w:rsidR="00E057A6" w:rsidRPr="00116451" w:rsidSect="00734069">
      <w:headerReference w:type="default" r:id="rId9"/>
      <w:pgSz w:w="11906" w:h="16838" w:code="9"/>
      <w:pgMar w:top="426"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E7927" w14:textId="77777777" w:rsidR="009040D4" w:rsidRDefault="009040D4">
      <w:r>
        <w:separator/>
      </w:r>
    </w:p>
  </w:endnote>
  <w:endnote w:type="continuationSeparator" w:id="0">
    <w:p w14:paraId="4BBB4D3A" w14:textId="77777777" w:rsidR="009040D4" w:rsidRDefault="0090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97244" w14:textId="77777777" w:rsidR="009040D4" w:rsidRDefault="009040D4">
      <w:r>
        <w:separator/>
      </w:r>
    </w:p>
  </w:footnote>
  <w:footnote w:type="continuationSeparator" w:id="0">
    <w:p w14:paraId="1C28CC4C" w14:textId="77777777" w:rsidR="009040D4" w:rsidRDefault="00904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200CF" w14:textId="77777777" w:rsidR="007028BF" w:rsidRDefault="007028BF" w:rsidP="009149DB">
    <w:pPr>
      <w:pStyle w:val="a7"/>
      <w:jc w:val="center"/>
    </w:pPr>
    <w:r>
      <w:rPr>
        <w:rStyle w:val="a9"/>
      </w:rPr>
      <w:fldChar w:fldCharType="begin"/>
    </w:r>
    <w:r>
      <w:rPr>
        <w:rStyle w:val="a9"/>
      </w:rPr>
      <w:instrText xml:space="preserve"> PAGE </w:instrText>
    </w:r>
    <w:r>
      <w:rPr>
        <w:rStyle w:val="a9"/>
      </w:rPr>
      <w:fldChar w:fldCharType="separate"/>
    </w:r>
    <w:r w:rsidR="009C1FF7">
      <w:rPr>
        <w:rStyle w:val="a9"/>
        <w:noProof/>
      </w:rPr>
      <w:t>6</w:t>
    </w:r>
    <w:r>
      <w:rPr>
        <w:rStyle w:val="a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595210080">
    <w:abstractNumId w:val="3"/>
  </w:num>
  <w:num w:numId="2" w16cid:durableId="1151747766">
    <w:abstractNumId w:val="1"/>
  </w:num>
  <w:num w:numId="3" w16cid:durableId="6445788">
    <w:abstractNumId w:val="0"/>
  </w:num>
  <w:num w:numId="4" w16cid:durableId="20861458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AE"/>
    <w:rsid w:val="00000F3D"/>
    <w:rsid w:val="00004EF5"/>
    <w:rsid w:val="0001047A"/>
    <w:rsid w:val="000213B0"/>
    <w:rsid w:val="000247DD"/>
    <w:rsid w:val="000362F3"/>
    <w:rsid w:val="000378B9"/>
    <w:rsid w:val="00037943"/>
    <w:rsid w:val="00043C8E"/>
    <w:rsid w:val="00046C55"/>
    <w:rsid w:val="00062C48"/>
    <w:rsid w:val="00066578"/>
    <w:rsid w:val="000677E4"/>
    <w:rsid w:val="0007200E"/>
    <w:rsid w:val="000738CF"/>
    <w:rsid w:val="0007611E"/>
    <w:rsid w:val="0007672A"/>
    <w:rsid w:val="000861C8"/>
    <w:rsid w:val="0009698F"/>
    <w:rsid w:val="00096D49"/>
    <w:rsid w:val="000A0153"/>
    <w:rsid w:val="000A79FF"/>
    <w:rsid w:val="000C1CFA"/>
    <w:rsid w:val="000C4F37"/>
    <w:rsid w:val="000D3BDF"/>
    <w:rsid w:val="000D45B0"/>
    <w:rsid w:val="000D6B36"/>
    <w:rsid w:val="000E3E3E"/>
    <w:rsid w:val="000E78E5"/>
    <w:rsid w:val="000F7FF4"/>
    <w:rsid w:val="00105307"/>
    <w:rsid w:val="00105E0C"/>
    <w:rsid w:val="00115C89"/>
    <w:rsid w:val="00116451"/>
    <w:rsid w:val="00116BA6"/>
    <w:rsid w:val="0012166E"/>
    <w:rsid w:val="00127472"/>
    <w:rsid w:val="00131482"/>
    <w:rsid w:val="001528EE"/>
    <w:rsid w:val="00156D6D"/>
    <w:rsid w:val="00161F39"/>
    <w:rsid w:val="00176290"/>
    <w:rsid w:val="00181D4E"/>
    <w:rsid w:val="0018292F"/>
    <w:rsid w:val="00182EFD"/>
    <w:rsid w:val="001845DA"/>
    <w:rsid w:val="00187DEC"/>
    <w:rsid w:val="00191B0D"/>
    <w:rsid w:val="001B0B34"/>
    <w:rsid w:val="001B34DB"/>
    <w:rsid w:val="001C1AF4"/>
    <w:rsid w:val="001C5DED"/>
    <w:rsid w:val="001C6DC1"/>
    <w:rsid w:val="001D103A"/>
    <w:rsid w:val="001E340A"/>
    <w:rsid w:val="001F27E5"/>
    <w:rsid w:val="001F63BD"/>
    <w:rsid w:val="0020198A"/>
    <w:rsid w:val="0021515C"/>
    <w:rsid w:val="002154B2"/>
    <w:rsid w:val="0021679C"/>
    <w:rsid w:val="002317A6"/>
    <w:rsid w:val="00234CD6"/>
    <w:rsid w:val="0023524A"/>
    <w:rsid w:val="00250953"/>
    <w:rsid w:val="002626B7"/>
    <w:rsid w:val="0026711D"/>
    <w:rsid w:val="00276984"/>
    <w:rsid w:val="00281725"/>
    <w:rsid w:val="00283A88"/>
    <w:rsid w:val="0028474F"/>
    <w:rsid w:val="0028536B"/>
    <w:rsid w:val="002853F5"/>
    <w:rsid w:val="002864B6"/>
    <w:rsid w:val="00291610"/>
    <w:rsid w:val="00292F23"/>
    <w:rsid w:val="002948A9"/>
    <w:rsid w:val="00295F69"/>
    <w:rsid w:val="002A7652"/>
    <w:rsid w:val="002B0F8A"/>
    <w:rsid w:val="002B2EDD"/>
    <w:rsid w:val="002C03C8"/>
    <w:rsid w:val="002C0905"/>
    <w:rsid w:val="002C7E95"/>
    <w:rsid w:val="002D34BB"/>
    <w:rsid w:val="002D7DCB"/>
    <w:rsid w:val="002E5A64"/>
    <w:rsid w:val="002E6882"/>
    <w:rsid w:val="002E7030"/>
    <w:rsid w:val="002F12F6"/>
    <w:rsid w:val="00300E64"/>
    <w:rsid w:val="00301A93"/>
    <w:rsid w:val="00302641"/>
    <w:rsid w:val="00302E83"/>
    <w:rsid w:val="0031301C"/>
    <w:rsid w:val="00313BD9"/>
    <w:rsid w:val="003163AC"/>
    <w:rsid w:val="00320ED9"/>
    <w:rsid w:val="00321920"/>
    <w:rsid w:val="00330363"/>
    <w:rsid w:val="00335777"/>
    <w:rsid w:val="00335AFC"/>
    <w:rsid w:val="00341A47"/>
    <w:rsid w:val="003506BA"/>
    <w:rsid w:val="00356F5E"/>
    <w:rsid w:val="00381709"/>
    <w:rsid w:val="00383347"/>
    <w:rsid w:val="00386349"/>
    <w:rsid w:val="00387BB7"/>
    <w:rsid w:val="0039071F"/>
    <w:rsid w:val="003B5723"/>
    <w:rsid w:val="003C1E67"/>
    <w:rsid w:val="003C3D28"/>
    <w:rsid w:val="003D13E9"/>
    <w:rsid w:val="003D6A80"/>
    <w:rsid w:val="003D70BF"/>
    <w:rsid w:val="003E378D"/>
    <w:rsid w:val="003E6D2F"/>
    <w:rsid w:val="003F2068"/>
    <w:rsid w:val="0040061C"/>
    <w:rsid w:val="00400DDD"/>
    <w:rsid w:val="00402979"/>
    <w:rsid w:val="00405B08"/>
    <w:rsid w:val="00420301"/>
    <w:rsid w:val="00424B1B"/>
    <w:rsid w:val="0042553C"/>
    <w:rsid w:val="00427DA8"/>
    <w:rsid w:val="00433350"/>
    <w:rsid w:val="00434CA5"/>
    <w:rsid w:val="004362A8"/>
    <w:rsid w:val="00437919"/>
    <w:rsid w:val="004414E5"/>
    <w:rsid w:val="00445D49"/>
    <w:rsid w:val="00447909"/>
    <w:rsid w:val="00455503"/>
    <w:rsid w:val="004559E4"/>
    <w:rsid w:val="00461DF2"/>
    <w:rsid w:val="004720DD"/>
    <w:rsid w:val="00473027"/>
    <w:rsid w:val="00480815"/>
    <w:rsid w:val="004B3043"/>
    <w:rsid w:val="004B343D"/>
    <w:rsid w:val="004B7846"/>
    <w:rsid w:val="004C0CF6"/>
    <w:rsid w:val="004D2C9D"/>
    <w:rsid w:val="004E47B4"/>
    <w:rsid w:val="004E5048"/>
    <w:rsid w:val="004F34E7"/>
    <w:rsid w:val="00544D51"/>
    <w:rsid w:val="00546F41"/>
    <w:rsid w:val="00554D76"/>
    <w:rsid w:val="00561268"/>
    <w:rsid w:val="00567254"/>
    <w:rsid w:val="0059277B"/>
    <w:rsid w:val="005A08AE"/>
    <w:rsid w:val="005A7862"/>
    <w:rsid w:val="005B08B7"/>
    <w:rsid w:val="005B36FC"/>
    <w:rsid w:val="005D3B10"/>
    <w:rsid w:val="005D6D50"/>
    <w:rsid w:val="005E64AE"/>
    <w:rsid w:val="005F3760"/>
    <w:rsid w:val="006002EE"/>
    <w:rsid w:val="00605B30"/>
    <w:rsid w:val="00606B4B"/>
    <w:rsid w:val="006136A0"/>
    <w:rsid w:val="00625FA2"/>
    <w:rsid w:val="00626967"/>
    <w:rsid w:val="00626B70"/>
    <w:rsid w:val="006320A8"/>
    <w:rsid w:val="00633DCD"/>
    <w:rsid w:val="00635742"/>
    <w:rsid w:val="00636E5D"/>
    <w:rsid w:val="00651390"/>
    <w:rsid w:val="006521CA"/>
    <w:rsid w:val="00655B7C"/>
    <w:rsid w:val="006571BA"/>
    <w:rsid w:val="0066598A"/>
    <w:rsid w:val="0066606E"/>
    <w:rsid w:val="00670D55"/>
    <w:rsid w:val="00670DCE"/>
    <w:rsid w:val="00674E41"/>
    <w:rsid w:val="00677F94"/>
    <w:rsid w:val="00680CAF"/>
    <w:rsid w:val="00685A16"/>
    <w:rsid w:val="00690508"/>
    <w:rsid w:val="00692E62"/>
    <w:rsid w:val="0069499D"/>
    <w:rsid w:val="006A5670"/>
    <w:rsid w:val="006B3402"/>
    <w:rsid w:val="006C1A01"/>
    <w:rsid w:val="006C3A22"/>
    <w:rsid w:val="006D48FF"/>
    <w:rsid w:val="006D7ACD"/>
    <w:rsid w:val="006E3A46"/>
    <w:rsid w:val="006E5C38"/>
    <w:rsid w:val="006E650E"/>
    <w:rsid w:val="006E7534"/>
    <w:rsid w:val="007028BF"/>
    <w:rsid w:val="007123E1"/>
    <w:rsid w:val="00722E54"/>
    <w:rsid w:val="00731B9E"/>
    <w:rsid w:val="00734069"/>
    <w:rsid w:val="00734F47"/>
    <w:rsid w:val="00737CDE"/>
    <w:rsid w:val="00744705"/>
    <w:rsid w:val="007479F5"/>
    <w:rsid w:val="00752915"/>
    <w:rsid w:val="00754BCE"/>
    <w:rsid w:val="007604F7"/>
    <w:rsid w:val="007626FF"/>
    <w:rsid w:val="007628C8"/>
    <w:rsid w:val="00763FF0"/>
    <w:rsid w:val="00766596"/>
    <w:rsid w:val="007735F9"/>
    <w:rsid w:val="0077582C"/>
    <w:rsid w:val="007805AB"/>
    <w:rsid w:val="007842C3"/>
    <w:rsid w:val="00786EFF"/>
    <w:rsid w:val="0079503B"/>
    <w:rsid w:val="00796E5C"/>
    <w:rsid w:val="007B2FB4"/>
    <w:rsid w:val="007B771E"/>
    <w:rsid w:val="007C0141"/>
    <w:rsid w:val="007D149D"/>
    <w:rsid w:val="007D1C95"/>
    <w:rsid w:val="007D7441"/>
    <w:rsid w:val="007D7F96"/>
    <w:rsid w:val="007E750F"/>
    <w:rsid w:val="007E7EA9"/>
    <w:rsid w:val="007F0235"/>
    <w:rsid w:val="007F3BF1"/>
    <w:rsid w:val="00811AE7"/>
    <w:rsid w:val="008319C6"/>
    <w:rsid w:val="0083466B"/>
    <w:rsid w:val="00843EFB"/>
    <w:rsid w:val="0085193E"/>
    <w:rsid w:val="00852D39"/>
    <w:rsid w:val="008575B6"/>
    <w:rsid w:val="00857ED1"/>
    <w:rsid w:val="008640C2"/>
    <w:rsid w:val="00864240"/>
    <w:rsid w:val="008751A2"/>
    <w:rsid w:val="00876BD7"/>
    <w:rsid w:val="00881D67"/>
    <w:rsid w:val="0088768E"/>
    <w:rsid w:val="0089592B"/>
    <w:rsid w:val="00896EE7"/>
    <w:rsid w:val="008B3BBC"/>
    <w:rsid w:val="008C05CC"/>
    <w:rsid w:val="008C6EF2"/>
    <w:rsid w:val="008D4DE8"/>
    <w:rsid w:val="008E0FA3"/>
    <w:rsid w:val="008F3973"/>
    <w:rsid w:val="008F4432"/>
    <w:rsid w:val="008F65A2"/>
    <w:rsid w:val="008F65C6"/>
    <w:rsid w:val="00901DFB"/>
    <w:rsid w:val="009040D4"/>
    <w:rsid w:val="009149DB"/>
    <w:rsid w:val="00914C8A"/>
    <w:rsid w:val="0093256F"/>
    <w:rsid w:val="00932F03"/>
    <w:rsid w:val="00942D5F"/>
    <w:rsid w:val="0094479C"/>
    <w:rsid w:val="00962C19"/>
    <w:rsid w:val="00963B75"/>
    <w:rsid w:val="00967DEC"/>
    <w:rsid w:val="0097791F"/>
    <w:rsid w:val="00980923"/>
    <w:rsid w:val="00997317"/>
    <w:rsid w:val="009B2078"/>
    <w:rsid w:val="009C0B2B"/>
    <w:rsid w:val="009C1FF7"/>
    <w:rsid w:val="009C75A9"/>
    <w:rsid w:val="009D202A"/>
    <w:rsid w:val="009D3D2B"/>
    <w:rsid w:val="009D5BB1"/>
    <w:rsid w:val="009D650A"/>
    <w:rsid w:val="009E60E4"/>
    <w:rsid w:val="00A03C34"/>
    <w:rsid w:val="00A14CF1"/>
    <w:rsid w:val="00A15040"/>
    <w:rsid w:val="00A15942"/>
    <w:rsid w:val="00A21741"/>
    <w:rsid w:val="00A23C5B"/>
    <w:rsid w:val="00A35CD7"/>
    <w:rsid w:val="00A51193"/>
    <w:rsid w:val="00A5328B"/>
    <w:rsid w:val="00A535A8"/>
    <w:rsid w:val="00A53BFC"/>
    <w:rsid w:val="00A55F47"/>
    <w:rsid w:val="00A673AC"/>
    <w:rsid w:val="00A736C7"/>
    <w:rsid w:val="00A76177"/>
    <w:rsid w:val="00A80487"/>
    <w:rsid w:val="00A84EF6"/>
    <w:rsid w:val="00A91575"/>
    <w:rsid w:val="00A94FFC"/>
    <w:rsid w:val="00A95B8B"/>
    <w:rsid w:val="00AA0764"/>
    <w:rsid w:val="00AA2D8B"/>
    <w:rsid w:val="00AA4329"/>
    <w:rsid w:val="00AA640E"/>
    <w:rsid w:val="00AC2793"/>
    <w:rsid w:val="00AC73CD"/>
    <w:rsid w:val="00AD0453"/>
    <w:rsid w:val="00AD1736"/>
    <w:rsid w:val="00AD24B4"/>
    <w:rsid w:val="00AD33D3"/>
    <w:rsid w:val="00AE4E72"/>
    <w:rsid w:val="00AE5E9D"/>
    <w:rsid w:val="00AF53C1"/>
    <w:rsid w:val="00AF56DB"/>
    <w:rsid w:val="00B1639E"/>
    <w:rsid w:val="00B23CC3"/>
    <w:rsid w:val="00B32437"/>
    <w:rsid w:val="00B4039E"/>
    <w:rsid w:val="00B41D9F"/>
    <w:rsid w:val="00B51B93"/>
    <w:rsid w:val="00B52B48"/>
    <w:rsid w:val="00B62E8F"/>
    <w:rsid w:val="00B64D9A"/>
    <w:rsid w:val="00B7334A"/>
    <w:rsid w:val="00B739AD"/>
    <w:rsid w:val="00B82691"/>
    <w:rsid w:val="00B84143"/>
    <w:rsid w:val="00B84579"/>
    <w:rsid w:val="00B86EF6"/>
    <w:rsid w:val="00B928C1"/>
    <w:rsid w:val="00BA3DF3"/>
    <w:rsid w:val="00BB0C72"/>
    <w:rsid w:val="00BC053E"/>
    <w:rsid w:val="00BC1902"/>
    <w:rsid w:val="00BC5A2F"/>
    <w:rsid w:val="00BC7215"/>
    <w:rsid w:val="00BD5778"/>
    <w:rsid w:val="00BE286D"/>
    <w:rsid w:val="00BF59B1"/>
    <w:rsid w:val="00BF75C3"/>
    <w:rsid w:val="00C02402"/>
    <w:rsid w:val="00C03380"/>
    <w:rsid w:val="00C21E36"/>
    <w:rsid w:val="00C24CF9"/>
    <w:rsid w:val="00C334A6"/>
    <w:rsid w:val="00C35BEC"/>
    <w:rsid w:val="00C422EA"/>
    <w:rsid w:val="00C51199"/>
    <w:rsid w:val="00C6282E"/>
    <w:rsid w:val="00C63E24"/>
    <w:rsid w:val="00C8128C"/>
    <w:rsid w:val="00C86E09"/>
    <w:rsid w:val="00C87663"/>
    <w:rsid w:val="00C918F0"/>
    <w:rsid w:val="00C962D1"/>
    <w:rsid w:val="00C97BFA"/>
    <w:rsid w:val="00CA10D1"/>
    <w:rsid w:val="00CA5308"/>
    <w:rsid w:val="00CA5B01"/>
    <w:rsid w:val="00CB22DC"/>
    <w:rsid w:val="00CB351C"/>
    <w:rsid w:val="00CB4735"/>
    <w:rsid w:val="00CC2006"/>
    <w:rsid w:val="00CD04C1"/>
    <w:rsid w:val="00CE0DE8"/>
    <w:rsid w:val="00D053DC"/>
    <w:rsid w:val="00D10DC2"/>
    <w:rsid w:val="00D20A10"/>
    <w:rsid w:val="00D22881"/>
    <w:rsid w:val="00D31715"/>
    <w:rsid w:val="00D348E6"/>
    <w:rsid w:val="00D51957"/>
    <w:rsid w:val="00D60095"/>
    <w:rsid w:val="00D660EF"/>
    <w:rsid w:val="00D70231"/>
    <w:rsid w:val="00D720BD"/>
    <w:rsid w:val="00D73C31"/>
    <w:rsid w:val="00D87875"/>
    <w:rsid w:val="00D94289"/>
    <w:rsid w:val="00D95CFD"/>
    <w:rsid w:val="00D977A1"/>
    <w:rsid w:val="00DA0283"/>
    <w:rsid w:val="00DA479A"/>
    <w:rsid w:val="00DA47E3"/>
    <w:rsid w:val="00DA6D2B"/>
    <w:rsid w:val="00DA7F50"/>
    <w:rsid w:val="00DD28D3"/>
    <w:rsid w:val="00DD7FDF"/>
    <w:rsid w:val="00DF57D0"/>
    <w:rsid w:val="00E0302F"/>
    <w:rsid w:val="00E057A6"/>
    <w:rsid w:val="00E20EAD"/>
    <w:rsid w:val="00E26FFC"/>
    <w:rsid w:val="00E3338B"/>
    <w:rsid w:val="00E346C2"/>
    <w:rsid w:val="00E34FF0"/>
    <w:rsid w:val="00E36378"/>
    <w:rsid w:val="00E402AC"/>
    <w:rsid w:val="00E40EC5"/>
    <w:rsid w:val="00E436FE"/>
    <w:rsid w:val="00E46533"/>
    <w:rsid w:val="00E50E1C"/>
    <w:rsid w:val="00E51449"/>
    <w:rsid w:val="00E54061"/>
    <w:rsid w:val="00E56F07"/>
    <w:rsid w:val="00E71CB2"/>
    <w:rsid w:val="00E8116E"/>
    <w:rsid w:val="00E853A2"/>
    <w:rsid w:val="00E93947"/>
    <w:rsid w:val="00E946A2"/>
    <w:rsid w:val="00E95445"/>
    <w:rsid w:val="00E969B9"/>
    <w:rsid w:val="00EA4B0F"/>
    <w:rsid w:val="00EB5A07"/>
    <w:rsid w:val="00EB6BA0"/>
    <w:rsid w:val="00EC0CCB"/>
    <w:rsid w:val="00EC458D"/>
    <w:rsid w:val="00EE063F"/>
    <w:rsid w:val="00EE0CF0"/>
    <w:rsid w:val="00EE2691"/>
    <w:rsid w:val="00F0240C"/>
    <w:rsid w:val="00F03495"/>
    <w:rsid w:val="00F10853"/>
    <w:rsid w:val="00F150C4"/>
    <w:rsid w:val="00F16A5F"/>
    <w:rsid w:val="00F20834"/>
    <w:rsid w:val="00F22DCB"/>
    <w:rsid w:val="00F2491D"/>
    <w:rsid w:val="00F3159C"/>
    <w:rsid w:val="00F356EC"/>
    <w:rsid w:val="00F479A7"/>
    <w:rsid w:val="00F535AC"/>
    <w:rsid w:val="00F55CC9"/>
    <w:rsid w:val="00F64254"/>
    <w:rsid w:val="00F66893"/>
    <w:rsid w:val="00F66C4E"/>
    <w:rsid w:val="00F7108D"/>
    <w:rsid w:val="00F76067"/>
    <w:rsid w:val="00F77161"/>
    <w:rsid w:val="00F805A2"/>
    <w:rsid w:val="00F83687"/>
    <w:rsid w:val="00F96CCC"/>
    <w:rsid w:val="00FA56FC"/>
    <w:rsid w:val="00FA7E6D"/>
    <w:rsid w:val="00FA7F25"/>
    <w:rsid w:val="00FB5B61"/>
    <w:rsid w:val="00FB7DA7"/>
    <w:rsid w:val="00FD037D"/>
    <w:rsid w:val="00FD097E"/>
    <w:rsid w:val="00FD118D"/>
    <w:rsid w:val="00FD48FD"/>
    <w:rsid w:val="00FE2C3B"/>
    <w:rsid w:val="00FF0984"/>
    <w:rsid w:val="00FF6F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EDC65"/>
  <w15:chartTrackingRefBased/>
  <w15:docId w15:val="{B7850089-C3B9-49A4-91CE-5785ED84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5DED"/>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6">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a3"/>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7">
    <w:name w:val="header"/>
    <w:basedOn w:val="a"/>
    <w:rsid w:val="009149DB"/>
    <w:pPr>
      <w:tabs>
        <w:tab w:val="center" w:pos="4677"/>
        <w:tab w:val="right" w:pos="9355"/>
      </w:tabs>
    </w:pPr>
  </w:style>
  <w:style w:type="paragraph" w:styleId="a8">
    <w:name w:val="footer"/>
    <w:basedOn w:val="a"/>
    <w:rsid w:val="009149DB"/>
    <w:pPr>
      <w:tabs>
        <w:tab w:val="center" w:pos="4677"/>
        <w:tab w:val="right" w:pos="9355"/>
      </w:tabs>
    </w:pPr>
  </w:style>
  <w:style w:type="character" w:styleId="a9">
    <w:name w:val="page number"/>
    <w:basedOn w:val="a3"/>
    <w:rsid w:val="009149DB"/>
  </w:style>
  <w:style w:type="paragraph" w:styleId="aa">
    <w:name w:val="Body Text"/>
    <w:basedOn w:val="a"/>
    <w:link w:val="ab"/>
    <w:rsid w:val="00CC2006"/>
    <w:pPr>
      <w:spacing w:after="120"/>
    </w:pPr>
  </w:style>
  <w:style w:type="character" w:customStyle="1" w:styleId="ab">
    <w:name w:val="Основний текст Знак"/>
    <w:link w:val="aa"/>
    <w:rsid w:val="00CC2006"/>
    <w:rPr>
      <w:sz w:val="24"/>
      <w:szCs w:val="24"/>
      <w:lang w:val="ru-RU" w:eastAsia="ru-RU"/>
    </w:rPr>
  </w:style>
  <w:style w:type="character" w:styleId="ac">
    <w:name w:val="Hyperlink"/>
    <w:unhideWhenUsed/>
    <w:rsid w:val="00CC2006"/>
    <w:rPr>
      <w:color w:val="0000FF"/>
      <w:u w:val="single"/>
    </w:rPr>
  </w:style>
  <w:style w:type="paragraph" w:customStyle="1" w:styleId="ad">
    <w:name w:val="Знак Знак Знак Знак Знак Знак Знак"/>
    <w:basedOn w:val="a"/>
    <w:rsid w:val="000F7FF4"/>
    <w:rPr>
      <w:rFonts w:ascii="Verdana" w:hAnsi="Verdana" w:cs="Verdana"/>
      <w:sz w:val="20"/>
      <w:szCs w:val="20"/>
      <w:lang w:val="en-US" w:eastAsia="en-US"/>
    </w:rPr>
  </w:style>
  <w:style w:type="paragraph" w:styleId="ae">
    <w:name w:val="Balloon Text"/>
    <w:basedOn w:val="a"/>
    <w:link w:val="af"/>
    <w:rsid w:val="00932F03"/>
    <w:rPr>
      <w:rFonts w:ascii="Tahoma" w:hAnsi="Tahoma" w:cs="Tahoma"/>
      <w:sz w:val="16"/>
      <w:szCs w:val="16"/>
    </w:rPr>
  </w:style>
  <w:style w:type="character" w:customStyle="1" w:styleId="af">
    <w:name w:val="Текст у виносці Знак"/>
    <w:link w:val="ae"/>
    <w:rsid w:val="00932F03"/>
    <w:rPr>
      <w:rFonts w:ascii="Tahoma" w:hAnsi="Tahoma" w:cs="Tahoma"/>
      <w:sz w:val="16"/>
      <w:szCs w:val="16"/>
      <w:lang w:val="ru-RU" w:eastAsia="ru-RU"/>
    </w:rPr>
  </w:style>
  <w:style w:type="paragraph" w:customStyle="1" w:styleId="af0">
    <w:name w:val="Знак Знак Знак Знак"/>
    <w:basedOn w:val="a"/>
    <w:rsid w:val="00387BB7"/>
    <w:rPr>
      <w:rFonts w:ascii="Verdana" w:hAnsi="Verdana" w:cs="Verdana"/>
      <w:sz w:val="20"/>
      <w:szCs w:val="20"/>
      <w:lang w:val="en-US" w:eastAsia="en-US"/>
    </w:rPr>
  </w:style>
  <w:style w:type="paragraph" w:customStyle="1" w:styleId="af1">
    <w:name w:val="Знак Знак"/>
    <w:basedOn w:val="a"/>
    <w:rsid w:val="008319C6"/>
    <w:rPr>
      <w:rFonts w:ascii="Verdana" w:hAnsi="Verdana" w:cs="Verdana"/>
      <w:sz w:val="20"/>
      <w:szCs w:val="20"/>
      <w:lang w:val="en-US" w:eastAsia="en-US"/>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17629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9863-3559-4C6A-96DB-9D77C22C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6586</Words>
  <Characters>3755</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10321</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Покальчук</cp:lastModifiedBy>
  <cp:revision>6</cp:revision>
  <cp:lastPrinted>2021-09-14T07:32:00Z</cp:lastPrinted>
  <dcterms:created xsi:type="dcterms:W3CDTF">2025-08-11T11:36:00Z</dcterms:created>
  <dcterms:modified xsi:type="dcterms:W3CDTF">2025-08-13T08:07:00Z</dcterms:modified>
</cp:coreProperties>
</file>