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19B6" w:rsidRPr="00DA2AC6" w:rsidRDefault="00ED19B6" w:rsidP="00EB37FE">
      <w:pPr>
        <w:spacing w:after="0" w:line="240" w:lineRule="auto"/>
        <w:jc w:val="center"/>
        <w:rPr>
          <w:rFonts w:ascii="Times New Roman" w:eastAsia="Times New Roman" w:hAnsi="Times New Roman" w:cs="Times New Roman"/>
          <w:b/>
          <w:color w:val="000000"/>
          <w:sz w:val="28"/>
          <w:szCs w:val="24"/>
        </w:rPr>
      </w:pPr>
      <w:r w:rsidRPr="00DA2AC6">
        <w:rPr>
          <w:rFonts w:ascii="Times New Roman" w:eastAsia="Times New Roman" w:hAnsi="Times New Roman" w:cs="Times New Roman"/>
          <w:b/>
          <w:color w:val="000000"/>
          <w:sz w:val="28"/>
          <w:szCs w:val="24"/>
        </w:rPr>
        <w:t xml:space="preserve">Порівняльна таблиця до </w:t>
      </w:r>
      <w:proofErr w:type="spellStart"/>
      <w:r w:rsidRPr="00DA2AC6">
        <w:rPr>
          <w:rFonts w:ascii="Times New Roman" w:eastAsia="Times New Roman" w:hAnsi="Times New Roman" w:cs="Times New Roman"/>
          <w:b/>
          <w:color w:val="000000"/>
          <w:sz w:val="28"/>
          <w:szCs w:val="24"/>
        </w:rPr>
        <w:t>проєкту</w:t>
      </w:r>
      <w:proofErr w:type="spellEnd"/>
      <w:r w:rsidRPr="00DA2AC6">
        <w:rPr>
          <w:rFonts w:ascii="Times New Roman" w:eastAsia="Times New Roman" w:hAnsi="Times New Roman" w:cs="Times New Roman"/>
          <w:b/>
          <w:color w:val="000000"/>
          <w:sz w:val="28"/>
          <w:szCs w:val="24"/>
        </w:rPr>
        <w:t xml:space="preserve"> постанови НКРЕКП </w:t>
      </w:r>
      <w:r w:rsidR="00EB37FE" w:rsidRPr="00AC0A93">
        <w:rPr>
          <w:rFonts w:ascii="Times New Roman" w:eastAsia="Times New Roman" w:hAnsi="Times New Roman" w:cs="Times New Roman"/>
          <w:b/>
          <w:sz w:val="28"/>
          <w:szCs w:val="28"/>
        </w:rPr>
        <w:t>«Про внесення змін до Методики визначення та розрахунку тарифу на послуги розподілу природного газу та Методики визначення розмірів нормативних та виробничо-технологічних втрат/витрат природного газу при здійсненні розподілу природного газу»</w:t>
      </w:r>
      <w:r w:rsidRPr="00DA2AC6">
        <w:rPr>
          <w:rFonts w:ascii="Times New Roman" w:eastAsia="Times New Roman" w:hAnsi="Times New Roman" w:cs="Times New Roman"/>
          <w:b/>
          <w:color w:val="000000"/>
          <w:sz w:val="28"/>
          <w:szCs w:val="24"/>
        </w:rPr>
        <w:t>, що має ознаки регуляторного акта</w:t>
      </w:r>
    </w:p>
    <w:p w:rsidR="00422F21" w:rsidRDefault="00422F21" w:rsidP="008A11BB">
      <w:pPr>
        <w:spacing w:after="0" w:line="240" w:lineRule="auto"/>
        <w:jc w:val="center"/>
        <w:rPr>
          <w:rFonts w:ascii="Times New Roman" w:eastAsia="Times New Roman" w:hAnsi="Times New Roman" w:cs="Times New Roman"/>
          <w:b/>
          <w:i/>
          <w:color w:val="000000"/>
          <w:sz w:val="24"/>
          <w:szCs w:val="24"/>
        </w:rPr>
      </w:pPr>
    </w:p>
    <w:p w:rsidR="00DA2AC6" w:rsidRPr="008A11BB" w:rsidRDefault="00DA2AC6" w:rsidP="008A11BB">
      <w:pPr>
        <w:spacing w:after="0" w:line="240" w:lineRule="auto"/>
        <w:jc w:val="center"/>
        <w:rPr>
          <w:rFonts w:ascii="Times New Roman" w:eastAsia="Times New Roman" w:hAnsi="Times New Roman" w:cs="Times New Roman"/>
          <w:b/>
          <w:i/>
          <w:color w:val="000000"/>
          <w:sz w:val="24"/>
          <w:szCs w:val="24"/>
        </w:rPr>
      </w:pPr>
    </w:p>
    <w:tbl>
      <w:tblPr>
        <w:tblStyle w:val="a3"/>
        <w:tblW w:w="0" w:type="auto"/>
        <w:tblLook w:val="04A0" w:firstRow="1" w:lastRow="0" w:firstColumn="1" w:lastColumn="0" w:noHBand="0" w:noVBand="1"/>
      </w:tblPr>
      <w:tblGrid>
        <w:gridCol w:w="7564"/>
        <w:gridCol w:w="7564"/>
      </w:tblGrid>
      <w:tr w:rsidR="00EC693E" w:rsidRPr="008A11BB" w:rsidTr="00ED19B6">
        <w:tc>
          <w:tcPr>
            <w:tcW w:w="7564" w:type="dxa"/>
          </w:tcPr>
          <w:p w:rsidR="00EC693E" w:rsidRPr="008A11BB" w:rsidRDefault="00EC693E" w:rsidP="00EB37FE">
            <w:pPr>
              <w:shd w:val="clear" w:color="auto" w:fill="FFFFFF"/>
              <w:spacing w:line="240" w:lineRule="auto"/>
              <w:jc w:val="center"/>
              <w:rPr>
                <w:rFonts w:ascii="Times New Roman" w:eastAsia="Times New Roman" w:hAnsi="Times New Roman" w:cs="Times New Roman"/>
                <w:b/>
                <w:i/>
                <w:color w:val="000000"/>
                <w:sz w:val="24"/>
                <w:szCs w:val="24"/>
              </w:rPr>
            </w:pPr>
            <w:r w:rsidRPr="008A11BB">
              <w:rPr>
                <w:rFonts w:ascii="Times New Roman" w:eastAsia="Times New Roman" w:hAnsi="Times New Roman" w:cs="Times New Roman"/>
                <w:b/>
                <w:i/>
                <w:color w:val="000000"/>
                <w:sz w:val="24"/>
                <w:szCs w:val="24"/>
              </w:rPr>
              <w:t>МЕТОДИКА</w:t>
            </w:r>
            <w:r w:rsidRPr="008A11BB">
              <w:rPr>
                <w:rFonts w:ascii="Times New Roman" w:eastAsia="Times New Roman" w:hAnsi="Times New Roman" w:cs="Times New Roman"/>
                <w:b/>
                <w:i/>
                <w:color w:val="000000"/>
                <w:sz w:val="24"/>
                <w:szCs w:val="24"/>
              </w:rPr>
              <w:br/>
              <w:t>ВИЗНАЧЕННЯ ТА РОЗРАХУНКУ ТАРИФУ НА ПОСЛУГИ РОЗПОДІЛУ ПРИРОДНОГО ГАЗУ.</w:t>
            </w:r>
          </w:p>
        </w:tc>
        <w:tc>
          <w:tcPr>
            <w:tcW w:w="7564" w:type="dxa"/>
          </w:tcPr>
          <w:p w:rsidR="00EC693E" w:rsidRPr="008A11BB" w:rsidRDefault="00EC693E" w:rsidP="00EB37FE">
            <w:pPr>
              <w:shd w:val="clear" w:color="auto" w:fill="FFFFFF"/>
              <w:spacing w:line="240" w:lineRule="auto"/>
              <w:jc w:val="center"/>
              <w:rPr>
                <w:rFonts w:ascii="Times New Roman" w:eastAsia="Times New Roman" w:hAnsi="Times New Roman" w:cs="Times New Roman"/>
                <w:b/>
                <w:i/>
                <w:color w:val="000000"/>
                <w:sz w:val="24"/>
                <w:szCs w:val="24"/>
              </w:rPr>
            </w:pPr>
            <w:r w:rsidRPr="008A11BB">
              <w:rPr>
                <w:rFonts w:ascii="Times New Roman" w:eastAsia="Times New Roman" w:hAnsi="Times New Roman" w:cs="Times New Roman"/>
                <w:b/>
                <w:i/>
                <w:color w:val="000000"/>
                <w:sz w:val="24"/>
                <w:szCs w:val="24"/>
              </w:rPr>
              <w:t>ЗМІНИ ДО МЕТОДИКА</w:t>
            </w:r>
            <w:r w:rsidRPr="008A11BB">
              <w:rPr>
                <w:rFonts w:ascii="Times New Roman" w:eastAsia="Times New Roman" w:hAnsi="Times New Roman" w:cs="Times New Roman"/>
                <w:b/>
                <w:i/>
                <w:color w:val="000000"/>
                <w:sz w:val="24"/>
                <w:szCs w:val="24"/>
              </w:rPr>
              <w:br/>
              <w:t>ВИЗНАЧЕННЯ ТА РОЗРАХУНКУ ТАРИФУ НА ПОСЛУГИ РОЗПОДІЛУ ПРИРОДНОГО ГАЗУ.</w:t>
            </w:r>
          </w:p>
        </w:tc>
      </w:tr>
      <w:tr w:rsidR="00EC693E" w:rsidRPr="008A11BB" w:rsidTr="00ED19B6">
        <w:tc>
          <w:tcPr>
            <w:tcW w:w="7564" w:type="dxa"/>
          </w:tcPr>
          <w:p w:rsidR="00EC693E" w:rsidRPr="008A11BB" w:rsidRDefault="00EC693E" w:rsidP="00EB37FE">
            <w:pPr>
              <w:spacing w:line="240" w:lineRule="auto"/>
              <w:jc w:val="center"/>
              <w:rPr>
                <w:rFonts w:ascii="Times New Roman" w:hAnsi="Times New Roman" w:cs="Times New Roman"/>
                <w:b/>
                <w:bCs/>
                <w:sz w:val="24"/>
                <w:szCs w:val="24"/>
                <w:shd w:val="clear" w:color="auto" w:fill="FFFFFF"/>
              </w:rPr>
            </w:pPr>
            <w:r w:rsidRPr="008A11BB">
              <w:rPr>
                <w:rFonts w:ascii="Times New Roman" w:hAnsi="Times New Roman" w:cs="Times New Roman"/>
                <w:b/>
                <w:bCs/>
                <w:sz w:val="24"/>
                <w:szCs w:val="24"/>
                <w:shd w:val="clear" w:color="auto" w:fill="FFFFFF"/>
              </w:rPr>
              <w:t>X. Процедура встановлення та перегляду тарифів на послуги розподілу природного газу</w:t>
            </w:r>
          </w:p>
        </w:tc>
        <w:tc>
          <w:tcPr>
            <w:tcW w:w="7564" w:type="dxa"/>
          </w:tcPr>
          <w:p w:rsidR="00EC693E" w:rsidRPr="008A11BB" w:rsidRDefault="00EC693E" w:rsidP="00EB37FE">
            <w:pPr>
              <w:spacing w:line="240" w:lineRule="auto"/>
              <w:jc w:val="center"/>
              <w:rPr>
                <w:rFonts w:ascii="Times New Roman" w:hAnsi="Times New Roman" w:cs="Times New Roman"/>
                <w:b/>
                <w:bCs/>
                <w:sz w:val="24"/>
                <w:szCs w:val="24"/>
                <w:shd w:val="clear" w:color="auto" w:fill="FFFFFF"/>
              </w:rPr>
            </w:pPr>
            <w:r w:rsidRPr="008A11BB">
              <w:rPr>
                <w:rFonts w:ascii="Times New Roman" w:hAnsi="Times New Roman" w:cs="Times New Roman"/>
                <w:b/>
                <w:bCs/>
                <w:sz w:val="24"/>
                <w:szCs w:val="24"/>
                <w:shd w:val="clear" w:color="auto" w:fill="FFFFFF"/>
              </w:rPr>
              <w:t>X. Процедура встановлення та перегляду тарифів на послуги розподілу природного газу</w:t>
            </w:r>
          </w:p>
        </w:tc>
      </w:tr>
      <w:tr w:rsidR="00EC693E" w:rsidRPr="008A11BB" w:rsidTr="00ED19B6">
        <w:tc>
          <w:tcPr>
            <w:tcW w:w="7564" w:type="dxa"/>
          </w:tcPr>
          <w:p w:rsidR="00E04550" w:rsidRPr="00E04550" w:rsidRDefault="00A03204" w:rsidP="008A11BB">
            <w:pPr>
              <w:shd w:val="clear" w:color="auto" w:fill="FFFFFF"/>
              <w:spacing w:line="240" w:lineRule="auto"/>
              <w:ind w:firstLine="709"/>
              <w:jc w:val="both"/>
              <w:rPr>
                <w:rFonts w:ascii="Times New Roman" w:hAnsi="Times New Roman" w:cs="Times New Roman"/>
                <w:sz w:val="24"/>
                <w:szCs w:val="24"/>
              </w:rPr>
            </w:pPr>
            <w:r w:rsidRPr="00E04550">
              <w:rPr>
                <w:rFonts w:ascii="Times New Roman" w:hAnsi="Times New Roman" w:cs="Times New Roman"/>
                <w:sz w:val="24"/>
                <w:szCs w:val="24"/>
              </w:rPr>
              <w:t>6</w:t>
            </w:r>
            <w:r w:rsidR="00EC693E" w:rsidRPr="00E04550">
              <w:rPr>
                <w:rFonts w:ascii="Times New Roman" w:hAnsi="Times New Roman" w:cs="Times New Roman"/>
                <w:sz w:val="24"/>
                <w:szCs w:val="24"/>
              </w:rPr>
              <w:t>.</w:t>
            </w:r>
            <w:r w:rsidR="00E04550" w:rsidRPr="00E04550">
              <w:rPr>
                <w:rFonts w:ascii="Times New Roman" w:hAnsi="Times New Roman" w:cs="Times New Roman"/>
                <w:sz w:val="24"/>
                <w:szCs w:val="24"/>
              </w:rPr>
              <w:t xml:space="preserve"> </w:t>
            </w:r>
            <w:r w:rsidR="00E04550" w:rsidRPr="00E04550">
              <w:rPr>
                <w:rFonts w:ascii="Times New Roman" w:hAnsi="Times New Roman" w:cs="Times New Roman"/>
                <w:shd w:val="clear" w:color="auto" w:fill="FFFFFF"/>
              </w:rPr>
              <w:t>Для встановлення тарифу на послуги розподілу природного газу суб'єкт господарювання подає до НКРЕКП не пізніше ніж за 60 календарних днів до початку планованого періоду заяву про встановлення тарифу на послуги розподілу природного газу (далі - заява) за формою, наведеною в додатку 1 до цієї Методики, до якої додаються:</w:t>
            </w:r>
          </w:p>
          <w:p w:rsidR="00EC693E" w:rsidRPr="00E04550" w:rsidRDefault="00EC693E" w:rsidP="008A11BB">
            <w:pPr>
              <w:shd w:val="clear" w:color="auto" w:fill="FFFFFF"/>
              <w:spacing w:line="240" w:lineRule="auto"/>
              <w:ind w:firstLine="709"/>
              <w:jc w:val="both"/>
              <w:rPr>
                <w:rFonts w:ascii="Times New Roman" w:hAnsi="Times New Roman" w:cs="Times New Roman"/>
                <w:sz w:val="24"/>
                <w:szCs w:val="24"/>
              </w:rPr>
            </w:pPr>
            <w:r w:rsidRPr="00E04550">
              <w:rPr>
                <w:rFonts w:ascii="Times New Roman" w:hAnsi="Times New Roman" w:cs="Times New Roman"/>
                <w:sz w:val="24"/>
                <w:szCs w:val="24"/>
              </w:rPr>
              <w:t>…</w:t>
            </w:r>
          </w:p>
          <w:p w:rsidR="00EC693E" w:rsidRPr="00E04550" w:rsidRDefault="00EC693E" w:rsidP="008A11BB">
            <w:pPr>
              <w:shd w:val="clear" w:color="auto" w:fill="FFFFFF"/>
              <w:spacing w:line="240" w:lineRule="auto"/>
              <w:ind w:firstLine="709"/>
              <w:jc w:val="both"/>
              <w:rPr>
                <w:rFonts w:ascii="Times New Roman" w:hAnsi="Times New Roman" w:cs="Times New Roman"/>
                <w:sz w:val="24"/>
                <w:szCs w:val="24"/>
              </w:rPr>
            </w:pPr>
            <w:r w:rsidRPr="00E04550">
              <w:rPr>
                <w:rFonts w:ascii="Times New Roman" w:hAnsi="Times New Roman" w:cs="Times New Roman"/>
                <w:sz w:val="24"/>
                <w:szCs w:val="24"/>
              </w:rPr>
              <w:t>5) розрахунок витрат, пов'язаних із використанням природного газу на нормативні та виробничо-технологічні втрати/витрати природного газу;</w:t>
            </w:r>
          </w:p>
          <w:p w:rsidR="00EC693E" w:rsidRPr="00E04550" w:rsidRDefault="00EC693E" w:rsidP="008A11BB">
            <w:pPr>
              <w:shd w:val="clear" w:color="auto" w:fill="FFFFFF"/>
              <w:spacing w:line="240" w:lineRule="auto"/>
              <w:ind w:firstLine="709"/>
              <w:jc w:val="both"/>
              <w:rPr>
                <w:rFonts w:ascii="Times New Roman" w:eastAsia="Times New Roman" w:hAnsi="Times New Roman" w:cs="Times New Roman"/>
                <w:sz w:val="24"/>
                <w:szCs w:val="24"/>
              </w:rPr>
            </w:pPr>
            <w:r w:rsidRPr="00E04550">
              <w:rPr>
                <w:rFonts w:ascii="Times New Roman" w:eastAsia="Times New Roman" w:hAnsi="Times New Roman" w:cs="Times New Roman"/>
                <w:sz w:val="24"/>
                <w:szCs w:val="24"/>
              </w:rPr>
              <w:t>…</w:t>
            </w:r>
          </w:p>
        </w:tc>
        <w:tc>
          <w:tcPr>
            <w:tcW w:w="7564" w:type="dxa"/>
          </w:tcPr>
          <w:p w:rsidR="00E04550" w:rsidRPr="00E04550" w:rsidRDefault="00A03204" w:rsidP="008A11BB">
            <w:pPr>
              <w:shd w:val="clear" w:color="auto" w:fill="FFFFFF"/>
              <w:spacing w:line="240" w:lineRule="auto"/>
              <w:ind w:firstLine="709"/>
              <w:jc w:val="both"/>
              <w:rPr>
                <w:rFonts w:ascii="Times New Roman" w:hAnsi="Times New Roman" w:cs="Times New Roman"/>
                <w:sz w:val="24"/>
                <w:szCs w:val="24"/>
              </w:rPr>
            </w:pPr>
            <w:r w:rsidRPr="00E04550">
              <w:rPr>
                <w:rFonts w:ascii="Times New Roman" w:hAnsi="Times New Roman" w:cs="Times New Roman"/>
                <w:sz w:val="24"/>
                <w:szCs w:val="24"/>
              </w:rPr>
              <w:t>6</w:t>
            </w:r>
            <w:r w:rsidR="00EC693E" w:rsidRPr="00E04550">
              <w:rPr>
                <w:rFonts w:ascii="Times New Roman" w:hAnsi="Times New Roman" w:cs="Times New Roman"/>
                <w:sz w:val="24"/>
                <w:szCs w:val="24"/>
              </w:rPr>
              <w:t>.</w:t>
            </w:r>
            <w:r w:rsidR="00BC4A82" w:rsidRPr="00E04550">
              <w:rPr>
                <w:rFonts w:ascii="Times New Roman" w:hAnsi="Times New Roman" w:cs="Times New Roman"/>
                <w:sz w:val="24"/>
                <w:szCs w:val="24"/>
              </w:rPr>
              <w:t xml:space="preserve"> </w:t>
            </w:r>
            <w:r w:rsidR="00E04550" w:rsidRPr="00E04550">
              <w:rPr>
                <w:rFonts w:ascii="Times New Roman" w:hAnsi="Times New Roman" w:cs="Times New Roman"/>
                <w:shd w:val="clear" w:color="auto" w:fill="FFFFFF"/>
              </w:rPr>
              <w:t>Для встановлення тарифу на послуги розподілу природного газу суб'єкт господарювання подає до НКРЕКП не пізніше ніж за 60 календарних днів до початку планованого періоду заяву про встановлення тарифу на послуги розподілу природного газу (далі - заява) за формою, наведеною в додатку 1 до цієї Методики, до якої додаються:</w:t>
            </w:r>
          </w:p>
          <w:p w:rsidR="00EC693E" w:rsidRPr="00E04550" w:rsidRDefault="00EC693E" w:rsidP="008A11BB">
            <w:pPr>
              <w:shd w:val="clear" w:color="auto" w:fill="FFFFFF"/>
              <w:spacing w:line="240" w:lineRule="auto"/>
              <w:ind w:firstLine="709"/>
              <w:jc w:val="both"/>
              <w:rPr>
                <w:rFonts w:ascii="Times New Roman" w:hAnsi="Times New Roman" w:cs="Times New Roman"/>
                <w:sz w:val="24"/>
                <w:szCs w:val="24"/>
              </w:rPr>
            </w:pPr>
            <w:r w:rsidRPr="00E04550">
              <w:rPr>
                <w:rFonts w:ascii="Times New Roman" w:hAnsi="Times New Roman" w:cs="Times New Roman"/>
                <w:sz w:val="24"/>
                <w:szCs w:val="24"/>
              </w:rPr>
              <w:t>…</w:t>
            </w:r>
          </w:p>
          <w:p w:rsidR="00EC693E" w:rsidRPr="00E04550" w:rsidRDefault="00EC693E" w:rsidP="008A11BB">
            <w:pPr>
              <w:spacing w:line="240" w:lineRule="auto"/>
              <w:ind w:firstLine="709"/>
              <w:jc w:val="both"/>
              <w:rPr>
                <w:rFonts w:ascii="Times New Roman" w:hAnsi="Times New Roman" w:cs="Times New Roman"/>
                <w:b/>
                <w:i/>
                <w:strike/>
                <w:sz w:val="24"/>
                <w:szCs w:val="24"/>
              </w:rPr>
            </w:pPr>
            <w:r w:rsidRPr="00E04550">
              <w:rPr>
                <w:rFonts w:ascii="Times New Roman" w:hAnsi="Times New Roman" w:cs="Times New Roman"/>
                <w:b/>
                <w:i/>
                <w:strike/>
                <w:sz w:val="24"/>
                <w:szCs w:val="24"/>
              </w:rPr>
              <w:t>5) розрахунок витрат, пов'язаних із використанням природного газу на нормативні та виробничо-технологічні втрати/витрати природного газу;</w:t>
            </w:r>
          </w:p>
          <w:p w:rsidR="00EC693E" w:rsidRPr="00E04550" w:rsidRDefault="00EC693E" w:rsidP="008A11BB">
            <w:pPr>
              <w:spacing w:line="240" w:lineRule="auto"/>
              <w:ind w:firstLine="709"/>
              <w:jc w:val="both"/>
              <w:rPr>
                <w:rFonts w:ascii="Times New Roman" w:eastAsia="Times New Roman" w:hAnsi="Times New Roman" w:cs="Times New Roman"/>
                <w:sz w:val="24"/>
                <w:szCs w:val="24"/>
              </w:rPr>
            </w:pPr>
            <w:r w:rsidRPr="00E04550">
              <w:rPr>
                <w:rFonts w:ascii="Times New Roman" w:eastAsia="Times New Roman" w:hAnsi="Times New Roman" w:cs="Times New Roman"/>
                <w:sz w:val="24"/>
                <w:szCs w:val="24"/>
              </w:rPr>
              <w:t>…</w:t>
            </w:r>
          </w:p>
        </w:tc>
      </w:tr>
      <w:tr w:rsidR="00EC693E" w:rsidRPr="008A11BB" w:rsidTr="00ED19B6">
        <w:tc>
          <w:tcPr>
            <w:tcW w:w="7564" w:type="dxa"/>
          </w:tcPr>
          <w:p w:rsidR="00EC693E" w:rsidRPr="008A11BB" w:rsidRDefault="00EC693E" w:rsidP="008A11BB">
            <w:pPr>
              <w:shd w:val="clear" w:color="auto" w:fill="FFFFFF"/>
              <w:spacing w:line="240" w:lineRule="auto"/>
              <w:ind w:firstLine="709"/>
              <w:jc w:val="both"/>
              <w:rPr>
                <w:rFonts w:ascii="Times New Roman" w:hAnsi="Times New Roman" w:cs="Times New Roman"/>
                <w:color w:val="000000" w:themeColor="text1"/>
                <w:sz w:val="24"/>
                <w:szCs w:val="24"/>
              </w:rPr>
            </w:pPr>
            <w:r w:rsidRPr="008A11BB">
              <w:rPr>
                <w:rFonts w:ascii="Times New Roman" w:hAnsi="Times New Roman" w:cs="Times New Roman"/>
                <w:color w:val="000000" w:themeColor="text1"/>
                <w:sz w:val="24"/>
                <w:szCs w:val="24"/>
              </w:rPr>
              <w:t>13) протокол відкритого обговорення (відкритого слухання) на місцях, проведеного відповідно до вимог </w:t>
            </w:r>
            <w:hyperlink r:id="rId6" w:anchor="n9" w:tgtFrame="_blank" w:history="1">
              <w:r w:rsidRPr="008A11BB">
                <w:rPr>
                  <w:rFonts w:ascii="Times New Roman" w:hAnsi="Times New Roman" w:cs="Times New Roman"/>
                  <w:color w:val="000000" w:themeColor="text1"/>
                  <w:sz w:val="24"/>
                  <w:szCs w:val="24"/>
                </w:rPr>
                <w:t>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w:t>
              </w:r>
            </w:hyperlink>
            <w:r w:rsidRPr="008A11BB">
              <w:rPr>
                <w:rFonts w:ascii="Times New Roman" w:hAnsi="Times New Roman" w:cs="Times New Roman"/>
                <w:color w:val="000000" w:themeColor="text1"/>
                <w:sz w:val="24"/>
                <w:szCs w:val="24"/>
              </w:rPr>
              <w:t>, затвердженого постановою НКРЕКП від 30 червня 2017 року № 866.</w:t>
            </w:r>
          </w:p>
          <w:p w:rsidR="00EC693E" w:rsidRPr="008A11BB" w:rsidRDefault="00EC693E" w:rsidP="008A11BB">
            <w:pPr>
              <w:shd w:val="clear" w:color="auto" w:fill="FFFFFF"/>
              <w:spacing w:line="240" w:lineRule="auto"/>
              <w:ind w:firstLine="709"/>
              <w:jc w:val="both"/>
              <w:rPr>
                <w:rFonts w:ascii="Times New Roman" w:eastAsia="Times New Roman" w:hAnsi="Times New Roman" w:cs="Times New Roman"/>
                <w:b/>
                <w:color w:val="000000" w:themeColor="text1"/>
                <w:sz w:val="24"/>
                <w:szCs w:val="24"/>
              </w:rPr>
            </w:pPr>
            <w:r w:rsidRPr="008A11BB">
              <w:rPr>
                <w:rFonts w:ascii="Times New Roman" w:eastAsia="Times New Roman" w:hAnsi="Times New Roman" w:cs="Times New Roman"/>
                <w:b/>
                <w:color w:val="000000" w:themeColor="text1"/>
                <w:sz w:val="24"/>
                <w:szCs w:val="24"/>
              </w:rPr>
              <w:t xml:space="preserve">Норма відсутня </w:t>
            </w:r>
          </w:p>
          <w:p w:rsidR="00EC693E" w:rsidRPr="008A11BB" w:rsidRDefault="00EC693E" w:rsidP="008A11BB">
            <w:pPr>
              <w:spacing w:line="240" w:lineRule="auto"/>
              <w:ind w:firstLine="709"/>
              <w:jc w:val="both"/>
              <w:rPr>
                <w:rFonts w:ascii="Times New Roman" w:eastAsia="Times New Roman" w:hAnsi="Times New Roman" w:cs="Times New Roman"/>
                <w:b/>
                <w:color w:val="000000" w:themeColor="text1"/>
                <w:sz w:val="24"/>
                <w:szCs w:val="24"/>
              </w:rPr>
            </w:pPr>
          </w:p>
        </w:tc>
        <w:tc>
          <w:tcPr>
            <w:tcW w:w="7564" w:type="dxa"/>
          </w:tcPr>
          <w:p w:rsidR="00EC693E" w:rsidRPr="008A11BB" w:rsidRDefault="00EC693E" w:rsidP="008A11BB">
            <w:pPr>
              <w:shd w:val="clear" w:color="auto" w:fill="FFFFFF"/>
              <w:spacing w:line="240" w:lineRule="auto"/>
              <w:ind w:firstLine="709"/>
              <w:jc w:val="both"/>
              <w:rPr>
                <w:rFonts w:ascii="Times New Roman" w:hAnsi="Times New Roman" w:cs="Times New Roman"/>
                <w:color w:val="000000" w:themeColor="text1"/>
                <w:sz w:val="24"/>
                <w:szCs w:val="24"/>
              </w:rPr>
            </w:pPr>
            <w:r w:rsidRPr="008A11BB">
              <w:rPr>
                <w:rFonts w:ascii="Times New Roman" w:hAnsi="Times New Roman" w:cs="Times New Roman"/>
                <w:b/>
                <w:color w:val="000000" w:themeColor="text1"/>
                <w:sz w:val="24"/>
                <w:szCs w:val="24"/>
              </w:rPr>
              <w:t>1</w:t>
            </w:r>
            <w:r w:rsidRPr="00EB37FE">
              <w:rPr>
                <w:rFonts w:ascii="Times New Roman" w:hAnsi="Times New Roman" w:cs="Times New Roman"/>
                <w:b/>
                <w:color w:val="000000" w:themeColor="text1"/>
                <w:sz w:val="24"/>
                <w:szCs w:val="24"/>
                <w:lang w:val="ru-RU"/>
              </w:rPr>
              <w:t>2</w:t>
            </w:r>
            <w:r w:rsidRPr="008A11BB">
              <w:rPr>
                <w:rFonts w:ascii="Times New Roman" w:hAnsi="Times New Roman" w:cs="Times New Roman"/>
                <w:color w:val="000000" w:themeColor="text1"/>
                <w:sz w:val="24"/>
                <w:szCs w:val="24"/>
              </w:rPr>
              <w:t>) протокол відкритого обговорення (відкритого слухання) на місцях, проведеного відповідно до вимог </w:t>
            </w:r>
            <w:hyperlink r:id="rId7" w:anchor="n9" w:tgtFrame="_blank" w:history="1">
              <w:r w:rsidRPr="008A11BB">
                <w:rPr>
                  <w:rFonts w:ascii="Times New Roman" w:hAnsi="Times New Roman" w:cs="Times New Roman"/>
                  <w:color w:val="000000" w:themeColor="text1"/>
                  <w:sz w:val="24"/>
                  <w:szCs w:val="24"/>
                </w:rPr>
                <w:t>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w:t>
              </w:r>
            </w:hyperlink>
            <w:r w:rsidRPr="008A11BB">
              <w:rPr>
                <w:rFonts w:ascii="Times New Roman" w:hAnsi="Times New Roman" w:cs="Times New Roman"/>
                <w:color w:val="000000" w:themeColor="text1"/>
                <w:sz w:val="24"/>
                <w:szCs w:val="24"/>
              </w:rPr>
              <w:t>, затвердженого постановою НКРЕКП від 30 червня 2017 року № 866.</w:t>
            </w:r>
          </w:p>
          <w:p w:rsidR="00DA2AC6" w:rsidRPr="00E04550" w:rsidRDefault="00BC4A82" w:rsidP="00E04550">
            <w:pPr>
              <w:spacing w:line="240" w:lineRule="auto"/>
              <w:ind w:firstLine="709"/>
              <w:jc w:val="both"/>
              <w:rPr>
                <w:rFonts w:ascii="Times New Roman" w:hAnsi="Times New Roman" w:cs="Times New Roman"/>
                <w:b/>
                <w:sz w:val="24"/>
                <w:szCs w:val="24"/>
              </w:rPr>
            </w:pPr>
            <w:r w:rsidRPr="008A11BB">
              <w:rPr>
                <w:rFonts w:ascii="Times New Roman" w:hAnsi="Times New Roman" w:cs="Times New Roman"/>
                <w:b/>
                <w:sz w:val="24"/>
                <w:szCs w:val="24"/>
              </w:rPr>
              <w:t xml:space="preserve">Разом з заявою суб'єкт господарювання подає до НКРЕКП розрахунок нормативних та виробничо-технологічних втрат/витрат природного газу відповідно до процедури встановлення розміру нормативних та виробничо-технологічних втрат/витрат природного газу, визначеної Методикою визначення розмірів нормативних та виробничо-технологічних втрат/витрат </w:t>
            </w:r>
            <w:r w:rsidRPr="008A11BB">
              <w:rPr>
                <w:rFonts w:ascii="Times New Roman" w:hAnsi="Times New Roman" w:cs="Times New Roman"/>
                <w:b/>
                <w:sz w:val="24"/>
                <w:szCs w:val="24"/>
              </w:rPr>
              <w:lastRenderedPageBreak/>
              <w:t>природного газу при здійсненні розподілу природного газу, затвердженою постановою Національної комісії, що здійснює державне регулювання у сферах енергетики та комунальних послуг, від 06 листопада 2020 року № 2033.</w:t>
            </w:r>
          </w:p>
        </w:tc>
      </w:tr>
      <w:tr w:rsidR="00ED19B6" w:rsidRPr="008A11BB" w:rsidTr="00ED19B6">
        <w:tc>
          <w:tcPr>
            <w:tcW w:w="7564" w:type="dxa"/>
          </w:tcPr>
          <w:p w:rsidR="00ED19B6" w:rsidRPr="008A11BB" w:rsidRDefault="00274F2E" w:rsidP="008A11BB">
            <w:pPr>
              <w:spacing w:line="240" w:lineRule="auto"/>
              <w:jc w:val="center"/>
              <w:rPr>
                <w:rFonts w:ascii="Times New Roman" w:eastAsia="Times New Roman" w:hAnsi="Times New Roman" w:cs="Times New Roman"/>
                <w:b/>
                <w:i/>
                <w:color w:val="000000"/>
                <w:sz w:val="24"/>
                <w:szCs w:val="24"/>
              </w:rPr>
            </w:pPr>
            <w:r w:rsidRPr="008A11BB">
              <w:rPr>
                <w:rFonts w:ascii="Times New Roman" w:eastAsia="Times New Roman" w:hAnsi="Times New Roman" w:cs="Times New Roman"/>
                <w:b/>
                <w:i/>
                <w:color w:val="000000"/>
                <w:sz w:val="24"/>
                <w:szCs w:val="24"/>
              </w:rPr>
              <w:lastRenderedPageBreak/>
              <w:t>МЕТОДИКА</w:t>
            </w:r>
            <w:r w:rsidRPr="008A11BB">
              <w:rPr>
                <w:rFonts w:ascii="Times New Roman" w:eastAsia="Times New Roman" w:hAnsi="Times New Roman" w:cs="Times New Roman"/>
                <w:b/>
                <w:i/>
                <w:color w:val="000000"/>
                <w:sz w:val="24"/>
                <w:szCs w:val="24"/>
              </w:rPr>
              <w:br/>
              <w:t>ВИЗНАЧЕННЯ РОЗМІРІВ НОРМАТИВНИХ ТА ВИРОБНИЧО-ТЕХНОЛОГІЧНИХ ВТРАТ/ВИТРАТ ПРИРОДНОГО ГАЗУ ПРИ ЗДІЙСНЕННІ РОЗПОДІЛУ ПРИРОДНОГО ГАЗУ</w:t>
            </w:r>
          </w:p>
        </w:tc>
        <w:tc>
          <w:tcPr>
            <w:tcW w:w="7564" w:type="dxa"/>
          </w:tcPr>
          <w:p w:rsidR="00ED19B6" w:rsidRPr="008A11BB" w:rsidRDefault="00274F2E" w:rsidP="008A11BB">
            <w:pPr>
              <w:spacing w:line="240" w:lineRule="auto"/>
              <w:jc w:val="center"/>
              <w:rPr>
                <w:rFonts w:ascii="Times New Roman" w:eastAsia="Times New Roman" w:hAnsi="Times New Roman" w:cs="Times New Roman"/>
                <w:b/>
                <w:i/>
                <w:color w:val="000000"/>
                <w:sz w:val="24"/>
                <w:szCs w:val="24"/>
              </w:rPr>
            </w:pPr>
            <w:r w:rsidRPr="008A11BB">
              <w:rPr>
                <w:rFonts w:ascii="Times New Roman" w:eastAsia="Times New Roman" w:hAnsi="Times New Roman" w:cs="Times New Roman"/>
                <w:b/>
                <w:i/>
                <w:color w:val="000000"/>
                <w:sz w:val="24"/>
                <w:szCs w:val="24"/>
              </w:rPr>
              <w:t>ЗМІНИ ДО МЕТОДИКИ</w:t>
            </w:r>
            <w:r w:rsidRPr="008A11BB">
              <w:rPr>
                <w:rFonts w:ascii="Times New Roman" w:eastAsia="Times New Roman" w:hAnsi="Times New Roman" w:cs="Times New Roman"/>
                <w:b/>
                <w:i/>
                <w:color w:val="000000"/>
                <w:sz w:val="24"/>
                <w:szCs w:val="24"/>
              </w:rPr>
              <w:br/>
              <w:t>ВИЗНАЧЕННЯ РОЗМІРІВ НОРМАТИВНИХ ТА ВИРОБНИЧО-ТЕХНОЛОГІЧНИХ ВТРАТ/ВИТРАТ ПРИРОДНОГО ГАЗУ ПРИ ЗДІЙСНЕННІ РОЗПОДІЛУ ПРИРОДНОГО ГАЗУ</w:t>
            </w:r>
          </w:p>
        </w:tc>
      </w:tr>
      <w:tr w:rsidR="00ED19B6" w:rsidRPr="008A11BB" w:rsidTr="00ED19B6">
        <w:tc>
          <w:tcPr>
            <w:tcW w:w="7564" w:type="dxa"/>
          </w:tcPr>
          <w:p w:rsidR="00ED19B6" w:rsidRPr="008A11BB" w:rsidRDefault="00274F2E" w:rsidP="008A11BB">
            <w:pPr>
              <w:spacing w:line="240" w:lineRule="auto"/>
              <w:ind w:firstLine="709"/>
              <w:jc w:val="center"/>
              <w:rPr>
                <w:rFonts w:ascii="Times New Roman" w:hAnsi="Times New Roman" w:cs="Times New Roman"/>
                <w:b/>
                <w:color w:val="000000" w:themeColor="text1"/>
                <w:sz w:val="24"/>
                <w:szCs w:val="24"/>
              </w:rPr>
            </w:pPr>
            <w:r w:rsidRPr="008A11BB">
              <w:rPr>
                <w:rFonts w:ascii="Times New Roman" w:hAnsi="Times New Roman" w:cs="Times New Roman"/>
                <w:b/>
                <w:color w:val="000000" w:themeColor="text1"/>
                <w:sz w:val="24"/>
                <w:szCs w:val="24"/>
              </w:rPr>
              <w:t>6. Процедура встановлення розміру нормативних та виробничо-технологічних втрат/витрат природного газу</w:t>
            </w:r>
          </w:p>
        </w:tc>
        <w:tc>
          <w:tcPr>
            <w:tcW w:w="7564" w:type="dxa"/>
          </w:tcPr>
          <w:p w:rsidR="00ED19B6" w:rsidRPr="008A11BB" w:rsidRDefault="00274F2E" w:rsidP="008A11BB">
            <w:pPr>
              <w:spacing w:line="240" w:lineRule="auto"/>
              <w:ind w:firstLine="709"/>
              <w:jc w:val="center"/>
              <w:rPr>
                <w:rFonts w:ascii="Times New Roman" w:hAnsi="Times New Roman" w:cs="Times New Roman"/>
                <w:b/>
                <w:color w:val="000000" w:themeColor="text1"/>
                <w:sz w:val="24"/>
                <w:szCs w:val="24"/>
              </w:rPr>
            </w:pPr>
            <w:r w:rsidRPr="008A11BB">
              <w:rPr>
                <w:rFonts w:ascii="Times New Roman" w:hAnsi="Times New Roman" w:cs="Times New Roman"/>
                <w:b/>
                <w:color w:val="000000" w:themeColor="text1"/>
                <w:sz w:val="24"/>
                <w:szCs w:val="24"/>
              </w:rPr>
              <w:t>6. Процедура встановлення розміру нормативних та виробничо-технологічних втрат/витрат природного газу</w:t>
            </w:r>
          </w:p>
        </w:tc>
      </w:tr>
      <w:tr w:rsidR="00ED19B6" w:rsidRPr="008A11BB" w:rsidTr="00ED19B6">
        <w:tc>
          <w:tcPr>
            <w:tcW w:w="7564" w:type="dxa"/>
          </w:tcPr>
          <w:p w:rsidR="00663D85" w:rsidRPr="008A11BB" w:rsidRDefault="00663D85" w:rsidP="008A11BB">
            <w:pPr>
              <w:spacing w:line="240" w:lineRule="auto"/>
              <w:ind w:firstLine="709"/>
              <w:jc w:val="both"/>
              <w:rPr>
                <w:rFonts w:ascii="Times New Roman" w:hAnsi="Times New Roman" w:cs="Times New Roman"/>
                <w:sz w:val="24"/>
                <w:szCs w:val="24"/>
              </w:rPr>
            </w:pPr>
            <w:r w:rsidRPr="008A11BB">
              <w:rPr>
                <w:rFonts w:ascii="Times New Roman" w:hAnsi="Times New Roman" w:cs="Times New Roman"/>
                <w:color w:val="000000" w:themeColor="text1"/>
                <w:sz w:val="24"/>
                <w:szCs w:val="24"/>
              </w:rPr>
              <w:t>6.2. Для встановлення річного розміру нормативних втрат/витрат газу Оператор ГРМ щороку до 31 серпня подає до НКРЕКП розрахунки обсягів нормативних втрат/витрат газу, до яких додаються:</w:t>
            </w:r>
            <w:r w:rsidRPr="008A11BB">
              <w:rPr>
                <w:rFonts w:ascii="Times New Roman" w:hAnsi="Times New Roman" w:cs="Times New Roman"/>
                <w:sz w:val="24"/>
                <w:szCs w:val="24"/>
              </w:rPr>
              <w:t xml:space="preserve"> </w:t>
            </w:r>
          </w:p>
          <w:p w:rsidR="00BA6D5C" w:rsidRPr="008A11BB" w:rsidRDefault="00BA6D5C" w:rsidP="008A11BB">
            <w:pPr>
              <w:spacing w:line="240" w:lineRule="auto"/>
              <w:ind w:firstLine="709"/>
              <w:jc w:val="both"/>
              <w:rPr>
                <w:rFonts w:ascii="Times New Roman" w:hAnsi="Times New Roman" w:cs="Times New Roman"/>
                <w:sz w:val="24"/>
                <w:szCs w:val="24"/>
              </w:rPr>
            </w:pPr>
            <w:r w:rsidRPr="008A11BB">
              <w:rPr>
                <w:rFonts w:ascii="Times New Roman" w:hAnsi="Times New Roman" w:cs="Times New Roman"/>
                <w:sz w:val="24"/>
                <w:szCs w:val="24"/>
              </w:rPr>
              <w:t>…</w:t>
            </w:r>
          </w:p>
          <w:p w:rsidR="00E04550" w:rsidRDefault="00E04550" w:rsidP="008A11BB">
            <w:pPr>
              <w:spacing w:line="240" w:lineRule="auto"/>
              <w:ind w:firstLine="709"/>
              <w:rPr>
                <w:rFonts w:ascii="Times New Roman" w:hAnsi="Times New Roman" w:cs="Times New Roman"/>
                <w:color w:val="000000" w:themeColor="text1"/>
                <w:sz w:val="24"/>
                <w:szCs w:val="24"/>
              </w:rPr>
            </w:pPr>
          </w:p>
          <w:p w:rsidR="00E04550" w:rsidRDefault="00E04550" w:rsidP="008A11BB">
            <w:pPr>
              <w:spacing w:line="240" w:lineRule="auto"/>
              <w:ind w:firstLine="709"/>
              <w:rPr>
                <w:rFonts w:ascii="Times New Roman" w:eastAsia="Times New Roman" w:hAnsi="Times New Roman" w:cs="Times New Roman"/>
                <w:b/>
                <w:color w:val="000000" w:themeColor="text1"/>
                <w:sz w:val="24"/>
                <w:szCs w:val="24"/>
              </w:rPr>
            </w:pPr>
          </w:p>
          <w:p w:rsidR="00012D7C" w:rsidRPr="008A11BB" w:rsidRDefault="00012D7C" w:rsidP="008A11BB">
            <w:pPr>
              <w:spacing w:line="240" w:lineRule="auto"/>
              <w:ind w:firstLine="709"/>
              <w:rPr>
                <w:rFonts w:ascii="Times New Roman" w:eastAsia="Times New Roman" w:hAnsi="Times New Roman" w:cs="Times New Roman"/>
                <w:b/>
                <w:color w:val="000000" w:themeColor="text1"/>
                <w:sz w:val="24"/>
                <w:szCs w:val="24"/>
              </w:rPr>
            </w:pPr>
            <w:r w:rsidRPr="008A11BB">
              <w:rPr>
                <w:rFonts w:ascii="Times New Roman" w:eastAsia="Times New Roman" w:hAnsi="Times New Roman" w:cs="Times New Roman"/>
                <w:b/>
                <w:color w:val="000000" w:themeColor="text1"/>
                <w:sz w:val="24"/>
                <w:szCs w:val="24"/>
              </w:rPr>
              <w:t>Норма відсутня</w:t>
            </w:r>
          </w:p>
          <w:p w:rsidR="00012D7C" w:rsidRPr="008A11BB" w:rsidRDefault="00012D7C" w:rsidP="008A11BB">
            <w:pPr>
              <w:spacing w:line="240" w:lineRule="auto"/>
              <w:ind w:firstLine="709"/>
              <w:rPr>
                <w:rFonts w:ascii="Times New Roman" w:eastAsia="Times New Roman" w:hAnsi="Times New Roman" w:cs="Times New Roman"/>
                <w:b/>
                <w:color w:val="000000" w:themeColor="text1"/>
                <w:sz w:val="24"/>
                <w:szCs w:val="24"/>
                <w:lang w:val="en-US"/>
              </w:rPr>
            </w:pPr>
          </w:p>
          <w:p w:rsidR="00012D7C" w:rsidRPr="008A11BB" w:rsidRDefault="00012D7C" w:rsidP="008A11BB">
            <w:pPr>
              <w:spacing w:line="240" w:lineRule="auto"/>
              <w:ind w:firstLine="709"/>
              <w:jc w:val="both"/>
              <w:rPr>
                <w:rFonts w:ascii="Times New Roman" w:hAnsi="Times New Roman" w:cs="Times New Roman"/>
                <w:sz w:val="24"/>
                <w:szCs w:val="24"/>
              </w:rPr>
            </w:pPr>
          </w:p>
        </w:tc>
        <w:tc>
          <w:tcPr>
            <w:tcW w:w="7564" w:type="dxa"/>
          </w:tcPr>
          <w:p w:rsidR="00ED19B6" w:rsidRPr="008A11BB" w:rsidRDefault="00BA6D5C" w:rsidP="008A11BB">
            <w:pPr>
              <w:spacing w:line="240" w:lineRule="auto"/>
              <w:ind w:firstLine="709"/>
              <w:jc w:val="both"/>
              <w:rPr>
                <w:rFonts w:ascii="Times New Roman" w:hAnsi="Times New Roman" w:cs="Times New Roman"/>
                <w:color w:val="000000" w:themeColor="text1"/>
                <w:sz w:val="24"/>
                <w:szCs w:val="24"/>
              </w:rPr>
            </w:pPr>
            <w:r w:rsidRPr="008A11BB">
              <w:rPr>
                <w:rFonts w:ascii="Times New Roman" w:hAnsi="Times New Roman" w:cs="Times New Roman"/>
                <w:color w:val="000000" w:themeColor="text1"/>
                <w:sz w:val="24"/>
                <w:szCs w:val="24"/>
              </w:rPr>
              <w:t xml:space="preserve">6.2. Для встановлення річного розміру нормативних втрат/витрат газу Оператор ГРМ </w:t>
            </w:r>
            <w:r w:rsidRPr="008A11BB">
              <w:rPr>
                <w:rFonts w:ascii="Times New Roman" w:hAnsi="Times New Roman" w:cs="Times New Roman"/>
                <w:b/>
                <w:i/>
                <w:strike/>
                <w:color w:val="000000" w:themeColor="text1"/>
                <w:sz w:val="24"/>
                <w:szCs w:val="24"/>
              </w:rPr>
              <w:t>щороку до 31 серпня</w:t>
            </w:r>
            <w:r w:rsidRPr="008A11BB">
              <w:rPr>
                <w:rFonts w:ascii="Times New Roman" w:hAnsi="Times New Roman" w:cs="Times New Roman"/>
                <w:color w:val="000000" w:themeColor="text1"/>
                <w:sz w:val="24"/>
                <w:szCs w:val="24"/>
              </w:rPr>
              <w:t xml:space="preserve"> подає до НКРЕКП розрахунки обсягів нормативних втрат/витрат газу, до яких додаються:</w:t>
            </w:r>
          </w:p>
          <w:p w:rsidR="00BA6D5C" w:rsidRPr="008A11BB" w:rsidRDefault="00BA6D5C" w:rsidP="008A11BB">
            <w:pPr>
              <w:spacing w:line="240" w:lineRule="auto"/>
              <w:ind w:firstLine="709"/>
              <w:jc w:val="both"/>
              <w:rPr>
                <w:rFonts w:ascii="Times New Roman" w:hAnsi="Times New Roman" w:cs="Times New Roman"/>
                <w:sz w:val="24"/>
                <w:szCs w:val="24"/>
              </w:rPr>
            </w:pPr>
            <w:r w:rsidRPr="008A11BB">
              <w:rPr>
                <w:rFonts w:ascii="Times New Roman" w:hAnsi="Times New Roman" w:cs="Times New Roman"/>
                <w:sz w:val="24"/>
                <w:szCs w:val="24"/>
              </w:rPr>
              <w:t>…</w:t>
            </w:r>
          </w:p>
          <w:p w:rsidR="00BC4A82" w:rsidRPr="008A11BB" w:rsidRDefault="00BC4A82" w:rsidP="008A11BB">
            <w:pPr>
              <w:pStyle w:val="rvps2"/>
              <w:tabs>
                <w:tab w:val="left" w:pos="426"/>
              </w:tabs>
              <w:spacing w:before="0" w:beforeAutospacing="0" w:after="0" w:afterAutospacing="0"/>
              <w:ind w:firstLine="567"/>
              <w:jc w:val="both"/>
              <w:textAlignment w:val="baseline"/>
              <w:rPr>
                <w:b/>
              </w:rPr>
            </w:pPr>
            <w:r w:rsidRPr="008A11BB">
              <w:rPr>
                <w:b/>
              </w:rPr>
              <w:t xml:space="preserve">Визначена цим пунктом інформація подається Оператором ГРМ разом із документами для встановлення тарифу на розподіл природного газу відповідно до Методики визначення та розрахунку тарифу на послуги розподілу природного газу, затвердженої постановою Національної комісії, що здійснює державне регулювання у сферах енергетики та комунальних послуг, від 25 лютого 2016 року № 236, зареєстрованої в Міністерстві юстиції України 03 листопада 2016 року за </w:t>
            </w:r>
            <w:r w:rsidRPr="008A11BB">
              <w:rPr>
                <w:b/>
              </w:rPr>
              <w:br/>
              <w:t>№ 1434/29564.</w:t>
            </w:r>
          </w:p>
          <w:p w:rsidR="00012D7C" w:rsidRPr="008A11BB" w:rsidRDefault="00BC4A82" w:rsidP="008A11BB">
            <w:pPr>
              <w:pStyle w:val="rvps2"/>
              <w:tabs>
                <w:tab w:val="left" w:pos="426"/>
              </w:tabs>
              <w:spacing w:before="0" w:beforeAutospacing="0" w:after="0" w:afterAutospacing="0"/>
              <w:ind w:firstLine="567"/>
              <w:jc w:val="both"/>
              <w:textAlignment w:val="baseline"/>
            </w:pPr>
            <w:r w:rsidRPr="008A11BB">
              <w:rPr>
                <w:b/>
              </w:rPr>
              <w:t>На вимогу НКРЕКП Оператор ГРМ протягом 10 робочих днів зобов’язаний подати до НКРЕКП документи визначені цим пунктом. У разі не надання Оператором ГРМ таких документів НКРЕКП для встановлення річного розміру нормативних втрат/витрат газу застосовує пункт 6.9 цієї глави.</w:t>
            </w:r>
          </w:p>
        </w:tc>
      </w:tr>
      <w:tr w:rsidR="00ED19B6" w:rsidRPr="008A11BB" w:rsidTr="00ED19B6">
        <w:tc>
          <w:tcPr>
            <w:tcW w:w="7564" w:type="dxa"/>
          </w:tcPr>
          <w:p w:rsidR="00910165" w:rsidRPr="008A11BB" w:rsidRDefault="00012D7C" w:rsidP="008A11BB">
            <w:pPr>
              <w:spacing w:line="240" w:lineRule="auto"/>
              <w:ind w:firstLine="709"/>
              <w:jc w:val="both"/>
              <w:rPr>
                <w:rFonts w:ascii="Times New Roman" w:hAnsi="Times New Roman" w:cs="Times New Roman"/>
                <w:color w:val="000000" w:themeColor="text1"/>
                <w:sz w:val="24"/>
                <w:szCs w:val="24"/>
              </w:rPr>
            </w:pPr>
            <w:r w:rsidRPr="008A11BB">
              <w:rPr>
                <w:rFonts w:ascii="Times New Roman" w:hAnsi="Times New Roman" w:cs="Times New Roman"/>
                <w:color w:val="000000" w:themeColor="text1"/>
                <w:sz w:val="24"/>
                <w:szCs w:val="24"/>
              </w:rPr>
              <w:t xml:space="preserve">6.10. НКРЕКП при встановленні розмірів нормативних втрат/витрат природного газу на наступний планований період враховує, що обсяг нормативних втрат/витрат природного газу на наступний період не може перевищувати обсяги фактичних </w:t>
            </w:r>
            <w:r w:rsidRPr="008A11BB">
              <w:rPr>
                <w:rFonts w:ascii="Times New Roman" w:hAnsi="Times New Roman" w:cs="Times New Roman"/>
                <w:color w:val="000000" w:themeColor="text1"/>
                <w:sz w:val="24"/>
                <w:szCs w:val="24"/>
              </w:rPr>
              <w:lastRenderedPageBreak/>
              <w:t>втрат/витрат газу за попередній рік (крім випадків збільшення території місць провадження господарської діяльності).</w:t>
            </w:r>
          </w:p>
        </w:tc>
        <w:tc>
          <w:tcPr>
            <w:tcW w:w="7564" w:type="dxa"/>
          </w:tcPr>
          <w:p w:rsidR="00910165" w:rsidRPr="008A11BB" w:rsidRDefault="00012D7C" w:rsidP="008A11BB">
            <w:pPr>
              <w:spacing w:line="240" w:lineRule="auto"/>
              <w:ind w:firstLine="709"/>
              <w:jc w:val="both"/>
              <w:rPr>
                <w:rFonts w:ascii="Times New Roman" w:hAnsi="Times New Roman" w:cs="Times New Roman"/>
                <w:color w:val="000000" w:themeColor="text1"/>
                <w:sz w:val="24"/>
                <w:szCs w:val="24"/>
              </w:rPr>
            </w:pPr>
            <w:r w:rsidRPr="008A11BB">
              <w:rPr>
                <w:rFonts w:ascii="Times New Roman" w:hAnsi="Times New Roman" w:cs="Times New Roman"/>
                <w:color w:val="000000" w:themeColor="text1"/>
                <w:sz w:val="24"/>
                <w:szCs w:val="24"/>
              </w:rPr>
              <w:lastRenderedPageBreak/>
              <w:t xml:space="preserve">6.10. НКРЕКП при встановленні розмірів нормативних втрат/витрат природного газу на наступний планований період враховує, що обсяг нормативних втрат/витрат природного газу на наступний період не може перевищувати </w:t>
            </w:r>
            <w:r w:rsidRPr="008A11BB">
              <w:rPr>
                <w:rFonts w:ascii="Times New Roman" w:hAnsi="Times New Roman" w:cs="Times New Roman"/>
                <w:b/>
                <w:i/>
                <w:strike/>
                <w:color w:val="000000" w:themeColor="text1"/>
                <w:sz w:val="24"/>
                <w:szCs w:val="24"/>
              </w:rPr>
              <w:t xml:space="preserve">обсяги фактичних </w:t>
            </w:r>
            <w:r w:rsidRPr="008A11BB">
              <w:rPr>
                <w:rFonts w:ascii="Times New Roman" w:hAnsi="Times New Roman" w:cs="Times New Roman"/>
                <w:b/>
                <w:i/>
                <w:strike/>
                <w:color w:val="000000" w:themeColor="text1"/>
                <w:sz w:val="24"/>
                <w:szCs w:val="24"/>
              </w:rPr>
              <w:lastRenderedPageBreak/>
              <w:t>втрат/витрат газу за попередній рік</w:t>
            </w:r>
            <w:r w:rsidRPr="008A11BB">
              <w:rPr>
                <w:rFonts w:ascii="Times New Roman" w:hAnsi="Times New Roman" w:cs="Times New Roman"/>
                <w:color w:val="000000" w:themeColor="text1"/>
                <w:sz w:val="24"/>
                <w:szCs w:val="24"/>
              </w:rPr>
              <w:t xml:space="preserve"> </w:t>
            </w:r>
            <w:r w:rsidR="00BC4A82" w:rsidRPr="008A11BB">
              <w:rPr>
                <w:rFonts w:ascii="Times New Roman" w:hAnsi="Times New Roman" w:cs="Times New Roman"/>
                <w:b/>
                <w:sz w:val="24"/>
                <w:szCs w:val="24"/>
              </w:rPr>
              <w:t>середньоарифметичне значення обсягів фактичних втрат/витрат газу за останні повних п’ять календарних років, у межах місць провадження господарської діяльності відповідного Оператора ГРМ</w:t>
            </w:r>
            <w:r w:rsidRPr="008A11BB">
              <w:rPr>
                <w:rFonts w:ascii="Times New Roman" w:hAnsi="Times New Roman" w:cs="Times New Roman"/>
                <w:color w:val="000000" w:themeColor="text1"/>
                <w:sz w:val="24"/>
                <w:szCs w:val="24"/>
              </w:rPr>
              <w:t xml:space="preserve"> (крім випадків збільшення території місць провадження господарської діяльності).</w:t>
            </w:r>
          </w:p>
        </w:tc>
      </w:tr>
      <w:tr w:rsidR="0047565F" w:rsidRPr="008A11BB" w:rsidTr="00ED19B6">
        <w:tc>
          <w:tcPr>
            <w:tcW w:w="7564" w:type="dxa"/>
          </w:tcPr>
          <w:p w:rsidR="0047565F" w:rsidRPr="008A11BB" w:rsidRDefault="00012D7C" w:rsidP="008A11BB">
            <w:pPr>
              <w:spacing w:line="240" w:lineRule="auto"/>
              <w:jc w:val="center"/>
              <w:rPr>
                <w:rFonts w:ascii="Times New Roman" w:hAnsi="Times New Roman" w:cs="Times New Roman"/>
                <w:sz w:val="24"/>
                <w:szCs w:val="24"/>
              </w:rPr>
            </w:pPr>
            <w:r w:rsidRPr="008A11BB">
              <w:rPr>
                <w:rFonts w:ascii="Times New Roman" w:hAnsi="Times New Roman" w:cs="Times New Roman"/>
                <w:b/>
                <w:bCs/>
                <w:sz w:val="24"/>
                <w:szCs w:val="24"/>
                <w:shd w:val="clear" w:color="auto" w:fill="FFFFFF"/>
              </w:rPr>
              <w:lastRenderedPageBreak/>
              <w:t>7. Особливості визначення нормативних втрат/витрат природного газу для Операторів ГРМ, місце провадження господарської діяльності яких частково або повністю знаходиться на тимчасово окупованій території України або території ведення активних бойових дій</w:t>
            </w:r>
          </w:p>
        </w:tc>
        <w:tc>
          <w:tcPr>
            <w:tcW w:w="7564" w:type="dxa"/>
          </w:tcPr>
          <w:p w:rsidR="0047565F" w:rsidRPr="008A11BB" w:rsidRDefault="00012D7C" w:rsidP="008A11BB">
            <w:pPr>
              <w:spacing w:line="240" w:lineRule="auto"/>
              <w:jc w:val="center"/>
              <w:rPr>
                <w:rFonts w:ascii="Times New Roman" w:hAnsi="Times New Roman" w:cs="Times New Roman"/>
                <w:sz w:val="24"/>
                <w:szCs w:val="24"/>
              </w:rPr>
            </w:pPr>
            <w:r w:rsidRPr="008A11BB">
              <w:rPr>
                <w:rFonts w:ascii="Times New Roman" w:hAnsi="Times New Roman" w:cs="Times New Roman"/>
                <w:b/>
                <w:bCs/>
                <w:sz w:val="24"/>
                <w:szCs w:val="24"/>
                <w:shd w:val="clear" w:color="auto" w:fill="FFFFFF"/>
              </w:rPr>
              <w:t>7. Особливості визначення нормативних втрат/витрат природного газу для Операторів ГРМ, місце провадження господарської діяльності яких частково або повністю знаходиться на тимчасово окупованій території України або території ведення активних бойових дій</w:t>
            </w:r>
          </w:p>
        </w:tc>
      </w:tr>
      <w:tr w:rsidR="0047565F" w:rsidRPr="008A11BB" w:rsidTr="00316BA2">
        <w:tc>
          <w:tcPr>
            <w:tcW w:w="7564" w:type="dxa"/>
            <w:tcBorders>
              <w:bottom w:val="single" w:sz="4" w:space="0" w:color="auto"/>
            </w:tcBorders>
          </w:tcPr>
          <w:p w:rsidR="0047565F" w:rsidRPr="008A11BB" w:rsidRDefault="00012D7C" w:rsidP="008A11BB">
            <w:pPr>
              <w:spacing w:line="240" w:lineRule="auto"/>
              <w:ind w:firstLine="709"/>
              <w:jc w:val="both"/>
              <w:rPr>
                <w:rFonts w:ascii="Times New Roman" w:hAnsi="Times New Roman" w:cs="Times New Roman"/>
                <w:sz w:val="24"/>
                <w:szCs w:val="24"/>
              </w:rPr>
            </w:pPr>
            <w:r w:rsidRPr="008A11BB">
              <w:rPr>
                <w:rFonts w:ascii="Times New Roman" w:hAnsi="Times New Roman" w:cs="Times New Roman"/>
                <w:color w:val="000000" w:themeColor="text1"/>
                <w:sz w:val="24"/>
                <w:szCs w:val="24"/>
              </w:rPr>
              <w:t>7.1. Під час дії воєнного стану в Україні та до кінця року, наступного за роком, у якому воєнний стан буде припинено або скасовано, Оператори ГРМ, місце провадження господарської діяльності яких частково або повністю знаходиться на тимчасово окупованій території України або території ведення активних бойових дій (у разі припинення розподілу природного газу), а саме у Донецькій, Запорізькій, Луганській, Харківській та Херсонській областях, здійснюють розрахунки обсягів нормативних та виробничо-технологічних втрат/витрат природного газу згідно з цією Методикою без урахування обсягів втрат/витрат природного газу в газорозподільній системі, яка частково або повністю знаходиться на тимчасово окупованій території України або території ведення активних бойових дій (у разі припинення розподілу природного газу).</w:t>
            </w:r>
          </w:p>
        </w:tc>
        <w:tc>
          <w:tcPr>
            <w:tcW w:w="7564" w:type="dxa"/>
            <w:tcBorders>
              <w:bottom w:val="single" w:sz="4" w:space="0" w:color="auto"/>
            </w:tcBorders>
          </w:tcPr>
          <w:p w:rsidR="0047565F" w:rsidRPr="008A11BB" w:rsidRDefault="00012D7C" w:rsidP="008A11BB">
            <w:pPr>
              <w:spacing w:line="240" w:lineRule="auto"/>
              <w:ind w:firstLine="709"/>
              <w:jc w:val="both"/>
              <w:rPr>
                <w:rFonts w:ascii="Times New Roman" w:hAnsi="Times New Roman" w:cs="Times New Roman"/>
                <w:sz w:val="24"/>
                <w:szCs w:val="24"/>
              </w:rPr>
            </w:pPr>
            <w:r w:rsidRPr="008A11BB">
              <w:rPr>
                <w:rFonts w:ascii="Times New Roman" w:hAnsi="Times New Roman" w:cs="Times New Roman"/>
                <w:color w:val="000000" w:themeColor="text1"/>
                <w:sz w:val="24"/>
                <w:szCs w:val="24"/>
              </w:rPr>
              <w:t xml:space="preserve">7.1. Під час дії воєнного стану в Україні та до кінця року, наступного за роком, у якому воєнний стан буде припинено або скасовано, Оператори ГРМ, місце провадження господарської діяльності яких частково або повністю знаходиться на тимчасово окупованій території України або території ведення активних бойових дій (у разі припинення розподілу природного газу), а саме у Донецькій, Запорізькій, Луганській, </w:t>
            </w:r>
            <w:r w:rsidRPr="008A11BB">
              <w:rPr>
                <w:rFonts w:ascii="Times New Roman" w:hAnsi="Times New Roman" w:cs="Times New Roman"/>
                <w:b/>
                <w:color w:val="000000" w:themeColor="text1"/>
                <w:sz w:val="24"/>
                <w:szCs w:val="24"/>
              </w:rPr>
              <w:t>Сумській,</w:t>
            </w:r>
            <w:r w:rsidRPr="008A11BB">
              <w:rPr>
                <w:rFonts w:ascii="Times New Roman" w:hAnsi="Times New Roman" w:cs="Times New Roman"/>
                <w:color w:val="000000" w:themeColor="text1"/>
                <w:sz w:val="24"/>
                <w:szCs w:val="24"/>
              </w:rPr>
              <w:t xml:space="preserve"> Харківській та Херсонській областях, здійснюють розрахунки обсягів нормативних та виробничо-технологічних втрат/витрат природного газу згідно з цією Методикою без урахування обсягів втрат/витрат природного газу в газорозподільній системі, яка частково або повністю знаходиться на тимчасово окупованій території України або території ведення активних бойових дій (у разі припинення розподілу природного газу).</w:t>
            </w:r>
          </w:p>
        </w:tc>
      </w:tr>
    </w:tbl>
    <w:p w:rsidR="00910165" w:rsidRPr="008A11BB" w:rsidRDefault="00910165" w:rsidP="008A11BB">
      <w:pPr>
        <w:spacing w:after="0" w:line="240" w:lineRule="auto"/>
        <w:rPr>
          <w:rFonts w:ascii="Times New Roman" w:eastAsia="Times New Roman" w:hAnsi="Times New Roman" w:cs="Times New Roman"/>
          <w:b/>
          <w:bCs/>
          <w:color w:val="000000"/>
          <w:sz w:val="24"/>
          <w:szCs w:val="24"/>
        </w:rPr>
      </w:pPr>
    </w:p>
    <w:p w:rsidR="004B3BF5" w:rsidRPr="008A11BB" w:rsidRDefault="004B3BF5" w:rsidP="008A11BB">
      <w:pPr>
        <w:spacing w:after="0" w:line="240" w:lineRule="auto"/>
        <w:rPr>
          <w:rFonts w:ascii="Times New Roman" w:eastAsia="Times New Roman" w:hAnsi="Times New Roman" w:cs="Times New Roman"/>
          <w:b/>
          <w:bCs/>
          <w:color w:val="000000"/>
          <w:sz w:val="24"/>
          <w:szCs w:val="24"/>
        </w:rPr>
      </w:pPr>
    </w:p>
    <w:p w:rsidR="004B3BF5" w:rsidRPr="008A11BB" w:rsidRDefault="004B3BF5" w:rsidP="008A11BB">
      <w:pPr>
        <w:tabs>
          <w:tab w:val="left" w:pos="0"/>
        </w:tabs>
        <w:spacing w:before="120" w:line="240" w:lineRule="auto"/>
        <w:ind w:right="-1" w:firstLine="709"/>
        <w:contextualSpacing/>
        <w:jc w:val="both"/>
        <w:rPr>
          <w:rFonts w:ascii="Times New Roman" w:hAnsi="Times New Roman" w:cs="Times New Roman"/>
          <w:sz w:val="24"/>
          <w:szCs w:val="24"/>
        </w:rPr>
      </w:pPr>
    </w:p>
    <w:p w:rsidR="006E45DA" w:rsidRDefault="004B3BF5" w:rsidP="008A11BB">
      <w:pPr>
        <w:spacing w:after="0" w:line="240" w:lineRule="auto"/>
        <w:rPr>
          <w:rFonts w:ascii="Times New Roman" w:hAnsi="Times New Roman" w:cs="Times New Roman"/>
          <w:b/>
          <w:sz w:val="24"/>
          <w:szCs w:val="24"/>
        </w:rPr>
      </w:pPr>
      <w:r w:rsidRPr="008A11BB">
        <w:rPr>
          <w:rFonts w:ascii="Times New Roman" w:hAnsi="Times New Roman" w:cs="Times New Roman"/>
          <w:b/>
          <w:sz w:val="24"/>
          <w:szCs w:val="24"/>
        </w:rPr>
        <w:t>Заступник директора</w:t>
      </w:r>
      <w:r w:rsidR="006E45DA">
        <w:rPr>
          <w:rFonts w:ascii="Times New Roman" w:hAnsi="Times New Roman" w:cs="Times New Roman"/>
          <w:b/>
          <w:sz w:val="24"/>
          <w:szCs w:val="24"/>
          <w:lang w:val="en-US"/>
        </w:rPr>
        <w:t xml:space="preserve"> </w:t>
      </w:r>
      <w:r w:rsidR="006E45DA">
        <w:rPr>
          <w:rFonts w:ascii="Times New Roman" w:hAnsi="Times New Roman" w:cs="Times New Roman"/>
          <w:b/>
          <w:sz w:val="24"/>
          <w:szCs w:val="24"/>
        </w:rPr>
        <w:t>Департаменту</w:t>
      </w:r>
      <w:r w:rsidRPr="008A11BB">
        <w:rPr>
          <w:rFonts w:ascii="Times New Roman" w:hAnsi="Times New Roman" w:cs="Times New Roman"/>
          <w:sz w:val="24"/>
          <w:szCs w:val="24"/>
        </w:rPr>
        <w:t>-</w:t>
      </w:r>
      <w:bookmarkStart w:id="0" w:name="_GoBack"/>
      <w:bookmarkEnd w:id="0"/>
      <w:r w:rsidRPr="008A11BB">
        <w:rPr>
          <w:rFonts w:ascii="Times New Roman" w:hAnsi="Times New Roman" w:cs="Times New Roman"/>
          <w:b/>
          <w:sz w:val="24"/>
          <w:szCs w:val="24"/>
        </w:rPr>
        <w:t xml:space="preserve">начальник відділу методологічного </w:t>
      </w:r>
    </w:p>
    <w:p w:rsidR="006E45DA" w:rsidRDefault="004B3BF5" w:rsidP="008A11BB">
      <w:pPr>
        <w:spacing w:after="0" w:line="240" w:lineRule="auto"/>
        <w:rPr>
          <w:rFonts w:ascii="Times New Roman" w:hAnsi="Times New Roman" w:cs="Times New Roman"/>
          <w:b/>
          <w:sz w:val="24"/>
          <w:szCs w:val="24"/>
        </w:rPr>
      </w:pPr>
      <w:r w:rsidRPr="008A11BB">
        <w:rPr>
          <w:rFonts w:ascii="Times New Roman" w:hAnsi="Times New Roman" w:cs="Times New Roman"/>
          <w:b/>
          <w:sz w:val="24"/>
          <w:szCs w:val="24"/>
        </w:rPr>
        <w:t>забезпечення функціонування ринку природного газу</w:t>
      </w:r>
    </w:p>
    <w:p w:rsidR="004B3BF5" w:rsidRPr="008A11BB" w:rsidRDefault="006E45DA" w:rsidP="006E45DA">
      <w:pPr>
        <w:spacing w:after="0" w:line="240" w:lineRule="auto"/>
        <w:rPr>
          <w:rFonts w:ascii="Times New Roman" w:hAnsi="Times New Roman" w:cs="Times New Roman"/>
          <w:b/>
          <w:sz w:val="24"/>
          <w:szCs w:val="24"/>
        </w:rPr>
      </w:pPr>
      <w:r w:rsidRPr="008A11BB">
        <w:rPr>
          <w:rFonts w:ascii="Times New Roman" w:hAnsi="Times New Roman" w:cs="Times New Roman"/>
          <w:b/>
          <w:sz w:val="24"/>
          <w:szCs w:val="24"/>
        </w:rPr>
        <w:t>Департаменту</w:t>
      </w:r>
      <w:r>
        <w:rPr>
          <w:rFonts w:ascii="Times New Roman" w:hAnsi="Times New Roman" w:cs="Times New Roman"/>
          <w:b/>
          <w:sz w:val="24"/>
          <w:szCs w:val="24"/>
          <w:lang w:val="en-US"/>
        </w:rPr>
        <w:t xml:space="preserve"> </w:t>
      </w:r>
      <w:r w:rsidRPr="008A11BB">
        <w:rPr>
          <w:rFonts w:ascii="Times New Roman" w:hAnsi="Times New Roman" w:cs="Times New Roman"/>
          <w:b/>
          <w:sz w:val="24"/>
          <w:szCs w:val="24"/>
        </w:rPr>
        <w:t>розвитку газового ринку</w:t>
      </w:r>
      <w:r w:rsidR="004B3BF5" w:rsidRPr="008A11BB">
        <w:rPr>
          <w:rFonts w:ascii="Times New Roman" w:hAnsi="Times New Roman" w:cs="Times New Roman"/>
          <w:b/>
          <w:sz w:val="24"/>
          <w:szCs w:val="24"/>
        </w:rPr>
        <w:tab/>
      </w:r>
      <w:r w:rsidR="004B3BF5" w:rsidRPr="008A11BB">
        <w:rPr>
          <w:rFonts w:ascii="Times New Roman" w:hAnsi="Times New Roman" w:cs="Times New Roman"/>
          <w:b/>
          <w:sz w:val="24"/>
          <w:szCs w:val="24"/>
        </w:rPr>
        <w:tab/>
      </w:r>
      <w:r w:rsidR="004B3BF5" w:rsidRPr="008A11BB">
        <w:rPr>
          <w:rFonts w:ascii="Times New Roman" w:hAnsi="Times New Roman" w:cs="Times New Roman"/>
          <w:b/>
          <w:sz w:val="24"/>
          <w:szCs w:val="24"/>
        </w:rPr>
        <w:tab/>
      </w:r>
      <w:r w:rsidR="004B3BF5" w:rsidRPr="008A11BB">
        <w:rPr>
          <w:rFonts w:ascii="Times New Roman" w:hAnsi="Times New Roman" w:cs="Times New Roman"/>
          <w:b/>
          <w:sz w:val="24"/>
          <w:szCs w:val="24"/>
        </w:rPr>
        <w:tab/>
      </w:r>
      <w:r w:rsidR="004B3BF5" w:rsidRPr="008A11BB">
        <w:rPr>
          <w:rFonts w:ascii="Times New Roman" w:hAnsi="Times New Roman" w:cs="Times New Roman"/>
          <w:b/>
          <w:sz w:val="24"/>
          <w:szCs w:val="24"/>
        </w:rPr>
        <w:tab/>
      </w:r>
      <w:r w:rsidR="004B3BF5" w:rsidRPr="008A11BB">
        <w:rPr>
          <w:rFonts w:ascii="Times New Roman" w:hAnsi="Times New Roman" w:cs="Times New Roman"/>
          <w:b/>
          <w:sz w:val="24"/>
          <w:szCs w:val="24"/>
        </w:rPr>
        <w:tab/>
      </w:r>
      <w:r w:rsidR="004B3BF5" w:rsidRPr="008A11BB">
        <w:rPr>
          <w:rFonts w:ascii="Times New Roman" w:hAnsi="Times New Roman" w:cs="Times New Roman"/>
          <w:b/>
          <w:sz w:val="24"/>
          <w:szCs w:val="24"/>
        </w:rPr>
        <w:tab/>
      </w:r>
      <w:r w:rsidR="004B3BF5" w:rsidRPr="008A11BB">
        <w:rPr>
          <w:rFonts w:ascii="Times New Roman" w:hAnsi="Times New Roman" w:cs="Times New Roman"/>
          <w:b/>
          <w:sz w:val="24"/>
          <w:szCs w:val="24"/>
        </w:rPr>
        <w:tab/>
      </w:r>
      <w:r w:rsidR="004B3BF5" w:rsidRPr="008A11BB">
        <w:rPr>
          <w:rFonts w:ascii="Times New Roman" w:hAnsi="Times New Roman" w:cs="Times New Roman"/>
          <w:b/>
          <w:sz w:val="24"/>
          <w:szCs w:val="24"/>
        </w:rPr>
        <w:tab/>
      </w:r>
      <w:r w:rsidR="004B3BF5" w:rsidRPr="008A11BB">
        <w:rPr>
          <w:rFonts w:ascii="Times New Roman" w:hAnsi="Times New Roman" w:cs="Times New Roman"/>
          <w:b/>
          <w:sz w:val="24"/>
          <w:szCs w:val="24"/>
        </w:rPr>
        <w:tab/>
      </w:r>
      <w:r w:rsidR="00DA2AC6">
        <w:rPr>
          <w:rFonts w:ascii="Times New Roman" w:hAnsi="Times New Roman" w:cs="Times New Roman"/>
          <w:b/>
          <w:sz w:val="24"/>
          <w:szCs w:val="24"/>
        </w:rPr>
        <w:tab/>
      </w:r>
      <w:r w:rsidR="00DA2AC6">
        <w:rPr>
          <w:rFonts w:ascii="Times New Roman" w:hAnsi="Times New Roman" w:cs="Times New Roman"/>
          <w:b/>
          <w:sz w:val="24"/>
          <w:szCs w:val="24"/>
        </w:rPr>
        <w:tab/>
      </w:r>
      <w:r w:rsidR="004B3BF5" w:rsidRPr="008A11BB">
        <w:rPr>
          <w:rFonts w:ascii="Times New Roman" w:hAnsi="Times New Roman" w:cs="Times New Roman"/>
          <w:b/>
          <w:sz w:val="24"/>
          <w:szCs w:val="24"/>
        </w:rPr>
        <w:t>Тетяна КРИВОНОГ</w:t>
      </w:r>
    </w:p>
    <w:p w:rsidR="004B3BF5" w:rsidRPr="008A11BB" w:rsidRDefault="004B3BF5" w:rsidP="008A11BB">
      <w:pPr>
        <w:spacing w:after="0" w:line="240" w:lineRule="auto"/>
        <w:rPr>
          <w:rFonts w:ascii="Times New Roman" w:hAnsi="Times New Roman" w:cs="Times New Roman"/>
          <w:b/>
          <w:sz w:val="24"/>
          <w:szCs w:val="24"/>
        </w:rPr>
      </w:pPr>
    </w:p>
    <w:p w:rsidR="004B3BF5" w:rsidRPr="008A11BB" w:rsidRDefault="004B3BF5" w:rsidP="008A11BB">
      <w:pPr>
        <w:spacing w:after="0" w:line="240" w:lineRule="auto"/>
        <w:rPr>
          <w:rFonts w:ascii="Times New Roman" w:eastAsia="Times New Roman" w:hAnsi="Times New Roman" w:cs="Times New Roman"/>
          <w:b/>
          <w:bCs/>
          <w:color w:val="000000"/>
          <w:sz w:val="24"/>
          <w:szCs w:val="24"/>
        </w:rPr>
      </w:pPr>
    </w:p>
    <w:sectPr w:rsidR="004B3BF5" w:rsidRPr="008A11BB" w:rsidSect="00DA2AC6">
      <w:footerReference w:type="default" r:id="rId8"/>
      <w:pgSz w:w="16838" w:h="11906" w:orient="landscape"/>
      <w:pgMar w:top="1134" w:right="850" w:bottom="1418"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0A09" w:rsidRDefault="00EE0A09" w:rsidP="00C24EEB">
      <w:pPr>
        <w:spacing w:after="0" w:line="240" w:lineRule="auto"/>
      </w:pPr>
      <w:r>
        <w:separator/>
      </w:r>
    </w:p>
  </w:endnote>
  <w:endnote w:type="continuationSeparator" w:id="0">
    <w:p w:rsidR="00EE0A09" w:rsidRDefault="00EE0A09" w:rsidP="00C24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072505"/>
      <w:docPartObj>
        <w:docPartGallery w:val="Page Numbers (Bottom of Page)"/>
        <w:docPartUnique/>
      </w:docPartObj>
    </w:sdtPr>
    <w:sdtEndPr/>
    <w:sdtContent>
      <w:p w:rsidR="00C24EEB" w:rsidRDefault="00414566">
        <w:pPr>
          <w:pStyle w:val="a7"/>
          <w:jc w:val="right"/>
        </w:pPr>
        <w:r>
          <w:fldChar w:fldCharType="begin"/>
        </w:r>
        <w:r w:rsidR="00C24EEB">
          <w:instrText>PAGE   \* MERGEFORMAT</w:instrText>
        </w:r>
        <w:r>
          <w:fldChar w:fldCharType="separate"/>
        </w:r>
        <w:r w:rsidR="00910165">
          <w:rPr>
            <w:noProof/>
          </w:rPr>
          <w:t>4</w:t>
        </w:r>
        <w:r>
          <w:fldChar w:fldCharType="end"/>
        </w:r>
      </w:p>
    </w:sdtContent>
  </w:sdt>
  <w:p w:rsidR="00C24EEB" w:rsidRDefault="00C24EE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0A09" w:rsidRDefault="00EE0A09" w:rsidP="00C24EEB">
      <w:pPr>
        <w:spacing w:after="0" w:line="240" w:lineRule="auto"/>
      </w:pPr>
      <w:r>
        <w:separator/>
      </w:r>
    </w:p>
  </w:footnote>
  <w:footnote w:type="continuationSeparator" w:id="0">
    <w:p w:rsidR="00EE0A09" w:rsidRDefault="00EE0A09" w:rsidP="00C24E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04DE"/>
    <w:rsid w:val="00012D7C"/>
    <w:rsid w:val="00036AA4"/>
    <w:rsid w:val="00047134"/>
    <w:rsid w:val="00063088"/>
    <w:rsid w:val="00082CB1"/>
    <w:rsid w:val="000A36AE"/>
    <w:rsid w:val="000A512C"/>
    <w:rsid w:val="000C04DE"/>
    <w:rsid w:val="001016BD"/>
    <w:rsid w:val="00125869"/>
    <w:rsid w:val="00147EC0"/>
    <w:rsid w:val="001A3639"/>
    <w:rsid w:val="001C0914"/>
    <w:rsid w:val="00211F06"/>
    <w:rsid w:val="00212480"/>
    <w:rsid w:val="00231724"/>
    <w:rsid w:val="002522C5"/>
    <w:rsid w:val="00260DFD"/>
    <w:rsid w:val="00272BD8"/>
    <w:rsid w:val="00274F2E"/>
    <w:rsid w:val="00283D58"/>
    <w:rsid w:val="002E498B"/>
    <w:rsid w:val="002F0892"/>
    <w:rsid w:val="0030166B"/>
    <w:rsid w:val="00316BA2"/>
    <w:rsid w:val="00331417"/>
    <w:rsid w:val="00356F27"/>
    <w:rsid w:val="00357AE4"/>
    <w:rsid w:val="003B1F75"/>
    <w:rsid w:val="00402203"/>
    <w:rsid w:val="00405984"/>
    <w:rsid w:val="00414566"/>
    <w:rsid w:val="00420C2B"/>
    <w:rsid w:val="00422F21"/>
    <w:rsid w:val="004565D3"/>
    <w:rsid w:val="0047565F"/>
    <w:rsid w:val="004824DF"/>
    <w:rsid w:val="004A0E03"/>
    <w:rsid w:val="004B3BF5"/>
    <w:rsid w:val="004F37B6"/>
    <w:rsid w:val="00503489"/>
    <w:rsid w:val="00527563"/>
    <w:rsid w:val="0053082B"/>
    <w:rsid w:val="0056452B"/>
    <w:rsid w:val="005A2ECE"/>
    <w:rsid w:val="00600105"/>
    <w:rsid w:val="006528D2"/>
    <w:rsid w:val="00663D85"/>
    <w:rsid w:val="0068294B"/>
    <w:rsid w:val="006B6535"/>
    <w:rsid w:val="006E41CC"/>
    <w:rsid w:val="006E45DA"/>
    <w:rsid w:val="00770C34"/>
    <w:rsid w:val="00771EF7"/>
    <w:rsid w:val="0078296D"/>
    <w:rsid w:val="007B4790"/>
    <w:rsid w:val="007C2486"/>
    <w:rsid w:val="00836BB9"/>
    <w:rsid w:val="008A11BB"/>
    <w:rsid w:val="008B5F29"/>
    <w:rsid w:val="008D7E0F"/>
    <w:rsid w:val="00910165"/>
    <w:rsid w:val="009372D8"/>
    <w:rsid w:val="00976C3B"/>
    <w:rsid w:val="009D4461"/>
    <w:rsid w:val="00A02F89"/>
    <w:rsid w:val="00A03204"/>
    <w:rsid w:val="00A51DD6"/>
    <w:rsid w:val="00A6250F"/>
    <w:rsid w:val="00A83B96"/>
    <w:rsid w:val="00A96938"/>
    <w:rsid w:val="00AE67F1"/>
    <w:rsid w:val="00AF2B6A"/>
    <w:rsid w:val="00B203B3"/>
    <w:rsid w:val="00BA6D5C"/>
    <w:rsid w:val="00BC110C"/>
    <w:rsid w:val="00BC4A82"/>
    <w:rsid w:val="00BC72BA"/>
    <w:rsid w:val="00BD6FCF"/>
    <w:rsid w:val="00C24EEB"/>
    <w:rsid w:val="00C36233"/>
    <w:rsid w:val="00C50845"/>
    <w:rsid w:val="00C63FDD"/>
    <w:rsid w:val="00C74DAB"/>
    <w:rsid w:val="00CD48EB"/>
    <w:rsid w:val="00CF083D"/>
    <w:rsid w:val="00CF17AC"/>
    <w:rsid w:val="00D30967"/>
    <w:rsid w:val="00D34802"/>
    <w:rsid w:val="00D4635D"/>
    <w:rsid w:val="00D63653"/>
    <w:rsid w:val="00D86447"/>
    <w:rsid w:val="00DA2AC6"/>
    <w:rsid w:val="00DB716D"/>
    <w:rsid w:val="00E0217A"/>
    <w:rsid w:val="00E04550"/>
    <w:rsid w:val="00E1087A"/>
    <w:rsid w:val="00E57B04"/>
    <w:rsid w:val="00E8139B"/>
    <w:rsid w:val="00EA1EDF"/>
    <w:rsid w:val="00EB0495"/>
    <w:rsid w:val="00EB37FE"/>
    <w:rsid w:val="00EC693E"/>
    <w:rsid w:val="00ED19B6"/>
    <w:rsid w:val="00ED7EDD"/>
    <w:rsid w:val="00EE0A09"/>
    <w:rsid w:val="00EF625A"/>
    <w:rsid w:val="00F51617"/>
    <w:rsid w:val="00F854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68CAB"/>
  <w15:docId w15:val="{E3D7BC8B-D7B4-43F3-878F-75BB34C95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19B6"/>
    <w:pPr>
      <w:spacing w:line="256" w:lineRule="auto"/>
    </w:pPr>
    <w:rPr>
      <w:rFonts w:ascii="Calibri" w:eastAsia="Calibri" w:hAnsi="Calibri" w:cs="Calibri"/>
      <w:lang w:eastAsia="uk-UA"/>
    </w:rPr>
  </w:style>
  <w:style w:type="paragraph" w:styleId="3">
    <w:name w:val="heading 3"/>
    <w:basedOn w:val="a"/>
    <w:next w:val="a"/>
    <w:link w:val="30"/>
    <w:uiPriority w:val="9"/>
    <w:semiHidden/>
    <w:unhideWhenUsed/>
    <w:qFormat/>
    <w:rsid w:val="00A96938"/>
    <w:pPr>
      <w:keepNext/>
      <w:keepLines/>
      <w:spacing w:before="160" w:after="80" w:line="276" w:lineRule="auto"/>
      <w:outlineLvl w:val="2"/>
    </w:pPr>
    <w:rPr>
      <w:rFonts w:eastAsiaTheme="majorEastAsia" w:cstheme="majorBidi"/>
      <w:color w:val="2F5496"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D19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7565F"/>
    <w:rPr>
      <w:color w:val="0563C1" w:themeColor="hyperlink"/>
      <w:u w:val="single"/>
    </w:rPr>
  </w:style>
  <w:style w:type="paragraph" w:customStyle="1" w:styleId="rvps2">
    <w:name w:val="rvps2"/>
    <w:basedOn w:val="a"/>
    <w:rsid w:val="00D34802"/>
    <w:pPr>
      <w:spacing w:before="100" w:beforeAutospacing="1" w:after="100" w:afterAutospacing="1" w:line="240" w:lineRule="auto"/>
    </w:pPr>
    <w:rPr>
      <w:rFonts w:ascii="Times New Roman" w:hAnsi="Times New Roman" w:cs="Times New Roman"/>
      <w:sz w:val="24"/>
      <w:szCs w:val="24"/>
    </w:rPr>
  </w:style>
  <w:style w:type="character" w:customStyle="1" w:styleId="30">
    <w:name w:val="Заголовок 3 Знак"/>
    <w:basedOn w:val="a0"/>
    <w:link w:val="3"/>
    <w:uiPriority w:val="9"/>
    <w:semiHidden/>
    <w:rsid w:val="00A96938"/>
    <w:rPr>
      <w:rFonts w:ascii="Calibri" w:eastAsiaTheme="majorEastAsia" w:hAnsi="Calibri" w:cstheme="majorBidi"/>
      <w:color w:val="2F5496" w:themeColor="accent1" w:themeShade="BF"/>
      <w:sz w:val="28"/>
      <w:szCs w:val="28"/>
    </w:rPr>
  </w:style>
  <w:style w:type="paragraph" w:styleId="a5">
    <w:name w:val="header"/>
    <w:basedOn w:val="a"/>
    <w:link w:val="a6"/>
    <w:uiPriority w:val="99"/>
    <w:unhideWhenUsed/>
    <w:rsid w:val="00C24EEB"/>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C24EEB"/>
    <w:rPr>
      <w:rFonts w:ascii="Calibri" w:eastAsia="Calibri" w:hAnsi="Calibri" w:cs="Calibri"/>
      <w:lang w:eastAsia="uk-UA"/>
    </w:rPr>
  </w:style>
  <w:style w:type="paragraph" w:styleId="a7">
    <w:name w:val="footer"/>
    <w:basedOn w:val="a"/>
    <w:link w:val="a8"/>
    <w:uiPriority w:val="99"/>
    <w:unhideWhenUsed/>
    <w:rsid w:val="00C24EEB"/>
    <w:pPr>
      <w:tabs>
        <w:tab w:val="center" w:pos="4819"/>
        <w:tab w:val="right" w:pos="9639"/>
      </w:tabs>
      <w:spacing w:after="0" w:line="240" w:lineRule="auto"/>
    </w:pPr>
  </w:style>
  <w:style w:type="character" w:customStyle="1" w:styleId="a8">
    <w:name w:val="Нижній колонтитул Знак"/>
    <w:basedOn w:val="a0"/>
    <w:link w:val="a7"/>
    <w:uiPriority w:val="99"/>
    <w:rsid w:val="00C24EEB"/>
    <w:rPr>
      <w:rFonts w:ascii="Calibri" w:eastAsia="Calibri" w:hAnsi="Calibri" w:cs="Calibri"/>
      <w:lang w:eastAsia="uk-UA"/>
    </w:rPr>
  </w:style>
  <w:style w:type="character" w:customStyle="1" w:styleId="rvts23">
    <w:name w:val="rvts23"/>
    <w:basedOn w:val="a0"/>
    <w:rsid w:val="00274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0377">
      <w:bodyDiv w:val="1"/>
      <w:marLeft w:val="0"/>
      <w:marRight w:val="0"/>
      <w:marTop w:val="0"/>
      <w:marBottom w:val="0"/>
      <w:divBdr>
        <w:top w:val="none" w:sz="0" w:space="0" w:color="auto"/>
        <w:left w:val="none" w:sz="0" w:space="0" w:color="auto"/>
        <w:bottom w:val="none" w:sz="0" w:space="0" w:color="auto"/>
        <w:right w:val="none" w:sz="0" w:space="0" w:color="auto"/>
      </w:divBdr>
    </w:div>
    <w:div w:id="85197465">
      <w:bodyDiv w:val="1"/>
      <w:marLeft w:val="0"/>
      <w:marRight w:val="0"/>
      <w:marTop w:val="0"/>
      <w:marBottom w:val="0"/>
      <w:divBdr>
        <w:top w:val="none" w:sz="0" w:space="0" w:color="auto"/>
        <w:left w:val="none" w:sz="0" w:space="0" w:color="auto"/>
        <w:bottom w:val="none" w:sz="0" w:space="0" w:color="auto"/>
        <w:right w:val="none" w:sz="0" w:space="0" w:color="auto"/>
      </w:divBdr>
    </w:div>
    <w:div w:id="287513260">
      <w:bodyDiv w:val="1"/>
      <w:marLeft w:val="0"/>
      <w:marRight w:val="0"/>
      <w:marTop w:val="0"/>
      <w:marBottom w:val="0"/>
      <w:divBdr>
        <w:top w:val="none" w:sz="0" w:space="0" w:color="auto"/>
        <w:left w:val="none" w:sz="0" w:space="0" w:color="auto"/>
        <w:bottom w:val="none" w:sz="0" w:space="0" w:color="auto"/>
        <w:right w:val="none" w:sz="0" w:space="0" w:color="auto"/>
      </w:divBdr>
    </w:div>
    <w:div w:id="488250880">
      <w:bodyDiv w:val="1"/>
      <w:marLeft w:val="0"/>
      <w:marRight w:val="0"/>
      <w:marTop w:val="0"/>
      <w:marBottom w:val="0"/>
      <w:divBdr>
        <w:top w:val="none" w:sz="0" w:space="0" w:color="auto"/>
        <w:left w:val="none" w:sz="0" w:space="0" w:color="auto"/>
        <w:bottom w:val="none" w:sz="0" w:space="0" w:color="auto"/>
        <w:right w:val="none" w:sz="0" w:space="0" w:color="auto"/>
      </w:divBdr>
    </w:div>
    <w:div w:id="493109483">
      <w:bodyDiv w:val="1"/>
      <w:marLeft w:val="0"/>
      <w:marRight w:val="0"/>
      <w:marTop w:val="0"/>
      <w:marBottom w:val="0"/>
      <w:divBdr>
        <w:top w:val="none" w:sz="0" w:space="0" w:color="auto"/>
        <w:left w:val="none" w:sz="0" w:space="0" w:color="auto"/>
        <w:bottom w:val="none" w:sz="0" w:space="0" w:color="auto"/>
        <w:right w:val="none" w:sz="0" w:space="0" w:color="auto"/>
      </w:divBdr>
    </w:div>
    <w:div w:id="594827627">
      <w:bodyDiv w:val="1"/>
      <w:marLeft w:val="0"/>
      <w:marRight w:val="0"/>
      <w:marTop w:val="0"/>
      <w:marBottom w:val="0"/>
      <w:divBdr>
        <w:top w:val="none" w:sz="0" w:space="0" w:color="auto"/>
        <w:left w:val="none" w:sz="0" w:space="0" w:color="auto"/>
        <w:bottom w:val="none" w:sz="0" w:space="0" w:color="auto"/>
        <w:right w:val="none" w:sz="0" w:space="0" w:color="auto"/>
      </w:divBdr>
    </w:div>
    <w:div w:id="626670144">
      <w:bodyDiv w:val="1"/>
      <w:marLeft w:val="0"/>
      <w:marRight w:val="0"/>
      <w:marTop w:val="0"/>
      <w:marBottom w:val="0"/>
      <w:divBdr>
        <w:top w:val="none" w:sz="0" w:space="0" w:color="auto"/>
        <w:left w:val="none" w:sz="0" w:space="0" w:color="auto"/>
        <w:bottom w:val="none" w:sz="0" w:space="0" w:color="auto"/>
        <w:right w:val="none" w:sz="0" w:space="0" w:color="auto"/>
      </w:divBdr>
    </w:div>
    <w:div w:id="796026392">
      <w:bodyDiv w:val="1"/>
      <w:marLeft w:val="0"/>
      <w:marRight w:val="0"/>
      <w:marTop w:val="0"/>
      <w:marBottom w:val="0"/>
      <w:divBdr>
        <w:top w:val="none" w:sz="0" w:space="0" w:color="auto"/>
        <w:left w:val="none" w:sz="0" w:space="0" w:color="auto"/>
        <w:bottom w:val="none" w:sz="0" w:space="0" w:color="auto"/>
        <w:right w:val="none" w:sz="0" w:space="0" w:color="auto"/>
      </w:divBdr>
    </w:div>
    <w:div w:id="862674469">
      <w:bodyDiv w:val="1"/>
      <w:marLeft w:val="0"/>
      <w:marRight w:val="0"/>
      <w:marTop w:val="0"/>
      <w:marBottom w:val="0"/>
      <w:divBdr>
        <w:top w:val="none" w:sz="0" w:space="0" w:color="auto"/>
        <w:left w:val="none" w:sz="0" w:space="0" w:color="auto"/>
        <w:bottom w:val="none" w:sz="0" w:space="0" w:color="auto"/>
        <w:right w:val="none" w:sz="0" w:space="0" w:color="auto"/>
      </w:divBdr>
    </w:div>
    <w:div w:id="877469618">
      <w:bodyDiv w:val="1"/>
      <w:marLeft w:val="0"/>
      <w:marRight w:val="0"/>
      <w:marTop w:val="0"/>
      <w:marBottom w:val="0"/>
      <w:divBdr>
        <w:top w:val="none" w:sz="0" w:space="0" w:color="auto"/>
        <w:left w:val="none" w:sz="0" w:space="0" w:color="auto"/>
        <w:bottom w:val="none" w:sz="0" w:space="0" w:color="auto"/>
        <w:right w:val="none" w:sz="0" w:space="0" w:color="auto"/>
      </w:divBdr>
    </w:div>
    <w:div w:id="948124544">
      <w:bodyDiv w:val="1"/>
      <w:marLeft w:val="0"/>
      <w:marRight w:val="0"/>
      <w:marTop w:val="0"/>
      <w:marBottom w:val="0"/>
      <w:divBdr>
        <w:top w:val="none" w:sz="0" w:space="0" w:color="auto"/>
        <w:left w:val="none" w:sz="0" w:space="0" w:color="auto"/>
        <w:bottom w:val="none" w:sz="0" w:space="0" w:color="auto"/>
        <w:right w:val="none" w:sz="0" w:space="0" w:color="auto"/>
      </w:divBdr>
    </w:div>
    <w:div w:id="1026057994">
      <w:bodyDiv w:val="1"/>
      <w:marLeft w:val="0"/>
      <w:marRight w:val="0"/>
      <w:marTop w:val="0"/>
      <w:marBottom w:val="0"/>
      <w:divBdr>
        <w:top w:val="none" w:sz="0" w:space="0" w:color="auto"/>
        <w:left w:val="none" w:sz="0" w:space="0" w:color="auto"/>
        <w:bottom w:val="none" w:sz="0" w:space="0" w:color="auto"/>
        <w:right w:val="none" w:sz="0" w:space="0" w:color="auto"/>
      </w:divBdr>
    </w:div>
    <w:div w:id="1164783194">
      <w:bodyDiv w:val="1"/>
      <w:marLeft w:val="0"/>
      <w:marRight w:val="0"/>
      <w:marTop w:val="0"/>
      <w:marBottom w:val="0"/>
      <w:divBdr>
        <w:top w:val="none" w:sz="0" w:space="0" w:color="auto"/>
        <w:left w:val="none" w:sz="0" w:space="0" w:color="auto"/>
        <w:bottom w:val="none" w:sz="0" w:space="0" w:color="auto"/>
        <w:right w:val="none" w:sz="0" w:space="0" w:color="auto"/>
      </w:divBdr>
    </w:div>
    <w:div w:id="1306280662">
      <w:bodyDiv w:val="1"/>
      <w:marLeft w:val="0"/>
      <w:marRight w:val="0"/>
      <w:marTop w:val="0"/>
      <w:marBottom w:val="0"/>
      <w:divBdr>
        <w:top w:val="none" w:sz="0" w:space="0" w:color="auto"/>
        <w:left w:val="none" w:sz="0" w:space="0" w:color="auto"/>
        <w:bottom w:val="none" w:sz="0" w:space="0" w:color="auto"/>
        <w:right w:val="none" w:sz="0" w:space="0" w:color="auto"/>
      </w:divBdr>
    </w:div>
    <w:div w:id="1542551205">
      <w:bodyDiv w:val="1"/>
      <w:marLeft w:val="0"/>
      <w:marRight w:val="0"/>
      <w:marTop w:val="0"/>
      <w:marBottom w:val="0"/>
      <w:divBdr>
        <w:top w:val="none" w:sz="0" w:space="0" w:color="auto"/>
        <w:left w:val="none" w:sz="0" w:space="0" w:color="auto"/>
        <w:bottom w:val="none" w:sz="0" w:space="0" w:color="auto"/>
        <w:right w:val="none" w:sz="0" w:space="0" w:color="auto"/>
      </w:divBdr>
    </w:div>
    <w:div w:id="1851799517">
      <w:bodyDiv w:val="1"/>
      <w:marLeft w:val="0"/>
      <w:marRight w:val="0"/>
      <w:marTop w:val="0"/>
      <w:marBottom w:val="0"/>
      <w:divBdr>
        <w:top w:val="none" w:sz="0" w:space="0" w:color="auto"/>
        <w:left w:val="none" w:sz="0" w:space="0" w:color="auto"/>
        <w:bottom w:val="none" w:sz="0" w:space="0" w:color="auto"/>
        <w:right w:val="none" w:sz="0" w:space="0" w:color="auto"/>
      </w:divBdr>
    </w:div>
    <w:div w:id="1879464020">
      <w:bodyDiv w:val="1"/>
      <w:marLeft w:val="0"/>
      <w:marRight w:val="0"/>
      <w:marTop w:val="0"/>
      <w:marBottom w:val="0"/>
      <w:divBdr>
        <w:top w:val="none" w:sz="0" w:space="0" w:color="auto"/>
        <w:left w:val="none" w:sz="0" w:space="0" w:color="auto"/>
        <w:bottom w:val="none" w:sz="0" w:space="0" w:color="auto"/>
        <w:right w:val="none" w:sz="0" w:space="0" w:color="auto"/>
      </w:divBdr>
    </w:div>
    <w:div w:id="1956866280">
      <w:bodyDiv w:val="1"/>
      <w:marLeft w:val="0"/>
      <w:marRight w:val="0"/>
      <w:marTop w:val="0"/>
      <w:marBottom w:val="0"/>
      <w:divBdr>
        <w:top w:val="none" w:sz="0" w:space="0" w:color="auto"/>
        <w:left w:val="none" w:sz="0" w:space="0" w:color="auto"/>
        <w:bottom w:val="none" w:sz="0" w:space="0" w:color="auto"/>
        <w:right w:val="none" w:sz="0" w:space="0" w:color="auto"/>
      </w:divBdr>
    </w:div>
    <w:div w:id="212207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zakon.rada.gov.ua/laws/show/v0866874-1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v0866874-17"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3</Pages>
  <Words>4978</Words>
  <Characters>2838</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Кулаковська</dc:creator>
  <cp:lastModifiedBy>Людмила Кулаковська</cp:lastModifiedBy>
  <cp:revision>18</cp:revision>
  <dcterms:created xsi:type="dcterms:W3CDTF">2025-06-02T07:30:00Z</dcterms:created>
  <dcterms:modified xsi:type="dcterms:W3CDTF">2025-08-12T11:08:00Z</dcterms:modified>
</cp:coreProperties>
</file>