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4"/>
        <w:tblW w:w="1545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901"/>
        <w:gridCol w:w="7551"/>
      </w:tblGrid>
      <w:tr w:rsidR="0052576B" w:rsidRPr="00A0058B" w14:paraId="67212936" w14:textId="77777777" w:rsidTr="006F78EA">
        <w:tc>
          <w:tcPr>
            <w:tcW w:w="15452" w:type="dxa"/>
            <w:gridSpan w:val="2"/>
          </w:tcPr>
          <w:p w14:paraId="6B85F5E9" w14:textId="77777777" w:rsidR="0052576B" w:rsidRPr="00831D13" w:rsidRDefault="0052576B" w:rsidP="003113C4">
            <w:pPr>
              <w:pStyle w:val="rvps7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rStyle w:val="rvts15"/>
                <w:b/>
                <w:bCs/>
                <w:color w:val="333333"/>
                <w:sz w:val="26"/>
                <w:szCs w:val="26"/>
                <w:lang w:val="en-US"/>
              </w:rPr>
            </w:pPr>
          </w:p>
          <w:p w14:paraId="4E0CB60C" w14:textId="77777777" w:rsidR="00DC2D27" w:rsidRPr="00A0058B" w:rsidRDefault="00DC2D27" w:rsidP="003113C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831D13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ПОРІВНЯЛЬНА</w:t>
            </w:r>
            <w:r w:rsidRPr="00A0058B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 </w:t>
            </w:r>
            <w:r w:rsidRPr="00831D13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ТАБЛИЦЯ</w:t>
            </w:r>
          </w:p>
          <w:p w14:paraId="7103DF49" w14:textId="77777777" w:rsidR="000B4C6C" w:rsidRDefault="00DC2D27" w:rsidP="00A0058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831D13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проєкту </w:t>
            </w:r>
            <w:proofErr w:type="spellStart"/>
            <w:r w:rsidR="00A0058B" w:rsidRPr="00A0058B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рішення</w:t>
            </w:r>
            <w:proofErr w:type="spellEnd"/>
            <w:r w:rsidR="00A0058B" w:rsidRPr="00A0058B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, </w:t>
            </w:r>
            <w:proofErr w:type="spellStart"/>
            <w:r w:rsidR="00A0058B" w:rsidRPr="00A0058B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що</w:t>
            </w:r>
            <w:proofErr w:type="spellEnd"/>
            <w:r w:rsidR="00A0058B" w:rsidRPr="00A0058B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</w:t>
            </w:r>
            <w:proofErr w:type="spellStart"/>
            <w:r w:rsidR="00A0058B" w:rsidRPr="00A0058B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має</w:t>
            </w:r>
            <w:proofErr w:type="spellEnd"/>
            <w:r w:rsidR="00A0058B" w:rsidRPr="00A0058B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</w:t>
            </w:r>
            <w:proofErr w:type="spellStart"/>
            <w:r w:rsidR="00A0058B" w:rsidRPr="00A0058B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ознаки</w:t>
            </w:r>
            <w:proofErr w:type="spellEnd"/>
            <w:r w:rsidR="00A0058B" w:rsidRPr="00A0058B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регуляторного акта, - проєкту постанови </w:t>
            </w:r>
          </w:p>
          <w:p w14:paraId="447C6327" w14:textId="5D110544" w:rsidR="00A0058B" w:rsidRDefault="00A0058B" w:rsidP="00A0058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proofErr w:type="spellStart"/>
            <w:r w:rsidRPr="00A0058B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Національної</w:t>
            </w:r>
            <w:proofErr w:type="spellEnd"/>
            <w:r w:rsidRPr="00A0058B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A0058B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комісії</w:t>
            </w:r>
            <w:proofErr w:type="spellEnd"/>
            <w:r w:rsidRPr="00A0058B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A0058B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що</w:t>
            </w:r>
            <w:proofErr w:type="spellEnd"/>
            <w:r w:rsidR="000B4C6C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A0058B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здійснює</w:t>
            </w:r>
            <w:proofErr w:type="spellEnd"/>
            <w:r w:rsidRPr="00A0058B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A0058B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державне</w:t>
            </w:r>
            <w:proofErr w:type="spellEnd"/>
            <w:r w:rsidRPr="00A0058B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A0058B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регулювання</w:t>
            </w:r>
            <w:proofErr w:type="spellEnd"/>
            <w:r w:rsidRPr="00A0058B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у сферах </w:t>
            </w:r>
            <w:proofErr w:type="spellStart"/>
            <w:r w:rsidRPr="00A0058B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енергетики</w:t>
            </w:r>
            <w:proofErr w:type="spellEnd"/>
            <w:r w:rsidRPr="00A0058B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та </w:t>
            </w:r>
            <w:proofErr w:type="spellStart"/>
            <w:r w:rsidRPr="00A0058B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комунальних</w:t>
            </w:r>
            <w:proofErr w:type="spellEnd"/>
            <w:r w:rsidRPr="00A0058B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A0058B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послуг</w:t>
            </w:r>
            <w:proofErr w:type="spellEnd"/>
            <w:r w:rsidRPr="00A0058B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,</w:t>
            </w:r>
          </w:p>
          <w:p w14:paraId="137D0682" w14:textId="30C794C9" w:rsidR="00DC2D27" w:rsidRDefault="00DC2D27" w:rsidP="003113C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831D13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«Про </w:t>
            </w:r>
            <w:r w:rsidR="00893D39" w:rsidRPr="00831D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внесення змін до пункту 7.11 розділу </w:t>
            </w:r>
            <w:r w:rsidR="00893D39" w:rsidRPr="00831D1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VII</w:t>
            </w:r>
            <w:r w:rsidR="00893D39" w:rsidRPr="00831D13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</w:t>
            </w:r>
            <w:r w:rsidR="00893D39" w:rsidRPr="00831D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Правил роздрібного ринку електричної енергії</w:t>
            </w:r>
            <w:r w:rsidRPr="00831D13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»</w:t>
            </w:r>
          </w:p>
          <w:p w14:paraId="291F6BFA" w14:textId="77777777" w:rsidR="00A0058B" w:rsidRPr="00A0058B" w:rsidRDefault="00A0058B" w:rsidP="003113C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  <w:p w14:paraId="3E6F69BE" w14:textId="77777777" w:rsidR="00DC2D27" w:rsidRPr="00831D13" w:rsidRDefault="00DC2D27" w:rsidP="003113C4">
            <w:pPr>
              <w:ind w:firstLine="34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* -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зміни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виділені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за принципом:</w:t>
            </w:r>
          </w:p>
          <w:p w14:paraId="5338608F" w14:textId="77777777" w:rsidR="00DC2D27" w:rsidRPr="00831D13" w:rsidRDefault="00DC2D27" w:rsidP="003113C4">
            <w:pPr>
              <w:ind w:firstLine="34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те,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що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підлягає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виключенню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– </w:t>
            </w:r>
            <w:r w:rsidRPr="00831D13">
              <w:rPr>
                <w:rFonts w:ascii="Times New Roman" w:hAnsi="Times New Roman" w:cs="Times New Roman"/>
                <w:b/>
                <w:i/>
                <w:strike/>
                <w:color w:val="FF0000"/>
                <w:sz w:val="26"/>
                <w:szCs w:val="26"/>
                <w:lang w:val="ru-RU"/>
              </w:rPr>
              <w:t>курсивом</w:t>
            </w:r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;</w:t>
            </w:r>
          </w:p>
          <w:p w14:paraId="4D0BB686" w14:textId="77777777" w:rsidR="0052576B" w:rsidRPr="00831D13" w:rsidRDefault="00DC2D27" w:rsidP="003113C4">
            <w:pPr>
              <w:pStyle w:val="rvps7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b/>
                <w:color w:val="0070C0"/>
                <w:sz w:val="26"/>
                <w:szCs w:val="26"/>
                <w:lang w:val="ru-RU"/>
              </w:rPr>
            </w:pPr>
            <w:r w:rsidRPr="00831D13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sz w:val="26"/>
                <w:szCs w:val="26"/>
                <w:lang w:val="ru-RU"/>
              </w:rPr>
              <w:t>новий</w:t>
            </w:r>
            <w:proofErr w:type="spellEnd"/>
            <w:r w:rsidRPr="00831D13">
              <w:rPr>
                <w:sz w:val="26"/>
                <w:szCs w:val="26"/>
                <w:lang w:val="ru-RU"/>
              </w:rPr>
              <w:t xml:space="preserve"> текс </w:t>
            </w:r>
            <w:proofErr w:type="spellStart"/>
            <w:r w:rsidRPr="00831D13">
              <w:rPr>
                <w:sz w:val="26"/>
                <w:szCs w:val="26"/>
                <w:lang w:val="ru-RU"/>
              </w:rPr>
              <w:t>редакції</w:t>
            </w:r>
            <w:proofErr w:type="spellEnd"/>
            <w:r w:rsidRPr="00831D13">
              <w:rPr>
                <w:sz w:val="26"/>
                <w:szCs w:val="26"/>
                <w:lang w:val="ru-RU"/>
              </w:rPr>
              <w:t xml:space="preserve"> проєкту – </w:t>
            </w:r>
            <w:proofErr w:type="spellStart"/>
            <w:r w:rsidRPr="00831D13">
              <w:rPr>
                <w:b/>
                <w:color w:val="0070C0"/>
                <w:sz w:val="26"/>
                <w:szCs w:val="26"/>
                <w:lang w:val="ru-RU"/>
              </w:rPr>
              <w:t>напівжирним</w:t>
            </w:r>
            <w:proofErr w:type="spellEnd"/>
            <w:r w:rsidRPr="00831D13">
              <w:rPr>
                <w:b/>
                <w:color w:val="0070C0"/>
                <w:sz w:val="26"/>
                <w:szCs w:val="26"/>
                <w:lang w:val="ru-RU"/>
              </w:rPr>
              <w:t xml:space="preserve"> шрифтом</w:t>
            </w:r>
          </w:p>
          <w:p w14:paraId="57A16EB6" w14:textId="0BB58067" w:rsidR="00337C7D" w:rsidRPr="00831D13" w:rsidRDefault="00337C7D" w:rsidP="003113C4">
            <w:pPr>
              <w:pStyle w:val="rvps7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rStyle w:val="rvts15"/>
                <w:b/>
                <w:bCs/>
                <w:color w:val="333333"/>
                <w:sz w:val="26"/>
                <w:szCs w:val="26"/>
                <w:lang w:val="uk-UA"/>
              </w:rPr>
            </w:pPr>
          </w:p>
        </w:tc>
      </w:tr>
      <w:tr w:rsidR="00C105BE" w:rsidRPr="00831D13" w14:paraId="7ACAC44A" w14:textId="77777777" w:rsidTr="006F78EA">
        <w:tc>
          <w:tcPr>
            <w:tcW w:w="7901" w:type="dxa"/>
          </w:tcPr>
          <w:p w14:paraId="4B1431D4" w14:textId="77777777" w:rsidR="00C105BE" w:rsidRPr="00831D13" w:rsidRDefault="00C105BE" w:rsidP="003113C4">
            <w:pPr>
              <w:pStyle w:val="rvps7"/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rStyle w:val="rvts15"/>
                <w:b/>
                <w:bCs/>
                <w:sz w:val="26"/>
                <w:szCs w:val="26"/>
                <w:lang w:val="uk-UA"/>
              </w:rPr>
            </w:pPr>
            <w:r w:rsidRPr="00831D13">
              <w:rPr>
                <w:rStyle w:val="rvts15"/>
                <w:b/>
                <w:bCs/>
                <w:sz w:val="26"/>
                <w:szCs w:val="26"/>
                <w:lang w:val="uk-UA"/>
              </w:rPr>
              <w:t>Чинна редакція</w:t>
            </w:r>
          </w:p>
          <w:p w14:paraId="7E36E86F" w14:textId="70AD7FFE" w:rsidR="00C370E6" w:rsidRPr="00831D13" w:rsidRDefault="00C370E6" w:rsidP="003113C4">
            <w:pPr>
              <w:pStyle w:val="rvps7"/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rStyle w:val="rvts15"/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7551" w:type="dxa"/>
          </w:tcPr>
          <w:p w14:paraId="178595A6" w14:textId="0666D52B" w:rsidR="00C105BE" w:rsidRPr="00831D13" w:rsidRDefault="00C105BE" w:rsidP="003113C4">
            <w:pPr>
              <w:pStyle w:val="rvps7"/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rStyle w:val="rvts15"/>
                <w:b/>
                <w:bCs/>
                <w:sz w:val="26"/>
                <w:szCs w:val="26"/>
                <w:lang w:val="uk-UA"/>
              </w:rPr>
            </w:pPr>
            <w:proofErr w:type="spellStart"/>
            <w:r w:rsidRPr="00831D13">
              <w:rPr>
                <w:b/>
                <w:bCs/>
                <w:sz w:val="26"/>
                <w:szCs w:val="26"/>
              </w:rPr>
              <w:t>Редакція</w:t>
            </w:r>
            <w:proofErr w:type="spellEnd"/>
            <w:r w:rsidRPr="00831D13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831D13">
              <w:rPr>
                <w:b/>
                <w:bCs/>
                <w:sz w:val="26"/>
                <w:szCs w:val="26"/>
              </w:rPr>
              <w:t>зі</w:t>
            </w:r>
            <w:proofErr w:type="spellEnd"/>
            <w:r w:rsidRPr="00831D13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831D13">
              <w:rPr>
                <w:b/>
                <w:bCs/>
                <w:sz w:val="26"/>
                <w:szCs w:val="26"/>
              </w:rPr>
              <w:t>змінами</w:t>
            </w:r>
            <w:proofErr w:type="spellEnd"/>
          </w:p>
        </w:tc>
      </w:tr>
      <w:tr w:rsidR="0052543D" w:rsidRPr="00831D13" w14:paraId="75E2ED40" w14:textId="77777777" w:rsidTr="006F78EA">
        <w:tc>
          <w:tcPr>
            <w:tcW w:w="15452" w:type="dxa"/>
            <w:gridSpan w:val="2"/>
          </w:tcPr>
          <w:p w14:paraId="24EEBD5A" w14:textId="16986D80" w:rsidR="00143F0B" w:rsidRPr="00831D13" w:rsidRDefault="00EF56CE" w:rsidP="003113C4">
            <w:pPr>
              <w:pStyle w:val="rvps6"/>
              <w:shd w:val="clear" w:color="auto" w:fill="FFFFFF"/>
              <w:spacing w:before="300" w:beforeAutospacing="0" w:after="450" w:afterAutospacing="0"/>
              <w:ind w:left="450" w:right="450"/>
              <w:jc w:val="center"/>
              <w:rPr>
                <w:sz w:val="26"/>
                <w:szCs w:val="26"/>
              </w:rPr>
            </w:pPr>
            <w:r w:rsidRPr="00831D13">
              <w:rPr>
                <w:rStyle w:val="rvts23"/>
                <w:b/>
                <w:bCs/>
                <w:sz w:val="26"/>
                <w:szCs w:val="26"/>
              </w:rPr>
              <w:t xml:space="preserve">Правила роздрібного ринку електричної енергії, затверджені </w:t>
            </w:r>
            <w:proofErr w:type="spellStart"/>
            <w:r w:rsidRPr="00831D13">
              <w:rPr>
                <w:rStyle w:val="rvts23"/>
                <w:b/>
                <w:bCs/>
                <w:sz w:val="26"/>
                <w:szCs w:val="26"/>
              </w:rPr>
              <w:t>постанововою</w:t>
            </w:r>
            <w:proofErr w:type="spellEnd"/>
            <w:r w:rsidRPr="00831D13">
              <w:rPr>
                <w:rStyle w:val="rvts23"/>
                <w:b/>
                <w:bCs/>
                <w:sz w:val="26"/>
                <w:szCs w:val="26"/>
              </w:rPr>
              <w:t xml:space="preserve"> </w:t>
            </w:r>
            <w:bookmarkStart w:id="0" w:name="n1918"/>
            <w:bookmarkEnd w:id="0"/>
            <w:r w:rsidRPr="00831D13">
              <w:rPr>
                <w:rStyle w:val="rvts23"/>
                <w:b/>
                <w:bCs/>
                <w:sz w:val="26"/>
                <w:szCs w:val="26"/>
              </w:rPr>
              <w:t xml:space="preserve">НКРЕКП від </w:t>
            </w:r>
            <w:bookmarkStart w:id="1" w:name="4"/>
            <w:r w:rsidRPr="00831D13">
              <w:rPr>
                <w:rStyle w:val="rvts23"/>
                <w:b/>
                <w:bCs/>
                <w:sz w:val="26"/>
                <w:szCs w:val="26"/>
              </w:rPr>
              <w:t>14.03.2018 № 312</w:t>
            </w:r>
            <w:bookmarkEnd w:id="1"/>
          </w:p>
        </w:tc>
      </w:tr>
      <w:tr w:rsidR="00DC2D27" w:rsidRPr="00A0058B" w14:paraId="408E8782" w14:textId="77777777" w:rsidTr="006F78EA">
        <w:tc>
          <w:tcPr>
            <w:tcW w:w="15452" w:type="dxa"/>
            <w:gridSpan w:val="2"/>
          </w:tcPr>
          <w:p w14:paraId="79ACEB5B" w14:textId="0B6E0642" w:rsidR="00644650" w:rsidRPr="00831D13" w:rsidRDefault="00644650" w:rsidP="003113C4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  <w:lang w:val="ru-RU"/>
              </w:rPr>
            </w:pPr>
            <w:bookmarkStart w:id="2" w:name="857"/>
            <w:r w:rsidRPr="00831D13">
              <w:rPr>
                <w:rFonts w:ascii="Times New Roman" w:hAnsi="Times New Roman"/>
                <w:color w:val="auto"/>
                <w:sz w:val="26"/>
                <w:szCs w:val="26"/>
              </w:rPr>
              <w:t>VII</w:t>
            </w:r>
            <w:r w:rsidRPr="00831D13">
              <w:rPr>
                <w:rFonts w:ascii="Times New Roman" w:hAnsi="Times New Roman"/>
                <w:color w:val="auto"/>
                <w:sz w:val="26"/>
                <w:szCs w:val="26"/>
                <w:lang w:val="ru-RU"/>
              </w:rPr>
              <w:t xml:space="preserve">. </w:t>
            </w:r>
            <w:proofErr w:type="spellStart"/>
            <w:r w:rsidRPr="00831D13">
              <w:rPr>
                <w:rFonts w:ascii="Times New Roman" w:hAnsi="Times New Roman"/>
                <w:color w:val="auto"/>
                <w:sz w:val="26"/>
                <w:szCs w:val="26"/>
                <w:lang w:val="ru-RU"/>
              </w:rPr>
              <w:t>Умови</w:t>
            </w:r>
            <w:proofErr w:type="spellEnd"/>
            <w:r w:rsidRPr="00831D13">
              <w:rPr>
                <w:rFonts w:ascii="Times New Roman" w:hAnsi="Times New Roman"/>
                <w:color w:val="auto"/>
                <w:sz w:val="26"/>
                <w:szCs w:val="26"/>
                <w:lang w:val="ru-RU"/>
              </w:rPr>
              <w:t xml:space="preserve"> та порядок </w:t>
            </w:r>
            <w:proofErr w:type="spellStart"/>
            <w:r w:rsidRPr="00831D13">
              <w:rPr>
                <w:rFonts w:ascii="Times New Roman" w:hAnsi="Times New Roman"/>
                <w:color w:val="auto"/>
                <w:sz w:val="26"/>
                <w:szCs w:val="26"/>
                <w:lang w:val="ru-RU"/>
              </w:rPr>
              <w:t>припинення</w:t>
            </w:r>
            <w:proofErr w:type="spellEnd"/>
            <w:r w:rsidRPr="00831D13">
              <w:rPr>
                <w:rFonts w:ascii="Times New Roman" w:hAnsi="Times New Roman"/>
                <w:color w:val="auto"/>
                <w:sz w:val="26"/>
                <w:szCs w:val="26"/>
                <w:lang w:val="ru-RU"/>
              </w:rPr>
              <w:t xml:space="preserve"> та </w:t>
            </w:r>
            <w:proofErr w:type="spellStart"/>
            <w:r w:rsidRPr="00831D13">
              <w:rPr>
                <w:rFonts w:ascii="Times New Roman" w:hAnsi="Times New Roman"/>
                <w:color w:val="auto"/>
                <w:sz w:val="26"/>
                <w:szCs w:val="26"/>
                <w:lang w:val="ru-RU"/>
              </w:rPr>
              <w:t>відновлення</w:t>
            </w:r>
            <w:proofErr w:type="spellEnd"/>
            <w:r w:rsidRPr="00831D13">
              <w:rPr>
                <w:rFonts w:ascii="Times New Roman" w:hAnsi="Times New Roman"/>
                <w:color w:val="auto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/>
                <w:color w:val="auto"/>
                <w:sz w:val="26"/>
                <w:szCs w:val="26"/>
                <w:lang w:val="ru-RU"/>
              </w:rPr>
              <w:t>постачання</w:t>
            </w:r>
            <w:proofErr w:type="spellEnd"/>
            <w:r w:rsidRPr="00831D13">
              <w:rPr>
                <w:rFonts w:ascii="Times New Roman" w:hAnsi="Times New Roman"/>
                <w:color w:val="auto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/>
                <w:color w:val="auto"/>
                <w:sz w:val="26"/>
                <w:szCs w:val="26"/>
                <w:lang w:val="ru-RU"/>
              </w:rPr>
              <w:t>електричної</w:t>
            </w:r>
            <w:proofErr w:type="spellEnd"/>
            <w:r w:rsidRPr="00831D13">
              <w:rPr>
                <w:rFonts w:ascii="Times New Roman" w:hAnsi="Times New Roman"/>
                <w:color w:val="auto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/>
                <w:color w:val="auto"/>
                <w:sz w:val="26"/>
                <w:szCs w:val="26"/>
                <w:lang w:val="ru-RU"/>
              </w:rPr>
              <w:t>енергії</w:t>
            </w:r>
            <w:proofErr w:type="spellEnd"/>
            <w:r w:rsidRPr="00831D13">
              <w:rPr>
                <w:rFonts w:ascii="Times New Roman" w:hAnsi="Times New Roman"/>
                <w:color w:val="auto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/>
                <w:color w:val="auto"/>
                <w:sz w:val="26"/>
                <w:szCs w:val="26"/>
                <w:lang w:val="ru-RU"/>
              </w:rPr>
              <w:t>споживачу</w:t>
            </w:r>
            <w:bookmarkEnd w:id="2"/>
            <w:proofErr w:type="spellEnd"/>
          </w:p>
          <w:p w14:paraId="1689D3C9" w14:textId="744AEE82" w:rsidR="00143F0B" w:rsidRPr="00831D13" w:rsidRDefault="00143F0B" w:rsidP="003113C4">
            <w:pPr>
              <w:jc w:val="center"/>
              <w:rPr>
                <w:sz w:val="26"/>
                <w:szCs w:val="26"/>
                <w:lang w:val="ru-RU"/>
              </w:rPr>
            </w:pPr>
          </w:p>
        </w:tc>
      </w:tr>
      <w:tr w:rsidR="00C84607" w:rsidRPr="00A0058B" w14:paraId="44A88B39" w14:textId="77777777" w:rsidTr="006F78EA">
        <w:tc>
          <w:tcPr>
            <w:tcW w:w="7901" w:type="dxa"/>
          </w:tcPr>
          <w:p w14:paraId="237B2486" w14:textId="7FAFA440" w:rsidR="00C84607" w:rsidRPr="00831D13" w:rsidRDefault="00C84607" w:rsidP="003113C4">
            <w:pPr>
              <w:spacing w:after="7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bookmarkStart w:id="3" w:name="894"/>
          </w:p>
          <w:p w14:paraId="168DDAF8" w14:textId="75BAD305" w:rsidR="00C84607" w:rsidRPr="00831D13" w:rsidRDefault="00C84607" w:rsidP="003113C4">
            <w:pPr>
              <w:spacing w:after="75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 7.11. У разі прийняття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електропостачальником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рішення про припинення або обмеження постачання електричної енергії споживачу за заборгованість за спожиту електричну енергію, з яким укладений один договір за декількома об'єктами споживача, припинення або обмеження постачання електричної енергії такому споживачу може здійснюватися за усіма об'єктами споживача, які зазначені у договорі з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електропостачальником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.</w:t>
            </w:r>
          </w:p>
          <w:p w14:paraId="5B1626A5" w14:textId="77777777" w:rsidR="00C84607" w:rsidRPr="00831D13" w:rsidRDefault="00C84607" w:rsidP="003113C4">
            <w:pPr>
              <w:spacing w:after="75"/>
              <w:ind w:firstLine="240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bookmarkStart w:id="4" w:name="895"/>
            <w:bookmarkEnd w:id="3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У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разі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наявності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у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споживача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за одним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об'єктом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двох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і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більше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договорів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з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двома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і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більше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електропостачальниками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припинення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або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обмеження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постачання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електричної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енергії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такому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споживачу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має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здійснюватися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на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повний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обсяг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його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споживання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незалежно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від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того, один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чи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більше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електропостачальників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звернулись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до оператора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системи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із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заявою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про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припинення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або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обмеження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постачання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споживачу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  <w:p w14:paraId="7BD57DE0" w14:textId="77777777" w:rsidR="00C84607" w:rsidRPr="00831D13" w:rsidRDefault="00C84607" w:rsidP="003113C4">
            <w:pPr>
              <w:spacing w:after="75"/>
              <w:ind w:firstLine="240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bookmarkStart w:id="5" w:name="896"/>
            <w:bookmarkEnd w:id="4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lastRenderedPageBreak/>
              <w:t xml:space="preserve">Для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підприємств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житлово-комунального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господарства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житлових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кооперативів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об'єднань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співвласників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багатоквартирних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будинків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тощо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заходи з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припинення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або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обмеження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постачання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(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розподілу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або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передачі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)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електричної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енергії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здійснюються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в першу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чергу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щодо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електроустановок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адміністративного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виробничого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та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службового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призначення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  <w:bookmarkEnd w:id="5"/>
          <w:p w14:paraId="5D9890D7" w14:textId="77777777" w:rsidR="00C84607" w:rsidRPr="00831D13" w:rsidRDefault="00C84607" w:rsidP="003113C4">
            <w:pPr>
              <w:spacing w:after="75"/>
              <w:ind w:firstLine="24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  <w:p w14:paraId="7568397B" w14:textId="4A93CB08" w:rsidR="00402723" w:rsidRPr="00831D13" w:rsidRDefault="00C84607" w:rsidP="009E6646">
            <w:pPr>
              <w:spacing w:after="75"/>
              <w:ind w:firstLine="24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На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період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розгляду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судом </w:t>
            </w:r>
            <w:proofErr w:type="spellStart"/>
            <w:r w:rsidRPr="00831D13">
              <w:rPr>
                <w:rFonts w:ascii="Times New Roman" w:hAnsi="Times New Roman" w:cs="Times New Roman"/>
                <w:b/>
                <w:i/>
                <w:strike/>
                <w:color w:val="FF0000"/>
                <w:sz w:val="26"/>
                <w:szCs w:val="26"/>
                <w:lang w:val="ru-RU"/>
              </w:rPr>
              <w:t>спірних</w:t>
            </w:r>
            <w:proofErr w:type="spellEnd"/>
            <w:r w:rsidRPr="00831D13">
              <w:rPr>
                <w:rFonts w:ascii="Times New Roman" w:hAnsi="Times New Roman" w:cs="Times New Roman"/>
                <w:b/>
                <w:i/>
                <w:strike/>
                <w:color w:val="FF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b/>
                <w:i/>
                <w:strike/>
                <w:color w:val="FF0000"/>
                <w:sz w:val="26"/>
                <w:szCs w:val="26"/>
                <w:lang w:val="ru-RU"/>
              </w:rPr>
              <w:t>питань</w:t>
            </w:r>
            <w:proofErr w:type="spellEnd"/>
            <w:r w:rsidRPr="00831D13">
              <w:rPr>
                <w:rFonts w:ascii="Times New Roman" w:hAnsi="Times New Roman" w:cs="Times New Roman"/>
                <w:b/>
                <w:i/>
                <w:color w:val="FF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b/>
                <w:i/>
                <w:strike/>
                <w:color w:val="FF0000"/>
                <w:sz w:val="26"/>
                <w:szCs w:val="26"/>
                <w:lang w:val="ru-RU"/>
              </w:rPr>
              <w:t>щодо</w:t>
            </w:r>
            <w:proofErr w:type="spellEnd"/>
            <w:r w:rsidRPr="00831D13">
              <w:rPr>
                <w:rFonts w:ascii="Times New Roman" w:hAnsi="Times New Roman" w:cs="Times New Roman"/>
                <w:color w:val="FF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порушення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споживачем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цих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Правил та/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або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умов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договорів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831D13">
              <w:rPr>
                <w:rFonts w:ascii="Times New Roman" w:hAnsi="Times New Roman" w:cs="Times New Roman"/>
                <w:b/>
                <w:i/>
                <w:strike/>
                <w:color w:val="FF0000"/>
                <w:sz w:val="26"/>
                <w:szCs w:val="26"/>
                <w:lang w:val="ru-RU"/>
              </w:rPr>
              <w:t>наявність</w:t>
            </w:r>
            <w:proofErr w:type="spellEnd"/>
            <w:r w:rsidRPr="00831D13">
              <w:rPr>
                <w:rFonts w:ascii="Times New Roman" w:hAnsi="Times New Roman" w:cs="Times New Roman"/>
                <w:b/>
                <w:i/>
                <w:strike/>
                <w:color w:val="FF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b/>
                <w:i/>
                <w:strike/>
                <w:color w:val="FF0000"/>
                <w:sz w:val="26"/>
                <w:szCs w:val="26"/>
                <w:lang w:val="ru-RU"/>
              </w:rPr>
              <w:t>яких</w:t>
            </w:r>
            <w:proofErr w:type="spellEnd"/>
            <w:r w:rsidRPr="00831D13">
              <w:rPr>
                <w:rFonts w:ascii="Times New Roman" w:hAnsi="Times New Roman" w:cs="Times New Roman"/>
                <w:i/>
                <w:strike/>
                <w:color w:val="FF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b/>
                <w:i/>
                <w:strike/>
                <w:color w:val="FF0000"/>
                <w:sz w:val="26"/>
                <w:szCs w:val="26"/>
                <w:lang w:val="ru-RU"/>
              </w:rPr>
              <w:t>передбачена</w:t>
            </w:r>
            <w:proofErr w:type="spellEnd"/>
            <w:r w:rsidRPr="00831D13">
              <w:rPr>
                <w:rFonts w:ascii="Times New Roman" w:hAnsi="Times New Roman" w:cs="Times New Roman"/>
                <w:b/>
                <w:i/>
                <w:strike/>
                <w:color w:val="FF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b/>
                <w:i/>
                <w:strike/>
                <w:color w:val="FF0000"/>
                <w:sz w:val="26"/>
                <w:szCs w:val="26"/>
                <w:lang w:val="ru-RU"/>
              </w:rPr>
              <w:t>цими</w:t>
            </w:r>
            <w:proofErr w:type="spellEnd"/>
            <w:r w:rsidRPr="00831D13">
              <w:rPr>
                <w:rFonts w:ascii="Times New Roman" w:hAnsi="Times New Roman" w:cs="Times New Roman"/>
                <w:b/>
                <w:i/>
                <w:strike/>
                <w:color w:val="FF0000"/>
                <w:sz w:val="26"/>
                <w:szCs w:val="26"/>
                <w:lang w:val="ru-RU"/>
              </w:rPr>
              <w:t xml:space="preserve"> Правилами</w:t>
            </w:r>
            <w:r w:rsidRPr="00831D13">
              <w:rPr>
                <w:rFonts w:ascii="Times New Roman" w:hAnsi="Times New Roman" w:cs="Times New Roman"/>
                <w:i/>
                <w:strike/>
                <w:color w:val="FF0000"/>
                <w:sz w:val="26"/>
                <w:szCs w:val="26"/>
                <w:lang w:val="ru-RU"/>
              </w:rPr>
              <w:t>,</w:t>
            </w:r>
            <w:r w:rsidRPr="00831D13">
              <w:rPr>
                <w:rFonts w:ascii="Times New Roman" w:hAnsi="Times New Roman" w:cs="Times New Roman"/>
                <w:color w:val="FF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припинення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b/>
                <w:i/>
                <w:strike/>
                <w:color w:val="FF0000"/>
                <w:sz w:val="26"/>
                <w:szCs w:val="26"/>
                <w:lang w:val="ru-RU"/>
              </w:rPr>
              <w:t>електропостачання</w:t>
            </w:r>
            <w:proofErr w:type="spellEnd"/>
            <w:r w:rsidRPr="00831D13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ru-RU"/>
              </w:rPr>
              <w:t xml:space="preserve"> </w:t>
            </w:r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такого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споживача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пов'язане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з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оскаржуваним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фактом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порушення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, не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здійснюється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за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умови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b/>
                <w:i/>
                <w:strike/>
                <w:color w:val="FF0000"/>
                <w:sz w:val="26"/>
                <w:szCs w:val="26"/>
                <w:lang w:val="ru-RU"/>
              </w:rPr>
              <w:t>своєчасного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надання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споживачем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до </w:t>
            </w:r>
            <w:r w:rsidRPr="00831D13">
              <w:rPr>
                <w:rFonts w:ascii="Times New Roman" w:hAnsi="Times New Roman" w:cs="Times New Roman"/>
                <w:b/>
                <w:i/>
                <w:strike/>
                <w:color w:val="FF0000"/>
                <w:sz w:val="26"/>
                <w:szCs w:val="26"/>
                <w:lang w:val="ru-RU"/>
              </w:rPr>
              <w:t>моменту</w:t>
            </w:r>
            <w:r w:rsidRPr="00831D13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відключення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відповідної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ухвали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суду про </w:t>
            </w:r>
            <w:proofErr w:type="spellStart"/>
            <w:r w:rsidRPr="00831D13">
              <w:rPr>
                <w:rFonts w:ascii="Times New Roman" w:hAnsi="Times New Roman" w:cs="Times New Roman"/>
                <w:b/>
                <w:i/>
                <w:strike/>
                <w:color w:val="FF0000"/>
                <w:sz w:val="26"/>
                <w:szCs w:val="26"/>
                <w:lang w:val="ru-RU"/>
              </w:rPr>
              <w:t>прийняття</w:t>
            </w:r>
            <w:proofErr w:type="spellEnd"/>
            <w:r w:rsidRPr="00831D13">
              <w:rPr>
                <w:rFonts w:ascii="Times New Roman" w:hAnsi="Times New Roman" w:cs="Times New Roman"/>
                <w:b/>
                <w:i/>
                <w:strike/>
                <w:color w:val="FF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b/>
                <w:i/>
                <w:strike/>
                <w:color w:val="FF0000"/>
                <w:sz w:val="26"/>
                <w:szCs w:val="26"/>
                <w:lang w:val="ru-RU"/>
              </w:rPr>
              <w:t>позовної</w:t>
            </w:r>
            <w:proofErr w:type="spellEnd"/>
            <w:r w:rsidRPr="00831D13">
              <w:rPr>
                <w:rFonts w:ascii="Times New Roman" w:hAnsi="Times New Roman" w:cs="Times New Roman"/>
                <w:b/>
                <w:i/>
                <w:strike/>
                <w:color w:val="FF0000"/>
                <w:sz w:val="26"/>
                <w:szCs w:val="26"/>
                <w:lang w:val="ru-RU"/>
              </w:rPr>
              <w:t xml:space="preserve"> заяви</w:t>
            </w:r>
            <w:r w:rsidRPr="00831D1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r w:rsidRPr="00831D13">
              <w:rPr>
                <w:rFonts w:ascii="Times New Roman" w:hAnsi="Times New Roman" w:cs="Times New Roman"/>
                <w:b/>
                <w:i/>
                <w:strike/>
                <w:color w:val="FF0000"/>
                <w:sz w:val="26"/>
                <w:szCs w:val="26"/>
                <w:lang w:val="ru-RU"/>
              </w:rPr>
              <w:t xml:space="preserve">до </w:t>
            </w:r>
            <w:proofErr w:type="spellStart"/>
            <w:r w:rsidRPr="00831D13">
              <w:rPr>
                <w:rFonts w:ascii="Times New Roman" w:hAnsi="Times New Roman" w:cs="Times New Roman"/>
                <w:b/>
                <w:i/>
                <w:strike/>
                <w:color w:val="FF0000"/>
                <w:sz w:val="26"/>
                <w:szCs w:val="26"/>
                <w:lang w:val="ru-RU"/>
              </w:rPr>
              <w:t>розгляду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.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Відкриття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провадження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у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справі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після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факту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відключення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споживача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є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підставою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для </w:t>
            </w:r>
            <w:proofErr w:type="spellStart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відновлення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b/>
                <w:i/>
                <w:strike/>
                <w:color w:val="FF0000"/>
                <w:sz w:val="26"/>
                <w:szCs w:val="26"/>
                <w:lang w:val="ru-RU"/>
              </w:rPr>
              <w:t>електропостачання</w:t>
            </w:r>
            <w:proofErr w:type="spellEnd"/>
            <w:r w:rsidRPr="00831D1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  <w:p w14:paraId="53A5817E" w14:textId="4D33397F" w:rsidR="00251C45" w:rsidRPr="00831D13" w:rsidRDefault="00251C45" w:rsidP="003113C4">
            <w:pPr>
              <w:spacing w:after="7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</w:p>
          <w:p w14:paraId="0AFC9C73" w14:textId="796B6F94" w:rsidR="00402723" w:rsidRPr="00831D13" w:rsidRDefault="00DF67DA" w:rsidP="003113C4">
            <w:pPr>
              <w:spacing w:after="75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lang w:val="uk-UA"/>
              </w:rPr>
            </w:pPr>
            <w:r w:rsidRPr="00831D13">
              <w:rPr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lang w:val="uk-UA"/>
              </w:rPr>
              <w:t>абзац відсутній</w:t>
            </w:r>
          </w:p>
          <w:p w14:paraId="34D16745" w14:textId="6E8C4707" w:rsidR="00C84607" w:rsidRPr="00831D13" w:rsidRDefault="00C84607" w:rsidP="003113C4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7551" w:type="dxa"/>
          </w:tcPr>
          <w:p w14:paraId="4E3459BF" w14:textId="77777777" w:rsidR="00C84607" w:rsidRPr="00831D13" w:rsidRDefault="00C84607" w:rsidP="003113C4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val="ru-RU"/>
              </w:rPr>
            </w:pPr>
          </w:p>
          <w:p w14:paraId="4963D69E" w14:textId="77777777" w:rsidR="00C84607" w:rsidRPr="00831D13" w:rsidRDefault="00C84607" w:rsidP="003113C4">
            <w:pPr>
              <w:spacing w:after="75"/>
              <w:ind w:firstLine="240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7.11</w:t>
            </w:r>
            <w:r w:rsidRPr="00831D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У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разі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прийняття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електропостачальником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рішення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про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припинення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або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обмеження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постачання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електричної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енергії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споживачу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за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заборгованість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за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спожиту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електричну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енергію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, з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яким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укладений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один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договір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за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декількома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об'єктами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споживача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припинення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або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обмеження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постачання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електричної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енергії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такому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споживачу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може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здійснюватися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за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усіма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об'єктами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споживача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які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зазначені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у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договорі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з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електропостачальником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  <w:p w14:paraId="162D4A43" w14:textId="77777777" w:rsidR="00C84607" w:rsidRPr="00831D13" w:rsidRDefault="00C84607" w:rsidP="003113C4">
            <w:pPr>
              <w:spacing w:after="75"/>
              <w:ind w:firstLine="240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У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разі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наявності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у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споживача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за одним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об'єктом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двох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і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більше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договорів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з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двома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і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більше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електропостачальниками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припинення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або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обмеження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постачання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електричної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енергії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такому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споживачу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має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здійснюватися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на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повний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обсяг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його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споживання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незалежно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від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того, один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чи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більше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електропостачальників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звернулись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до оператора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системи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із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заявою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про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припинення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або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обмеження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постачання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споживачу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  <w:p w14:paraId="62869E2A" w14:textId="77777777" w:rsidR="00C84607" w:rsidRPr="00831D13" w:rsidRDefault="00C84607" w:rsidP="003113C4">
            <w:pPr>
              <w:spacing w:after="75"/>
              <w:ind w:firstLine="240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lastRenderedPageBreak/>
              <w:t xml:space="preserve">Для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підприємств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житлово-комунального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господарства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житлових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кооперативів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об'єднань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співвласників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багатоквартирних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будинків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тощо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заходи з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припинення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або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обмеження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постачання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(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розподілу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або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передачі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)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електричної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енергії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здійснюються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 першу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чергу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щодо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електроустановок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адміністративного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виробничого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та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службового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призначення</w:t>
            </w:r>
            <w:proofErr w:type="spellEnd"/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  <w:p w14:paraId="616EA971" w14:textId="77777777" w:rsidR="00C84607" w:rsidRPr="00831D13" w:rsidRDefault="00C84607" w:rsidP="003113C4">
            <w:pPr>
              <w:spacing w:after="75"/>
              <w:ind w:firstLine="240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14:paraId="35AF59C1" w14:textId="0A3D86A1" w:rsidR="00251C45" w:rsidRPr="00831D13" w:rsidRDefault="004C1FEA" w:rsidP="003113C4">
            <w:pPr>
              <w:spacing w:after="7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  </w:t>
            </w:r>
            <w:r w:rsidR="005F4F70"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На </w:t>
            </w:r>
            <w:proofErr w:type="spellStart"/>
            <w:r w:rsidR="005F4F70"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період</w:t>
            </w:r>
            <w:proofErr w:type="spellEnd"/>
            <w:r w:rsidR="005F4F70"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5F4F70"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розгляду</w:t>
            </w:r>
            <w:proofErr w:type="spellEnd"/>
            <w:r w:rsidR="005F4F70"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судом</w:t>
            </w:r>
            <w:r w:rsidR="005F4F70" w:rsidRPr="00831D13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</w:t>
            </w:r>
            <w:r w:rsidR="005F4F70" w:rsidRPr="00831D13">
              <w:rPr>
                <w:rFonts w:ascii="Times New Roman" w:hAnsi="Times New Roman" w:cs="Times New Roman"/>
                <w:b/>
                <w:color w:val="0070C0"/>
                <w:sz w:val="26"/>
                <w:szCs w:val="26"/>
                <w:lang w:val="uk-UA"/>
              </w:rPr>
              <w:t xml:space="preserve">справи </w:t>
            </w:r>
            <w:r w:rsidR="00F67FED" w:rsidRPr="00831D13">
              <w:rPr>
                <w:rFonts w:ascii="Times New Roman" w:hAnsi="Times New Roman" w:cs="Times New Roman"/>
                <w:b/>
                <w:color w:val="0070C0"/>
                <w:sz w:val="26"/>
                <w:szCs w:val="26"/>
                <w:lang w:val="uk-UA"/>
              </w:rPr>
              <w:t xml:space="preserve">з питань </w:t>
            </w:r>
            <w:proofErr w:type="spellStart"/>
            <w:r w:rsidR="005F4F70"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порушення</w:t>
            </w:r>
            <w:proofErr w:type="spellEnd"/>
            <w:r w:rsidR="005F4F70" w:rsidRPr="00831D13">
              <w:rPr>
                <w:rFonts w:ascii="Times New Roman" w:hAnsi="Times New Roman" w:cs="Times New Roman"/>
                <w:b/>
                <w:color w:val="00B0F0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5F4F70"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споживачем</w:t>
            </w:r>
            <w:proofErr w:type="spellEnd"/>
            <w:r w:rsidR="005F4F70"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5F4F70"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цих</w:t>
            </w:r>
            <w:proofErr w:type="spellEnd"/>
            <w:r w:rsidR="005F4F70"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Правил та/</w:t>
            </w:r>
            <w:proofErr w:type="spellStart"/>
            <w:r w:rsidR="005F4F70"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або</w:t>
            </w:r>
            <w:proofErr w:type="spellEnd"/>
            <w:r w:rsidR="005F4F70"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умов </w:t>
            </w:r>
            <w:proofErr w:type="spellStart"/>
            <w:r w:rsidR="005F4F70"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договорів</w:t>
            </w:r>
            <w:proofErr w:type="spellEnd"/>
            <w:r w:rsidR="005F4F70"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,</w:t>
            </w:r>
            <w:r w:rsidR="005F4F70" w:rsidRPr="00831D13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</w:t>
            </w:r>
            <w:proofErr w:type="spellStart"/>
            <w:r w:rsidR="005F4F70"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припинення</w:t>
            </w:r>
            <w:proofErr w:type="spellEnd"/>
            <w:r w:rsidR="005F4F70"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="00F67FED" w:rsidRPr="00831D13">
              <w:rPr>
                <w:rFonts w:ascii="Times New Roman" w:hAnsi="Times New Roman" w:cs="Times New Roman"/>
                <w:b/>
                <w:color w:val="0070C0"/>
                <w:sz w:val="26"/>
                <w:szCs w:val="26"/>
                <w:lang w:val="uk-UA"/>
              </w:rPr>
              <w:t>електроживлення</w:t>
            </w:r>
            <w:r w:rsidR="00F67FED" w:rsidRPr="00831D13">
              <w:rPr>
                <w:rFonts w:ascii="Times New Roman" w:hAnsi="Times New Roman" w:cs="Times New Roman"/>
                <w:color w:val="0070C0"/>
                <w:sz w:val="26"/>
                <w:szCs w:val="26"/>
                <w:lang w:val="uk-UA"/>
              </w:rPr>
              <w:t xml:space="preserve"> </w:t>
            </w:r>
            <w:r w:rsidR="00F67FED" w:rsidRPr="00831D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об</w:t>
            </w:r>
            <w:r w:rsidR="00F67FED"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’</w:t>
            </w:r>
            <w:proofErr w:type="spellStart"/>
            <w:r w:rsidR="00F67FED" w:rsidRPr="00831D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єкта</w:t>
            </w:r>
            <w:proofErr w:type="spellEnd"/>
            <w:r w:rsidR="00F67FED" w:rsidRPr="00831D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5F4F70"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такого </w:t>
            </w:r>
            <w:proofErr w:type="spellStart"/>
            <w:r w:rsidR="005F4F70"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споживача</w:t>
            </w:r>
            <w:proofErr w:type="spellEnd"/>
            <w:r w:rsidR="005F4F70"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,</w:t>
            </w:r>
            <w:r w:rsidR="00422C08" w:rsidRPr="00831D13">
              <w:rPr>
                <w:rFonts w:ascii="Times New Roman" w:hAnsi="Times New Roman" w:cs="Times New Roman"/>
                <w:b/>
                <w:color w:val="00B0F0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422C08" w:rsidRPr="00831D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пов</w:t>
            </w:r>
            <w:proofErr w:type="spellEnd"/>
            <w:r w:rsidR="00422C08"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’</w:t>
            </w:r>
            <w:proofErr w:type="spellStart"/>
            <w:r w:rsidR="00422C08" w:rsidRPr="00831D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язане</w:t>
            </w:r>
            <w:proofErr w:type="spellEnd"/>
            <w:r w:rsidR="00422C08" w:rsidRPr="00831D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з оскаржуваним фактом порушення, </w:t>
            </w:r>
            <w:r w:rsidR="00422C08"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не</w:t>
            </w:r>
            <w:r w:rsidR="005F4F70"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5F4F70"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здійснюється</w:t>
            </w:r>
            <w:proofErr w:type="spellEnd"/>
            <w:r w:rsidR="005F4F70"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за </w:t>
            </w:r>
            <w:proofErr w:type="spellStart"/>
            <w:r w:rsidR="005F4F70"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умови</w:t>
            </w:r>
            <w:proofErr w:type="spellEnd"/>
            <w:r w:rsidR="005F4F70"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5F4F70"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надання</w:t>
            </w:r>
            <w:proofErr w:type="spellEnd"/>
            <w:r w:rsidR="005F4F70"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5F4F70"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споживачем</w:t>
            </w:r>
            <w:proofErr w:type="spellEnd"/>
            <w:r w:rsidR="002933A6" w:rsidRPr="00831D13">
              <w:rPr>
                <w:rFonts w:ascii="Times New Roman" w:hAnsi="Times New Roman" w:cs="Times New Roman"/>
                <w:b/>
                <w:color w:val="00B0F0"/>
                <w:sz w:val="26"/>
                <w:szCs w:val="26"/>
                <w:lang w:val="uk-UA"/>
              </w:rPr>
              <w:t xml:space="preserve"> </w:t>
            </w:r>
            <w:r w:rsidR="00F67FED"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до </w:t>
            </w:r>
            <w:r w:rsidR="00F67FED" w:rsidRPr="00831D13">
              <w:rPr>
                <w:rFonts w:ascii="Times New Roman" w:hAnsi="Times New Roman" w:cs="Times New Roman"/>
                <w:b/>
                <w:color w:val="0070C0"/>
                <w:sz w:val="26"/>
                <w:szCs w:val="26"/>
                <w:lang w:val="ru-RU"/>
              </w:rPr>
              <w:t>дня</w:t>
            </w:r>
            <w:r w:rsidR="00F67FED" w:rsidRPr="00831D13">
              <w:rPr>
                <w:rFonts w:ascii="Times New Roman" w:hAnsi="Times New Roman" w:cs="Times New Roman"/>
                <w:b/>
                <w:color w:val="0070C0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5F4F70"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відключення</w:t>
            </w:r>
            <w:proofErr w:type="spellEnd"/>
            <w:r w:rsidR="005F4F70"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F67FED" w:rsidRPr="00831D13">
              <w:rPr>
                <w:rFonts w:ascii="Times New Roman" w:hAnsi="Times New Roman" w:cs="Times New Roman"/>
                <w:b/>
                <w:color w:val="0070C0"/>
                <w:sz w:val="26"/>
                <w:szCs w:val="26"/>
                <w:lang w:val="ru-RU"/>
              </w:rPr>
              <w:t>його</w:t>
            </w:r>
            <w:proofErr w:type="spellEnd"/>
            <w:r w:rsidR="00F67FED" w:rsidRPr="00831D13">
              <w:rPr>
                <w:rFonts w:ascii="Times New Roman" w:hAnsi="Times New Roman" w:cs="Times New Roman"/>
                <w:b/>
                <w:color w:val="0070C0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F67FED" w:rsidRPr="00831D13">
              <w:rPr>
                <w:rFonts w:ascii="Times New Roman" w:hAnsi="Times New Roman" w:cs="Times New Roman"/>
                <w:b/>
                <w:color w:val="0070C0"/>
                <w:sz w:val="26"/>
                <w:szCs w:val="26"/>
                <w:lang w:val="ru-RU"/>
              </w:rPr>
              <w:t>об’єкта</w:t>
            </w:r>
            <w:proofErr w:type="spellEnd"/>
            <w:r w:rsidR="00F67FED" w:rsidRPr="00831D13">
              <w:rPr>
                <w:rFonts w:ascii="Times New Roman" w:hAnsi="Times New Roman" w:cs="Times New Roman"/>
                <w:color w:val="0070C0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5F4F70"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відповідної</w:t>
            </w:r>
            <w:proofErr w:type="spellEnd"/>
            <w:r w:rsidR="005F4F70"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5F4F70"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ухвали</w:t>
            </w:r>
            <w:proofErr w:type="spellEnd"/>
            <w:r w:rsidR="005F4F70"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суду про </w:t>
            </w:r>
            <w:r w:rsidR="009D4A8C" w:rsidRPr="00831D13">
              <w:rPr>
                <w:rFonts w:ascii="Times New Roman" w:hAnsi="Times New Roman" w:cs="Times New Roman"/>
                <w:b/>
                <w:color w:val="0070C0"/>
                <w:sz w:val="26"/>
                <w:szCs w:val="26"/>
                <w:lang w:val="uk-UA"/>
              </w:rPr>
              <w:t>в</w:t>
            </w:r>
            <w:r w:rsidR="005F4F70" w:rsidRPr="00831D13">
              <w:rPr>
                <w:rFonts w:ascii="Times New Roman" w:hAnsi="Times New Roman" w:cs="Times New Roman"/>
                <w:b/>
                <w:color w:val="0070C0"/>
                <w:sz w:val="26"/>
                <w:szCs w:val="26"/>
                <w:lang w:val="uk-UA"/>
              </w:rPr>
              <w:t>ідкриття провадження</w:t>
            </w:r>
            <w:r w:rsidR="00422C08" w:rsidRPr="00831D13">
              <w:rPr>
                <w:rFonts w:ascii="Times New Roman" w:hAnsi="Times New Roman" w:cs="Times New Roman"/>
                <w:b/>
                <w:color w:val="0070C0"/>
                <w:sz w:val="26"/>
                <w:szCs w:val="26"/>
                <w:lang w:val="uk-UA"/>
              </w:rPr>
              <w:t xml:space="preserve"> у справі</w:t>
            </w:r>
            <w:r w:rsidR="005F4F70" w:rsidRPr="00831D13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.</w:t>
            </w:r>
            <w:r w:rsidR="005F4F70" w:rsidRPr="00831D13">
              <w:rPr>
                <w:rFonts w:ascii="Times New Roman" w:hAnsi="Times New Roman" w:cs="Times New Roman"/>
                <w:b/>
                <w:color w:val="00B0F0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4D1349"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Відкриття</w:t>
            </w:r>
            <w:proofErr w:type="spellEnd"/>
            <w:r w:rsidR="004D1349"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4D1349"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провадження</w:t>
            </w:r>
            <w:proofErr w:type="spellEnd"/>
            <w:r w:rsidR="004D1349"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у </w:t>
            </w:r>
            <w:proofErr w:type="spellStart"/>
            <w:r w:rsidR="004D1349"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справі</w:t>
            </w:r>
            <w:proofErr w:type="spellEnd"/>
            <w:r w:rsidR="004D1349"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4D1349"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після</w:t>
            </w:r>
            <w:proofErr w:type="spellEnd"/>
            <w:r w:rsidR="004D1349"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факту </w:t>
            </w:r>
            <w:proofErr w:type="spellStart"/>
            <w:r w:rsidR="004D1349"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відключення</w:t>
            </w:r>
            <w:proofErr w:type="spellEnd"/>
            <w:r w:rsidR="004D1349"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4D1349"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споживача</w:t>
            </w:r>
            <w:proofErr w:type="spellEnd"/>
            <w:r w:rsidR="004D1349"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є </w:t>
            </w:r>
            <w:proofErr w:type="spellStart"/>
            <w:r w:rsidR="004D1349"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підставою</w:t>
            </w:r>
            <w:proofErr w:type="spellEnd"/>
            <w:r w:rsidR="004D1349"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для </w:t>
            </w:r>
            <w:proofErr w:type="spellStart"/>
            <w:r w:rsidR="004D1349"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відновлення</w:t>
            </w:r>
            <w:proofErr w:type="spellEnd"/>
            <w:r w:rsidR="004D1349"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4D1349" w:rsidRPr="00831D13">
              <w:rPr>
                <w:rFonts w:ascii="Times New Roman" w:hAnsi="Times New Roman" w:cs="Times New Roman"/>
                <w:b/>
                <w:color w:val="0070C0"/>
                <w:sz w:val="26"/>
                <w:szCs w:val="26"/>
                <w:lang w:val="ru-RU"/>
              </w:rPr>
              <w:t>електро</w:t>
            </w:r>
            <w:proofErr w:type="spellEnd"/>
            <w:r w:rsidR="002933A6" w:rsidRPr="00831D13">
              <w:rPr>
                <w:rFonts w:ascii="Times New Roman" w:hAnsi="Times New Roman" w:cs="Times New Roman"/>
                <w:b/>
                <w:color w:val="0070C0"/>
                <w:sz w:val="26"/>
                <w:szCs w:val="26"/>
                <w:lang w:val="uk-UA"/>
              </w:rPr>
              <w:t>живлення</w:t>
            </w:r>
            <w:r w:rsidR="004D1349" w:rsidRPr="00831D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  <w:p w14:paraId="27283984" w14:textId="6183F675" w:rsidR="00B91FF8" w:rsidRPr="00831D13" w:rsidRDefault="00B91FF8" w:rsidP="003113C4">
            <w:pPr>
              <w:spacing w:after="7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14:paraId="1E92BE79" w14:textId="77777777" w:rsidR="00ED2E53" w:rsidRPr="00831D13" w:rsidRDefault="00ED2E53" w:rsidP="003113C4">
            <w:pPr>
              <w:spacing w:after="7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14:paraId="1C96E38D" w14:textId="7EA1E4DF" w:rsidR="00251C45" w:rsidRPr="00831D13" w:rsidRDefault="00251C45" w:rsidP="003113C4">
            <w:pPr>
              <w:spacing w:after="75"/>
              <w:jc w:val="both"/>
              <w:rPr>
                <w:rFonts w:ascii="Times New Roman" w:hAnsi="Times New Roman" w:cs="Times New Roman"/>
                <w:b/>
                <w:color w:val="0070C0"/>
                <w:sz w:val="26"/>
                <w:szCs w:val="26"/>
                <w:lang w:val="uk-UA"/>
              </w:rPr>
            </w:pPr>
            <w:r w:rsidRPr="00831D13">
              <w:rPr>
                <w:rFonts w:ascii="Times New Roman" w:hAnsi="Times New Roman" w:cs="Times New Roman"/>
                <w:color w:val="0070C0"/>
                <w:sz w:val="26"/>
                <w:szCs w:val="26"/>
                <w:lang w:val="uk-UA"/>
              </w:rPr>
              <w:t xml:space="preserve">   </w:t>
            </w:r>
            <w:proofErr w:type="spellStart"/>
            <w:r w:rsidRPr="00831D13">
              <w:rPr>
                <w:rFonts w:ascii="Times New Roman" w:hAnsi="Times New Roman" w:cs="Times New Roman"/>
                <w:b/>
                <w:color w:val="0070C0"/>
                <w:sz w:val="26"/>
                <w:szCs w:val="26"/>
                <w:lang w:val="ru-RU"/>
              </w:rPr>
              <w:t>Положення</w:t>
            </w:r>
            <w:proofErr w:type="spellEnd"/>
            <w:r w:rsidRPr="00831D13">
              <w:rPr>
                <w:rFonts w:ascii="Times New Roman" w:hAnsi="Times New Roman" w:cs="Times New Roman"/>
                <w:b/>
                <w:color w:val="0070C0"/>
                <w:sz w:val="26"/>
                <w:szCs w:val="26"/>
                <w:lang w:val="ru-RU"/>
              </w:rPr>
              <w:t xml:space="preserve"> абзацу четвертого </w:t>
            </w:r>
            <w:proofErr w:type="spellStart"/>
            <w:r w:rsidRPr="00831D13">
              <w:rPr>
                <w:rFonts w:ascii="Times New Roman" w:hAnsi="Times New Roman" w:cs="Times New Roman"/>
                <w:b/>
                <w:color w:val="0070C0"/>
                <w:sz w:val="26"/>
                <w:szCs w:val="26"/>
                <w:lang w:val="ru-RU"/>
              </w:rPr>
              <w:t>цього</w:t>
            </w:r>
            <w:proofErr w:type="spellEnd"/>
            <w:r w:rsidRPr="00831D13">
              <w:rPr>
                <w:rFonts w:ascii="Times New Roman" w:hAnsi="Times New Roman" w:cs="Times New Roman"/>
                <w:b/>
                <w:color w:val="0070C0"/>
                <w:sz w:val="26"/>
                <w:szCs w:val="26"/>
                <w:lang w:val="ru-RU"/>
              </w:rPr>
              <w:t xml:space="preserve"> пункту не </w:t>
            </w:r>
            <w:proofErr w:type="spellStart"/>
            <w:r w:rsidRPr="00831D13">
              <w:rPr>
                <w:rFonts w:ascii="Times New Roman" w:hAnsi="Times New Roman" w:cs="Times New Roman"/>
                <w:b/>
                <w:color w:val="0070C0"/>
                <w:sz w:val="26"/>
                <w:szCs w:val="26"/>
                <w:lang w:val="ru-RU"/>
              </w:rPr>
              <w:t>поширюються</w:t>
            </w:r>
            <w:proofErr w:type="spellEnd"/>
            <w:r w:rsidRPr="00831D13">
              <w:rPr>
                <w:rFonts w:ascii="Times New Roman" w:hAnsi="Times New Roman" w:cs="Times New Roman"/>
                <w:b/>
                <w:color w:val="0070C0"/>
                <w:sz w:val="26"/>
                <w:szCs w:val="26"/>
                <w:lang w:val="ru-RU"/>
              </w:rPr>
              <w:t xml:space="preserve"> на </w:t>
            </w:r>
            <w:proofErr w:type="spellStart"/>
            <w:r w:rsidRPr="00831D13">
              <w:rPr>
                <w:rFonts w:ascii="Times New Roman" w:hAnsi="Times New Roman" w:cs="Times New Roman"/>
                <w:b/>
                <w:color w:val="0070C0"/>
                <w:sz w:val="26"/>
                <w:szCs w:val="26"/>
                <w:lang w:val="ru-RU"/>
              </w:rPr>
              <w:t>непобутового</w:t>
            </w:r>
            <w:proofErr w:type="spellEnd"/>
            <w:r w:rsidRPr="00831D13">
              <w:rPr>
                <w:rFonts w:ascii="Times New Roman" w:hAnsi="Times New Roman" w:cs="Times New Roman"/>
                <w:b/>
                <w:color w:val="0070C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b/>
                <w:color w:val="0070C0"/>
                <w:sz w:val="26"/>
                <w:szCs w:val="26"/>
                <w:lang w:val="ru-RU"/>
              </w:rPr>
              <w:t>споживача</w:t>
            </w:r>
            <w:proofErr w:type="spellEnd"/>
            <w:r w:rsidRPr="00831D13">
              <w:rPr>
                <w:rFonts w:ascii="Times New Roman" w:hAnsi="Times New Roman" w:cs="Times New Roman"/>
                <w:b/>
                <w:color w:val="0070C0"/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831D13">
              <w:rPr>
                <w:rFonts w:ascii="Times New Roman" w:hAnsi="Times New Roman" w:cs="Times New Roman"/>
                <w:b/>
                <w:color w:val="0070C0"/>
                <w:sz w:val="26"/>
                <w:szCs w:val="26"/>
                <w:lang w:val="ru-RU"/>
              </w:rPr>
              <w:t>якщо</w:t>
            </w:r>
            <w:proofErr w:type="spellEnd"/>
            <w:r w:rsidRPr="00831D13">
              <w:rPr>
                <w:rFonts w:ascii="Times New Roman" w:hAnsi="Times New Roman" w:cs="Times New Roman"/>
                <w:b/>
                <w:color w:val="0070C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b/>
                <w:color w:val="0070C0"/>
                <w:sz w:val="26"/>
                <w:szCs w:val="26"/>
                <w:lang w:val="ru-RU"/>
              </w:rPr>
              <w:t>припинення</w:t>
            </w:r>
            <w:proofErr w:type="spellEnd"/>
            <w:r w:rsidRPr="00831D13">
              <w:rPr>
                <w:rFonts w:ascii="Times New Roman" w:hAnsi="Times New Roman" w:cs="Times New Roman"/>
                <w:b/>
                <w:color w:val="0070C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b/>
                <w:color w:val="0070C0"/>
                <w:sz w:val="26"/>
                <w:szCs w:val="26"/>
                <w:lang w:val="ru-RU"/>
              </w:rPr>
              <w:t>електроживлення</w:t>
            </w:r>
            <w:proofErr w:type="spellEnd"/>
            <w:r w:rsidRPr="00831D13">
              <w:rPr>
                <w:rFonts w:ascii="Times New Roman" w:hAnsi="Times New Roman" w:cs="Times New Roman"/>
                <w:b/>
                <w:color w:val="0070C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b/>
                <w:color w:val="0070C0"/>
                <w:sz w:val="26"/>
                <w:szCs w:val="26"/>
                <w:lang w:val="ru-RU"/>
              </w:rPr>
              <w:t>його</w:t>
            </w:r>
            <w:proofErr w:type="spellEnd"/>
            <w:r w:rsidRPr="00831D13">
              <w:rPr>
                <w:rFonts w:ascii="Times New Roman" w:hAnsi="Times New Roman" w:cs="Times New Roman"/>
                <w:b/>
                <w:color w:val="0070C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b/>
                <w:color w:val="0070C0"/>
                <w:sz w:val="26"/>
                <w:szCs w:val="26"/>
                <w:lang w:val="ru-RU"/>
              </w:rPr>
              <w:t>об’єкта</w:t>
            </w:r>
            <w:proofErr w:type="spellEnd"/>
            <w:r w:rsidRPr="00831D13">
              <w:rPr>
                <w:rFonts w:ascii="Times New Roman" w:hAnsi="Times New Roman" w:cs="Times New Roman"/>
                <w:b/>
                <w:color w:val="0070C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b/>
                <w:color w:val="0070C0"/>
                <w:sz w:val="26"/>
                <w:szCs w:val="26"/>
                <w:lang w:val="ru-RU"/>
              </w:rPr>
              <w:t>пов’язане</w:t>
            </w:r>
            <w:proofErr w:type="spellEnd"/>
            <w:r w:rsidRPr="00831D13">
              <w:rPr>
                <w:rFonts w:ascii="Times New Roman" w:hAnsi="Times New Roman" w:cs="Times New Roman"/>
                <w:b/>
                <w:color w:val="0070C0"/>
                <w:sz w:val="26"/>
                <w:szCs w:val="26"/>
                <w:lang w:val="ru-RU"/>
              </w:rPr>
              <w:t xml:space="preserve"> з фактом </w:t>
            </w:r>
            <w:proofErr w:type="spellStart"/>
            <w:r w:rsidRPr="00831D13">
              <w:rPr>
                <w:rFonts w:ascii="Times New Roman" w:hAnsi="Times New Roman" w:cs="Times New Roman"/>
                <w:b/>
                <w:color w:val="0070C0"/>
                <w:sz w:val="26"/>
                <w:szCs w:val="26"/>
                <w:lang w:val="ru-RU"/>
              </w:rPr>
              <w:t>заборгованості</w:t>
            </w:r>
            <w:proofErr w:type="spellEnd"/>
            <w:r w:rsidRPr="00831D13">
              <w:rPr>
                <w:rFonts w:ascii="Times New Roman" w:hAnsi="Times New Roman" w:cs="Times New Roman"/>
                <w:b/>
                <w:color w:val="0070C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b/>
                <w:color w:val="0070C0"/>
                <w:sz w:val="26"/>
                <w:szCs w:val="26"/>
                <w:lang w:val="ru-RU"/>
              </w:rPr>
              <w:t>непобутового</w:t>
            </w:r>
            <w:proofErr w:type="spellEnd"/>
            <w:r w:rsidRPr="00831D13">
              <w:rPr>
                <w:rFonts w:ascii="Times New Roman" w:hAnsi="Times New Roman" w:cs="Times New Roman"/>
                <w:b/>
                <w:color w:val="0070C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b/>
                <w:color w:val="0070C0"/>
                <w:sz w:val="26"/>
                <w:szCs w:val="26"/>
                <w:lang w:val="ru-RU"/>
              </w:rPr>
              <w:t>споживача</w:t>
            </w:r>
            <w:proofErr w:type="spellEnd"/>
            <w:r w:rsidRPr="00831D13">
              <w:rPr>
                <w:rFonts w:ascii="Times New Roman" w:hAnsi="Times New Roman" w:cs="Times New Roman"/>
                <w:b/>
                <w:color w:val="0070C0"/>
                <w:sz w:val="26"/>
                <w:szCs w:val="26"/>
                <w:lang w:val="ru-RU"/>
              </w:rPr>
              <w:t xml:space="preserve"> перед </w:t>
            </w:r>
            <w:proofErr w:type="spellStart"/>
            <w:r w:rsidRPr="00831D13">
              <w:rPr>
                <w:rFonts w:ascii="Times New Roman" w:hAnsi="Times New Roman" w:cs="Times New Roman"/>
                <w:b/>
                <w:color w:val="0070C0"/>
                <w:sz w:val="26"/>
                <w:szCs w:val="26"/>
                <w:lang w:val="ru-RU"/>
              </w:rPr>
              <w:t>електропостачальником</w:t>
            </w:r>
            <w:proofErr w:type="spellEnd"/>
            <w:r w:rsidR="004C4B7C" w:rsidRPr="00831D13">
              <w:rPr>
                <w:rFonts w:ascii="Times New Roman" w:hAnsi="Times New Roman" w:cs="Times New Roman"/>
                <w:b/>
                <w:color w:val="0070C0"/>
                <w:sz w:val="26"/>
                <w:szCs w:val="26"/>
                <w:lang w:val="uk-UA"/>
              </w:rPr>
              <w:t xml:space="preserve"> </w:t>
            </w:r>
            <w:r w:rsidRPr="00831D13">
              <w:rPr>
                <w:rFonts w:ascii="Times New Roman" w:hAnsi="Times New Roman" w:cs="Times New Roman"/>
                <w:b/>
                <w:color w:val="0070C0"/>
                <w:sz w:val="26"/>
                <w:szCs w:val="26"/>
                <w:lang w:val="ru-RU"/>
              </w:rPr>
              <w:t xml:space="preserve">за договором про </w:t>
            </w:r>
            <w:proofErr w:type="spellStart"/>
            <w:r w:rsidRPr="00831D13">
              <w:rPr>
                <w:rFonts w:ascii="Times New Roman" w:hAnsi="Times New Roman" w:cs="Times New Roman"/>
                <w:b/>
                <w:color w:val="0070C0"/>
                <w:sz w:val="26"/>
                <w:szCs w:val="26"/>
                <w:lang w:val="ru-RU"/>
              </w:rPr>
              <w:t>постачання</w:t>
            </w:r>
            <w:proofErr w:type="spellEnd"/>
            <w:r w:rsidRPr="00831D13">
              <w:rPr>
                <w:rFonts w:ascii="Times New Roman" w:hAnsi="Times New Roman" w:cs="Times New Roman"/>
                <w:b/>
                <w:color w:val="0070C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b/>
                <w:color w:val="0070C0"/>
                <w:sz w:val="26"/>
                <w:szCs w:val="26"/>
                <w:lang w:val="ru-RU"/>
              </w:rPr>
              <w:t>електричної</w:t>
            </w:r>
            <w:proofErr w:type="spellEnd"/>
            <w:r w:rsidRPr="00831D13">
              <w:rPr>
                <w:rFonts w:ascii="Times New Roman" w:hAnsi="Times New Roman" w:cs="Times New Roman"/>
                <w:b/>
                <w:color w:val="0070C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b/>
                <w:color w:val="0070C0"/>
                <w:sz w:val="26"/>
                <w:szCs w:val="26"/>
                <w:lang w:val="ru-RU"/>
              </w:rPr>
              <w:t>енергії</w:t>
            </w:r>
            <w:proofErr w:type="spellEnd"/>
            <w:r w:rsidRPr="00831D13">
              <w:rPr>
                <w:rFonts w:ascii="Times New Roman" w:hAnsi="Times New Roman" w:cs="Times New Roman"/>
                <w:b/>
                <w:color w:val="0070C0"/>
                <w:sz w:val="26"/>
                <w:szCs w:val="26"/>
                <w:lang w:val="ru-RU"/>
              </w:rPr>
              <w:t xml:space="preserve"> та/</w:t>
            </w:r>
            <w:proofErr w:type="spellStart"/>
            <w:r w:rsidRPr="00831D13">
              <w:rPr>
                <w:rFonts w:ascii="Times New Roman" w:hAnsi="Times New Roman" w:cs="Times New Roman"/>
                <w:b/>
                <w:color w:val="0070C0"/>
                <w:sz w:val="26"/>
                <w:szCs w:val="26"/>
                <w:lang w:val="ru-RU"/>
              </w:rPr>
              <w:t>або</w:t>
            </w:r>
            <w:proofErr w:type="spellEnd"/>
            <w:r w:rsidRPr="00831D13">
              <w:rPr>
                <w:rFonts w:ascii="Times New Roman" w:hAnsi="Times New Roman" w:cs="Times New Roman"/>
                <w:b/>
                <w:color w:val="0070C0"/>
                <w:sz w:val="26"/>
                <w:szCs w:val="26"/>
                <w:lang w:val="ru-RU"/>
              </w:rPr>
              <w:t xml:space="preserve"> за договором про </w:t>
            </w:r>
            <w:proofErr w:type="spellStart"/>
            <w:r w:rsidRPr="00831D13">
              <w:rPr>
                <w:rFonts w:ascii="Times New Roman" w:hAnsi="Times New Roman" w:cs="Times New Roman"/>
                <w:b/>
                <w:color w:val="0070C0"/>
                <w:sz w:val="26"/>
                <w:szCs w:val="26"/>
                <w:lang w:val="ru-RU"/>
              </w:rPr>
              <w:t>реструктуризацію</w:t>
            </w:r>
            <w:proofErr w:type="spellEnd"/>
            <w:r w:rsidRPr="00831D13">
              <w:rPr>
                <w:rFonts w:ascii="Times New Roman" w:hAnsi="Times New Roman" w:cs="Times New Roman"/>
                <w:b/>
                <w:color w:val="0070C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31D13">
              <w:rPr>
                <w:rFonts w:ascii="Times New Roman" w:hAnsi="Times New Roman" w:cs="Times New Roman"/>
                <w:b/>
                <w:color w:val="0070C0"/>
                <w:sz w:val="26"/>
                <w:szCs w:val="26"/>
                <w:lang w:val="ru-RU"/>
              </w:rPr>
              <w:t>заборгованості</w:t>
            </w:r>
            <w:proofErr w:type="spellEnd"/>
            <w:r w:rsidRPr="00831D13">
              <w:rPr>
                <w:rFonts w:ascii="Times New Roman" w:hAnsi="Times New Roman" w:cs="Times New Roman"/>
                <w:b/>
                <w:color w:val="0070C0"/>
                <w:sz w:val="26"/>
                <w:szCs w:val="26"/>
                <w:lang w:val="uk-UA"/>
              </w:rPr>
              <w:t>.</w:t>
            </w:r>
          </w:p>
          <w:p w14:paraId="4DC61F38" w14:textId="00CD081F" w:rsidR="00C84607" w:rsidRPr="00831D13" w:rsidRDefault="00C84607" w:rsidP="00831D13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</w:tc>
      </w:tr>
    </w:tbl>
    <w:p w14:paraId="7883C179" w14:textId="77777777" w:rsidR="004020C0" w:rsidRPr="0082204C" w:rsidRDefault="004020C0" w:rsidP="00435200">
      <w:pPr>
        <w:spacing w:after="0" w:line="240" w:lineRule="auto"/>
        <w:contextualSpacing/>
        <w:jc w:val="both"/>
        <w:rPr>
          <w:rFonts w:ascii="Times New Roman" w:hAnsi="Times New Roman" w:cs="Times New Roman"/>
          <w:lang w:val="uk-UA"/>
        </w:rPr>
      </w:pPr>
    </w:p>
    <w:sectPr w:rsidR="004020C0" w:rsidRPr="0082204C" w:rsidSect="00233D9A">
      <w:headerReference w:type="default" r:id="rId8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2041CE" w14:textId="77777777" w:rsidR="009E3D0C" w:rsidRDefault="009E3D0C" w:rsidP="00233D9A">
      <w:pPr>
        <w:spacing w:after="0" w:line="240" w:lineRule="auto"/>
      </w:pPr>
      <w:r>
        <w:separator/>
      </w:r>
    </w:p>
  </w:endnote>
  <w:endnote w:type="continuationSeparator" w:id="0">
    <w:p w14:paraId="694A1ACE" w14:textId="77777777" w:rsidR="009E3D0C" w:rsidRDefault="009E3D0C" w:rsidP="00233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illSansMTStd-Book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38E80B" w14:textId="77777777" w:rsidR="009E3D0C" w:rsidRDefault="009E3D0C" w:rsidP="00233D9A">
      <w:pPr>
        <w:spacing w:after="0" w:line="240" w:lineRule="auto"/>
      </w:pPr>
      <w:r>
        <w:separator/>
      </w:r>
    </w:p>
  </w:footnote>
  <w:footnote w:type="continuationSeparator" w:id="0">
    <w:p w14:paraId="20F8FAA1" w14:textId="77777777" w:rsidR="009E3D0C" w:rsidRDefault="009E3D0C" w:rsidP="00233D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31322652"/>
      <w:docPartObj>
        <w:docPartGallery w:val="Page Numbers (Top of Page)"/>
        <w:docPartUnique/>
      </w:docPartObj>
    </w:sdtPr>
    <w:sdtContent>
      <w:p w14:paraId="1608BAD7" w14:textId="248E07D3" w:rsidR="00233D9A" w:rsidRDefault="00233D9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27E95926" w14:textId="77777777" w:rsidR="00233D9A" w:rsidRDefault="00233D9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0D261C"/>
    <w:multiLevelType w:val="hybridMultilevel"/>
    <w:tmpl w:val="C80E4FD8"/>
    <w:lvl w:ilvl="0" w:tplc="A5FE6ACE">
      <w:start w:val="1"/>
      <w:numFmt w:val="decimal"/>
      <w:lvlText w:val="%1)"/>
      <w:lvlJc w:val="left"/>
      <w:pPr>
        <w:ind w:left="660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 w15:restartNumberingAfterBreak="0">
    <w:nsid w:val="1C662104"/>
    <w:multiLevelType w:val="hybridMultilevel"/>
    <w:tmpl w:val="500E84BA"/>
    <w:lvl w:ilvl="0" w:tplc="972E3B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D44C23"/>
    <w:multiLevelType w:val="hybridMultilevel"/>
    <w:tmpl w:val="7644979E"/>
    <w:lvl w:ilvl="0" w:tplc="C8B4239C">
      <w:start w:val="1"/>
      <w:numFmt w:val="decimal"/>
      <w:lvlText w:val="%1)"/>
      <w:lvlJc w:val="left"/>
      <w:pPr>
        <w:ind w:left="1155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7B4287D"/>
    <w:multiLevelType w:val="multilevel"/>
    <w:tmpl w:val="F23A541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7124B47"/>
    <w:multiLevelType w:val="hybridMultilevel"/>
    <w:tmpl w:val="238E67D2"/>
    <w:lvl w:ilvl="0" w:tplc="6832B20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206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B51CF3"/>
    <w:multiLevelType w:val="hybridMultilevel"/>
    <w:tmpl w:val="A16AEE6E"/>
    <w:lvl w:ilvl="0" w:tplc="650021B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4359783">
    <w:abstractNumId w:val="4"/>
  </w:num>
  <w:num w:numId="2" w16cid:durableId="1872524640">
    <w:abstractNumId w:val="2"/>
  </w:num>
  <w:num w:numId="3" w16cid:durableId="433670780">
    <w:abstractNumId w:val="5"/>
  </w:num>
  <w:num w:numId="4" w16cid:durableId="1124467104">
    <w:abstractNumId w:val="0"/>
  </w:num>
  <w:num w:numId="5" w16cid:durableId="803355436">
    <w:abstractNumId w:val="3"/>
  </w:num>
  <w:num w:numId="6" w16cid:durableId="8085958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5BB7"/>
    <w:rsid w:val="00000BC5"/>
    <w:rsid w:val="000071B3"/>
    <w:rsid w:val="0001043A"/>
    <w:rsid w:val="000109E9"/>
    <w:rsid w:val="00011239"/>
    <w:rsid w:val="000237AE"/>
    <w:rsid w:val="00027E33"/>
    <w:rsid w:val="000442E2"/>
    <w:rsid w:val="00051EF5"/>
    <w:rsid w:val="00064B1E"/>
    <w:rsid w:val="000727BA"/>
    <w:rsid w:val="00076194"/>
    <w:rsid w:val="00080ED4"/>
    <w:rsid w:val="000840D7"/>
    <w:rsid w:val="000841D1"/>
    <w:rsid w:val="00090062"/>
    <w:rsid w:val="000A1371"/>
    <w:rsid w:val="000A1474"/>
    <w:rsid w:val="000A1DC2"/>
    <w:rsid w:val="000A2CBB"/>
    <w:rsid w:val="000A5A93"/>
    <w:rsid w:val="000A6BE9"/>
    <w:rsid w:val="000B4C6C"/>
    <w:rsid w:val="000C38E8"/>
    <w:rsid w:val="000C60BC"/>
    <w:rsid w:val="000C6E94"/>
    <w:rsid w:val="000D0473"/>
    <w:rsid w:val="000D0B2E"/>
    <w:rsid w:val="000D6B2E"/>
    <w:rsid w:val="000E1BC3"/>
    <w:rsid w:val="000E3A63"/>
    <w:rsid w:val="000E4E7F"/>
    <w:rsid w:val="000E6F93"/>
    <w:rsid w:val="000F46A1"/>
    <w:rsid w:val="000F4965"/>
    <w:rsid w:val="000F4AB9"/>
    <w:rsid w:val="000F71D9"/>
    <w:rsid w:val="001016EB"/>
    <w:rsid w:val="001025D9"/>
    <w:rsid w:val="00103A85"/>
    <w:rsid w:val="00113A5C"/>
    <w:rsid w:val="00114A4F"/>
    <w:rsid w:val="00115DDE"/>
    <w:rsid w:val="00117F97"/>
    <w:rsid w:val="001218D2"/>
    <w:rsid w:val="001248D2"/>
    <w:rsid w:val="00124971"/>
    <w:rsid w:val="00126F67"/>
    <w:rsid w:val="001370D3"/>
    <w:rsid w:val="00143F0B"/>
    <w:rsid w:val="00144296"/>
    <w:rsid w:val="001476CD"/>
    <w:rsid w:val="001643D1"/>
    <w:rsid w:val="00170D6D"/>
    <w:rsid w:val="00172623"/>
    <w:rsid w:val="00176E32"/>
    <w:rsid w:val="00184E21"/>
    <w:rsid w:val="00185C83"/>
    <w:rsid w:val="00190EC5"/>
    <w:rsid w:val="001A3ECA"/>
    <w:rsid w:val="001A667E"/>
    <w:rsid w:val="001A755E"/>
    <w:rsid w:val="001B78B3"/>
    <w:rsid w:val="001C0F59"/>
    <w:rsid w:val="001C1C84"/>
    <w:rsid w:val="001C1D7D"/>
    <w:rsid w:val="001C23EC"/>
    <w:rsid w:val="001D0F51"/>
    <w:rsid w:val="001D12AE"/>
    <w:rsid w:val="001D3C70"/>
    <w:rsid w:val="001D69C8"/>
    <w:rsid w:val="001D6E0A"/>
    <w:rsid w:val="001D78A7"/>
    <w:rsid w:val="001E083D"/>
    <w:rsid w:val="001E78A7"/>
    <w:rsid w:val="001F0A50"/>
    <w:rsid w:val="001F0BA6"/>
    <w:rsid w:val="001F1DD7"/>
    <w:rsid w:val="001F2801"/>
    <w:rsid w:val="001F3718"/>
    <w:rsid w:val="001F3F5E"/>
    <w:rsid w:val="00202478"/>
    <w:rsid w:val="002038C7"/>
    <w:rsid w:val="0020498E"/>
    <w:rsid w:val="002065AE"/>
    <w:rsid w:val="0021359F"/>
    <w:rsid w:val="00220768"/>
    <w:rsid w:val="00221B01"/>
    <w:rsid w:val="00223392"/>
    <w:rsid w:val="00224C32"/>
    <w:rsid w:val="00225187"/>
    <w:rsid w:val="00230D7A"/>
    <w:rsid w:val="00233CFF"/>
    <w:rsid w:val="00233D9A"/>
    <w:rsid w:val="00247538"/>
    <w:rsid w:val="00251C45"/>
    <w:rsid w:val="002525EE"/>
    <w:rsid w:val="00252CD8"/>
    <w:rsid w:val="0025424E"/>
    <w:rsid w:val="00260ED9"/>
    <w:rsid w:val="00262E56"/>
    <w:rsid w:val="00263AD5"/>
    <w:rsid w:val="00272DF6"/>
    <w:rsid w:val="0027377F"/>
    <w:rsid w:val="0028009C"/>
    <w:rsid w:val="0028108C"/>
    <w:rsid w:val="00284373"/>
    <w:rsid w:val="00284FA5"/>
    <w:rsid w:val="00286DE2"/>
    <w:rsid w:val="00287BC7"/>
    <w:rsid w:val="00290E5C"/>
    <w:rsid w:val="002933A6"/>
    <w:rsid w:val="00294B9B"/>
    <w:rsid w:val="00294EA7"/>
    <w:rsid w:val="002A1AE2"/>
    <w:rsid w:val="002A56AC"/>
    <w:rsid w:val="002A6AA3"/>
    <w:rsid w:val="002B02F1"/>
    <w:rsid w:val="002B4673"/>
    <w:rsid w:val="002C03E7"/>
    <w:rsid w:val="002C0BA0"/>
    <w:rsid w:val="002D42B7"/>
    <w:rsid w:val="002E0180"/>
    <w:rsid w:val="002F2260"/>
    <w:rsid w:val="002F3BCF"/>
    <w:rsid w:val="002F673B"/>
    <w:rsid w:val="00301C6D"/>
    <w:rsid w:val="003113C4"/>
    <w:rsid w:val="00311C9C"/>
    <w:rsid w:val="0031509D"/>
    <w:rsid w:val="00321B05"/>
    <w:rsid w:val="00324608"/>
    <w:rsid w:val="00325E3E"/>
    <w:rsid w:val="00326629"/>
    <w:rsid w:val="00331A1E"/>
    <w:rsid w:val="0033397E"/>
    <w:rsid w:val="00337C7D"/>
    <w:rsid w:val="00340E25"/>
    <w:rsid w:val="00342549"/>
    <w:rsid w:val="0035381E"/>
    <w:rsid w:val="00353A37"/>
    <w:rsid w:val="00362C6E"/>
    <w:rsid w:val="00365752"/>
    <w:rsid w:val="003659C9"/>
    <w:rsid w:val="00373413"/>
    <w:rsid w:val="00374DD7"/>
    <w:rsid w:val="003755A3"/>
    <w:rsid w:val="003813E2"/>
    <w:rsid w:val="00391AFC"/>
    <w:rsid w:val="00397ED0"/>
    <w:rsid w:val="003A2481"/>
    <w:rsid w:val="003A29C1"/>
    <w:rsid w:val="003A4050"/>
    <w:rsid w:val="003A538C"/>
    <w:rsid w:val="003B4157"/>
    <w:rsid w:val="003B6014"/>
    <w:rsid w:val="003B758C"/>
    <w:rsid w:val="003C5364"/>
    <w:rsid w:val="003C561D"/>
    <w:rsid w:val="003D536C"/>
    <w:rsid w:val="003D5F36"/>
    <w:rsid w:val="003D6C66"/>
    <w:rsid w:val="003D6EE1"/>
    <w:rsid w:val="003D775E"/>
    <w:rsid w:val="003E35D1"/>
    <w:rsid w:val="003E398F"/>
    <w:rsid w:val="003E4B13"/>
    <w:rsid w:val="003F1674"/>
    <w:rsid w:val="00400BAA"/>
    <w:rsid w:val="004020C0"/>
    <w:rsid w:val="00402723"/>
    <w:rsid w:val="00414C87"/>
    <w:rsid w:val="0041663A"/>
    <w:rsid w:val="00422BBF"/>
    <w:rsid w:val="00422C08"/>
    <w:rsid w:val="004240E8"/>
    <w:rsid w:val="00430C43"/>
    <w:rsid w:val="00430CFB"/>
    <w:rsid w:val="0043228A"/>
    <w:rsid w:val="00433AA3"/>
    <w:rsid w:val="00433EC0"/>
    <w:rsid w:val="00435200"/>
    <w:rsid w:val="00435298"/>
    <w:rsid w:val="00435858"/>
    <w:rsid w:val="00436FDA"/>
    <w:rsid w:val="00440123"/>
    <w:rsid w:val="00445FF5"/>
    <w:rsid w:val="00452B41"/>
    <w:rsid w:val="0045551E"/>
    <w:rsid w:val="00463BD5"/>
    <w:rsid w:val="004816F7"/>
    <w:rsid w:val="004838D5"/>
    <w:rsid w:val="00484F2E"/>
    <w:rsid w:val="004867A9"/>
    <w:rsid w:val="00487B60"/>
    <w:rsid w:val="004A1605"/>
    <w:rsid w:val="004A40E2"/>
    <w:rsid w:val="004A5311"/>
    <w:rsid w:val="004A58A7"/>
    <w:rsid w:val="004B46AE"/>
    <w:rsid w:val="004B4ABF"/>
    <w:rsid w:val="004B60AC"/>
    <w:rsid w:val="004C1FEA"/>
    <w:rsid w:val="004C4B7C"/>
    <w:rsid w:val="004C6FCF"/>
    <w:rsid w:val="004D1349"/>
    <w:rsid w:val="004E214E"/>
    <w:rsid w:val="004E45F9"/>
    <w:rsid w:val="004E6423"/>
    <w:rsid w:val="004F76C9"/>
    <w:rsid w:val="00500931"/>
    <w:rsid w:val="0050285C"/>
    <w:rsid w:val="00510097"/>
    <w:rsid w:val="0051117A"/>
    <w:rsid w:val="00517260"/>
    <w:rsid w:val="0052020E"/>
    <w:rsid w:val="00520529"/>
    <w:rsid w:val="0052290B"/>
    <w:rsid w:val="00523D75"/>
    <w:rsid w:val="0052543D"/>
    <w:rsid w:val="0052576B"/>
    <w:rsid w:val="00526E39"/>
    <w:rsid w:val="00530684"/>
    <w:rsid w:val="00532F6B"/>
    <w:rsid w:val="00535E5F"/>
    <w:rsid w:val="00550C64"/>
    <w:rsid w:val="00552E13"/>
    <w:rsid w:val="0056066E"/>
    <w:rsid w:val="00560EE5"/>
    <w:rsid w:val="005625B3"/>
    <w:rsid w:val="005625DE"/>
    <w:rsid w:val="00563952"/>
    <w:rsid w:val="0056714C"/>
    <w:rsid w:val="005673B4"/>
    <w:rsid w:val="00574A97"/>
    <w:rsid w:val="0059083D"/>
    <w:rsid w:val="00590CC6"/>
    <w:rsid w:val="00593A6E"/>
    <w:rsid w:val="00593C9C"/>
    <w:rsid w:val="00595FF0"/>
    <w:rsid w:val="005975AF"/>
    <w:rsid w:val="00597F93"/>
    <w:rsid w:val="005A087D"/>
    <w:rsid w:val="005A1A4F"/>
    <w:rsid w:val="005A4F92"/>
    <w:rsid w:val="005B5272"/>
    <w:rsid w:val="005C1B8F"/>
    <w:rsid w:val="005C2AE3"/>
    <w:rsid w:val="005C2D4F"/>
    <w:rsid w:val="005C3BE9"/>
    <w:rsid w:val="005C3ECB"/>
    <w:rsid w:val="005D270E"/>
    <w:rsid w:val="005D74C1"/>
    <w:rsid w:val="005E10FD"/>
    <w:rsid w:val="005E199B"/>
    <w:rsid w:val="005E441B"/>
    <w:rsid w:val="005E5420"/>
    <w:rsid w:val="005F2F13"/>
    <w:rsid w:val="005F4F70"/>
    <w:rsid w:val="0061314D"/>
    <w:rsid w:val="00613D44"/>
    <w:rsid w:val="00614C16"/>
    <w:rsid w:val="006159B0"/>
    <w:rsid w:val="00620A1F"/>
    <w:rsid w:val="00621A78"/>
    <w:rsid w:val="00622799"/>
    <w:rsid w:val="00624959"/>
    <w:rsid w:val="00630CD5"/>
    <w:rsid w:val="00632721"/>
    <w:rsid w:val="00641399"/>
    <w:rsid w:val="006415BF"/>
    <w:rsid w:val="0064325F"/>
    <w:rsid w:val="00644650"/>
    <w:rsid w:val="00651C3E"/>
    <w:rsid w:val="00652531"/>
    <w:rsid w:val="0065579A"/>
    <w:rsid w:val="00655FBF"/>
    <w:rsid w:val="00657872"/>
    <w:rsid w:val="006678F0"/>
    <w:rsid w:val="00667E49"/>
    <w:rsid w:val="006708E3"/>
    <w:rsid w:val="00671BE3"/>
    <w:rsid w:val="00672437"/>
    <w:rsid w:val="00682FFE"/>
    <w:rsid w:val="0068636E"/>
    <w:rsid w:val="00694FEC"/>
    <w:rsid w:val="00697329"/>
    <w:rsid w:val="006A0F5B"/>
    <w:rsid w:val="006A3F5D"/>
    <w:rsid w:val="006A5FA1"/>
    <w:rsid w:val="006A6A3F"/>
    <w:rsid w:val="006A6E1B"/>
    <w:rsid w:val="006B23A9"/>
    <w:rsid w:val="006C0BD9"/>
    <w:rsid w:val="006C2677"/>
    <w:rsid w:val="006C282C"/>
    <w:rsid w:val="006C5DD7"/>
    <w:rsid w:val="006C63E1"/>
    <w:rsid w:val="006D0516"/>
    <w:rsid w:val="006D3946"/>
    <w:rsid w:val="006D40F4"/>
    <w:rsid w:val="006D772F"/>
    <w:rsid w:val="006E2816"/>
    <w:rsid w:val="006E321E"/>
    <w:rsid w:val="006E5DF1"/>
    <w:rsid w:val="006F069F"/>
    <w:rsid w:val="006F4054"/>
    <w:rsid w:val="006F6B82"/>
    <w:rsid w:val="006F78EA"/>
    <w:rsid w:val="00702B77"/>
    <w:rsid w:val="00703C80"/>
    <w:rsid w:val="00705D76"/>
    <w:rsid w:val="00707F9A"/>
    <w:rsid w:val="0071691F"/>
    <w:rsid w:val="00720B9A"/>
    <w:rsid w:val="00721D55"/>
    <w:rsid w:val="007267AB"/>
    <w:rsid w:val="00731732"/>
    <w:rsid w:val="00731958"/>
    <w:rsid w:val="007468EC"/>
    <w:rsid w:val="007521D8"/>
    <w:rsid w:val="00754526"/>
    <w:rsid w:val="00757FE5"/>
    <w:rsid w:val="00765535"/>
    <w:rsid w:val="00766010"/>
    <w:rsid w:val="00784468"/>
    <w:rsid w:val="00784588"/>
    <w:rsid w:val="00786D45"/>
    <w:rsid w:val="00791CE3"/>
    <w:rsid w:val="0079710C"/>
    <w:rsid w:val="00797EA2"/>
    <w:rsid w:val="007A10EE"/>
    <w:rsid w:val="007A51B4"/>
    <w:rsid w:val="007A65A9"/>
    <w:rsid w:val="007C4845"/>
    <w:rsid w:val="007D033C"/>
    <w:rsid w:val="007D3942"/>
    <w:rsid w:val="007D3FD9"/>
    <w:rsid w:val="007E03E8"/>
    <w:rsid w:val="007F6FAF"/>
    <w:rsid w:val="008078C3"/>
    <w:rsid w:val="00810D18"/>
    <w:rsid w:val="008110F0"/>
    <w:rsid w:val="008122A5"/>
    <w:rsid w:val="00813ABB"/>
    <w:rsid w:val="0082204C"/>
    <w:rsid w:val="0082301B"/>
    <w:rsid w:val="00823DAA"/>
    <w:rsid w:val="008249FC"/>
    <w:rsid w:val="00827B7A"/>
    <w:rsid w:val="00831995"/>
    <w:rsid w:val="00831D13"/>
    <w:rsid w:val="00841E1E"/>
    <w:rsid w:val="00861512"/>
    <w:rsid w:val="008639AC"/>
    <w:rsid w:val="00870F31"/>
    <w:rsid w:val="00873D75"/>
    <w:rsid w:val="0087432A"/>
    <w:rsid w:val="00890E47"/>
    <w:rsid w:val="008925B0"/>
    <w:rsid w:val="00892E1A"/>
    <w:rsid w:val="00893D39"/>
    <w:rsid w:val="0089474B"/>
    <w:rsid w:val="008A330C"/>
    <w:rsid w:val="008A462E"/>
    <w:rsid w:val="008A7555"/>
    <w:rsid w:val="008B1E24"/>
    <w:rsid w:val="008B566C"/>
    <w:rsid w:val="008C2481"/>
    <w:rsid w:val="008C2C49"/>
    <w:rsid w:val="008C3CEA"/>
    <w:rsid w:val="008D0D6F"/>
    <w:rsid w:val="008D5BF8"/>
    <w:rsid w:val="008E210A"/>
    <w:rsid w:val="008E2DA7"/>
    <w:rsid w:val="008E6C75"/>
    <w:rsid w:val="008E70F4"/>
    <w:rsid w:val="009051E9"/>
    <w:rsid w:val="009055B1"/>
    <w:rsid w:val="0090797E"/>
    <w:rsid w:val="00914894"/>
    <w:rsid w:val="009206A9"/>
    <w:rsid w:val="00923BEF"/>
    <w:rsid w:val="0092659A"/>
    <w:rsid w:val="0093689D"/>
    <w:rsid w:val="00942002"/>
    <w:rsid w:val="00944B27"/>
    <w:rsid w:val="00952BA1"/>
    <w:rsid w:val="00953D8C"/>
    <w:rsid w:val="009625BD"/>
    <w:rsid w:val="00963309"/>
    <w:rsid w:val="00965006"/>
    <w:rsid w:val="00970BE8"/>
    <w:rsid w:val="00975BD7"/>
    <w:rsid w:val="00995518"/>
    <w:rsid w:val="009961DF"/>
    <w:rsid w:val="009A2E9A"/>
    <w:rsid w:val="009A7191"/>
    <w:rsid w:val="009A7291"/>
    <w:rsid w:val="009B15E2"/>
    <w:rsid w:val="009B6724"/>
    <w:rsid w:val="009C1454"/>
    <w:rsid w:val="009C1C20"/>
    <w:rsid w:val="009C1D8B"/>
    <w:rsid w:val="009C2F54"/>
    <w:rsid w:val="009C4BCE"/>
    <w:rsid w:val="009C6EE2"/>
    <w:rsid w:val="009D3BCB"/>
    <w:rsid w:val="009D4A8C"/>
    <w:rsid w:val="009E345F"/>
    <w:rsid w:val="009E3D0C"/>
    <w:rsid w:val="009E40EB"/>
    <w:rsid w:val="009E6646"/>
    <w:rsid w:val="009E73B9"/>
    <w:rsid w:val="009F0DF3"/>
    <w:rsid w:val="009F2451"/>
    <w:rsid w:val="009F773B"/>
    <w:rsid w:val="00A0058B"/>
    <w:rsid w:val="00A024C3"/>
    <w:rsid w:val="00A02A0D"/>
    <w:rsid w:val="00A03413"/>
    <w:rsid w:val="00A06B90"/>
    <w:rsid w:val="00A072BE"/>
    <w:rsid w:val="00A114C2"/>
    <w:rsid w:val="00A14019"/>
    <w:rsid w:val="00A1740A"/>
    <w:rsid w:val="00A20732"/>
    <w:rsid w:val="00A242C2"/>
    <w:rsid w:val="00A32558"/>
    <w:rsid w:val="00A33E76"/>
    <w:rsid w:val="00A345FD"/>
    <w:rsid w:val="00A367C7"/>
    <w:rsid w:val="00A375B8"/>
    <w:rsid w:val="00A375F2"/>
    <w:rsid w:val="00A4420C"/>
    <w:rsid w:val="00A45509"/>
    <w:rsid w:val="00A501CA"/>
    <w:rsid w:val="00A61F01"/>
    <w:rsid w:val="00A653D3"/>
    <w:rsid w:val="00A70433"/>
    <w:rsid w:val="00A715C7"/>
    <w:rsid w:val="00A77CB6"/>
    <w:rsid w:val="00A80E4B"/>
    <w:rsid w:val="00A9021A"/>
    <w:rsid w:val="00A909AA"/>
    <w:rsid w:val="00A93D89"/>
    <w:rsid w:val="00A949D5"/>
    <w:rsid w:val="00AA3E3F"/>
    <w:rsid w:val="00AC02C9"/>
    <w:rsid w:val="00AC2C8B"/>
    <w:rsid w:val="00AC6ADD"/>
    <w:rsid w:val="00AD6940"/>
    <w:rsid w:val="00AE3D77"/>
    <w:rsid w:val="00B04046"/>
    <w:rsid w:val="00B04F07"/>
    <w:rsid w:val="00B1292E"/>
    <w:rsid w:val="00B1764A"/>
    <w:rsid w:val="00B219AD"/>
    <w:rsid w:val="00B21FEB"/>
    <w:rsid w:val="00B22D2D"/>
    <w:rsid w:val="00B23AAF"/>
    <w:rsid w:val="00B2625B"/>
    <w:rsid w:val="00B27D94"/>
    <w:rsid w:val="00B32298"/>
    <w:rsid w:val="00B32448"/>
    <w:rsid w:val="00B330E9"/>
    <w:rsid w:val="00B33E46"/>
    <w:rsid w:val="00B37334"/>
    <w:rsid w:val="00B51DCF"/>
    <w:rsid w:val="00B53632"/>
    <w:rsid w:val="00B54238"/>
    <w:rsid w:val="00B55621"/>
    <w:rsid w:val="00B56AEA"/>
    <w:rsid w:val="00B60602"/>
    <w:rsid w:val="00B61317"/>
    <w:rsid w:val="00B62C9D"/>
    <w:rsid w:val="00B64EDF"/>
    <w:rsid w:val="00B65D96"/>
    <w:rsid w:val="00B715D2"/>
    <w:rsid w:val="00B7346B"/>
    <w:rsid w:val="00B7730D"/>
    <w:rsid w:val="00B835BC"/>
    <w:rsid w:val="00B908BD"/>
    <w:rsid w:val="00B91FF8"/>
    <w:rsid w:val="00B93003"/>
    <w:rsid w:val="00BA143F"/>
    <w:rsid w:val="00BA16E0"/>
    <w:rsid w:val="00BA2167"/>
    <w:rsid w:val="00BA7E0F"/>
    <w:rsid w:val="00BB026D"/>
    <w:rsid w:val="00BB40BF"/>
    <w:rsid w:val="00BB4B2D"/>
    <w:rsid w:val="00BC3905"/>
    <w:rsid w:val="00BC4DE1"/>
    <w:rsid w:val="00BD090F"/>
    <w:rsid w:val="00BD55E9"/>
    <w:rsid w:val="00BE0C54"/>
    <w:rsid w:val="00BE34D3"/>
    <w:rsid w:val="00BE415D"/>
    <w:rsid w:val="00BE4B48"/>
    <w:rsid w:val="00BE562D"/>
    <w:rsid w:val="00BF2338"/>
    <w:rsid w:val="00BF618F"/>
    <w:rsid w:val="00BF7502"/>
    <w:rsid w:val="00C047A2"/>
    <w:rsid w:val="00C04E76"/>
    <w:rsid w:val="00C06BE2"/>
    <w:rsid w:val="00C105BE"/>
    <w:rsid w:val="00C12F0A"/>
    <w:rsid w:val="00C1380E"/>
    <w:rsid w:val="00C152C2"/>
    <w:rsid w:val="00C203C2"/>
    <w:rsid w:val="00C214F8"/>
    <w:rsid w:val="00C22A15"/>
    <w:rsid w:val="00C2526F"/>
    <w:rsid w:val="00C26A43"/>
    <w:rsid w:val="00C3087A"/>
    <w:rsid w:val="00C370E6"/>
    <w:rsid w:val="00C4251F"/>
    <w:rsid w:val="00C45EE5"/>
    <w:rsid w:val="00C46277"/>
    <w:rsid w:val="00C50A5C"/>
    <w:rsid w:val="00C52473"/>
    <w:rsid w:val="00C537E8"/>
    <w:rsid w:val="00C567E9"/>
    <w:rsid w:val="00C6259E"/>
    <w:rsid w:val="00C64194"/>
    <w:rsid w:val="00C64AC5"/>
    <w:rsid w:val="00C6592E"/>
    <w:rsid w:val="00C71D14"/>
    <w:rsid w:val="00C724D4"/>
    <w:rsid w:val="00C76736"/>
    <w:rsid w:val="00C776F7"/>
    <w:rsid w:val="00C83BE2"/>
    <w:rsid w:val="00C84607"/>
    <w:rsid w:val="00C92B80"/>
    <w:rsid w:val="00C95B3F"/>
    <w:rsid w:val="00CA2638"/>
    <w:rsid w:val="00CC5027"/>
    <w:rsid w:val="00CC6A3A"/>
    <w:rsid w:val="00CD242E"/>
    <w:rsid w:val="00CD2ACD"/>
    <w:rsid w:val="00CD38A2"/>
    <w:rsid w:val="00CD5AA8"/>
    <w:rsid w:val="00CD5BAE"/>
    <w:rsid w:val="00CE12A5"/>
    <w:rsid w:val="00CE4D57"/>
    <w:rsid w:val="00CE4EB3"/>
    <w:rsid w:val="00CF148C"/>
    <w:rsid w:val="00CF4AF6"/>
    <w:rsid w:val="00CF5755"/>
    <w:rsid w:val="00D00F83"/>
    <w:rsid w:val="00D052C7"/>
    <w:rsid w:val="00D05F7C"/>
    <w:rsid w:val="00D06341"/>
    <w:rsid w:val="00D0650A"/>
    <w:rsid w:val="00D1022F"/>
    <w:rsid w:val="00D121AC"/>
    <w:rsid w:val="00D15740"/>
    <w:rsid w:val="00D177A7"/>
    <w:rsid w:val="00D241E9"/>
    <w:rsid w:val="00D24EA6"/>
    <w:rsid w:val="00D313B2"/>
    <w:rsid w:val="00D36038"/>
    <w:rsid w:val="00D4264B"/>
    <w:rsid w:val="00D5158F"/>
    <w:rsid w:val="00D527C8"/>
    <w:rsid w:val="00D565A5"/>
    <w:rsid w:val="00D65ABB"/>
    <w:rsid w:val="00D70FC6"/>
    <w:rsid w:val="00D7146A"/>
    <w:rsid w:val="00D71B1F"/>
    <w:rsid w:val="00D80C9A"/>
    <w:rsid w:val="00D80F98"/>
    <w:rsid w:val="00D83BED"/>
    <w:rsid w:val="00D86AAD"/>
    <w:rsid w:val="00D909FD"/>
    <w:rsid w:val="00D91C05"/>
    <w:rsid w:val="00D92F8F"/>
    <w:rsid w:val="00D96AE7"/>
    <w:rsid w:val="00D974B4"/>
    <w:rsid w:val="00DA135F"/>
    <w:rsid w:val="00DA194E"/>
    <w:rsid w:val="00DB605C"/>
    <w:rsid w:val="00DC0140"/>
    <w:rsid w:val="00DC2D27"/>
    <w:rsid w:val="00DC5CAA"/>
    <w:rsid w:val="00DC7D8C"/>
    <w:rsid w:val="00DD0B2C"/>
    <w:rsid w:val="00DD28FA"/>
    <w:rsid w:val="00DD72BF"/>
    <w:rsid w:val="00DE0F02"/>
    <w:rsid w:val="00DE5C5A"/>
    <w:rsid w:val="00DE716E"/>
    <w:rsid w:val="00DF2965"/>
    <w:rsid w:val="00DF3828"/>
    <w:rsid w:val="00DF5EC8"/>
    <w:rsid w:val="00DF67DA"/>
    <w:rsid w:val="00E02F9A"/>
    <w:rsid w:val="00E038C0"/>
    <w:rsid w:val="00E05BB7"/>
    <w:rsid w:val="00E101E2"/>
    <w:rsid w:val="00E137F0"/>
    <w:rsid w:val="00E269CF"/>
    <w:rsid w:val="00E27D0E"/>
    <w:rsid w:val="00E30C60"/>
    <w:rsid w:val="00E318BA"/>
    <w:rsid w:val="00E50477"/>
    <w:rsid w:val="00E5262A"/>
    <w:rsid w:val="00E53D83"/>
    <w:rsid w:val="00E57C1B"/>
    <w:rsid w:val="00E63A1E"/>
    <w:rsid w:val="00E63C60"/>
    <w:rsid w:val="00E70920"/>
    <w:rsid w:val="00E741DF"/>
    <w:rsid w:val="00E7518D"/>
    <w:rsid w:val="00E86630"/>
    <w:rsid w:val="00E91089"/>
    <w:rsid w:val="00E91C98"/>
    <w:rsid w:val="00E950F5"/>
    <w:rsid w:val="00E9510B"/>
    <w:rsid w:val="00EA3541"/>
    <w:rsid w:val="00EB4FAF"/>
    <w:rsid w:val="00EB69BF"/>
    <w:rsid w:val="00EC6F24"/>
    <w:rsid w:val="00EC736C"/>
    <w:rsid w:val="00ED2E53"/>
    <w:rsid w:val="00ED7337"/>
    <w:rsid w:val="00ED761A"/>
    <w:rsid w:val="00EE3A65"/>
    <w:rsid w:val="00EE4632"/>
    <w:rsid w:val="00EE5B5A"/>
    <w:rsid w:val="00EF56CE"/>
    <w:rsid w:val="00F04648"/>
    <w:rsid w:val="00F04DC7"/>
    <w:rsid w:val="00F05F13"/>
    <w:rsid w:val="00F107F3"/>
    <w:rsid w:val="00F11CF9"/>
    <w:rsid w:val="00F20469"/>
    <w:rsid w:val="00F20D1F"/>
    <w:rsid w:val="00F21074"/>
    <w:rsid w:val="00F22700"/>
    <w:rsid w:val="00F247EE"/>
    <w:rsid w:val="00F26430"/>
    <w:rsid w:val="00F31ED4"/>
    <w:rsid w:val="00F323DB"/>
    <w:rsid w:val="00F46538"/>
    <w:rsid w:val="00F51CD1"/>
    <w:rsid w:val="00F535EA"/>
    <w:rsid w:val="00F54630"/>
    <w:rsid w:val="00F5555D"/>
    <w:rsid w:val="00F56C08"/>
    <w:rsid w:val="00F60254"/>
    <w:rsid w:val="00F6258C"/>
    <w:rsid w:val="00F63B48"/>
    <w:rsid w:val="00F6418E"/>
    <w:rsid w:val="00F67CF4"/>
    <w:rsid w:val="00F67FED"/>
    <w:rsid w:val="00F72C77"/>
    <w:rsid w:val="00F756B7"/>
    <w:rsid w:val="00F838DB"/>
    <w:rsid w:val="00F85F54"/>
    <w:rsid w:val="00F86414"/>
    <w:rsid w:val="00F9705F"/>
    <w:rsid w:val="00FA01AA"/>
    <w:rsid w:val="00FA0CED"/>
    <w:rsid w:val="00FA0DE0"/>
    <w:rsid w:val="00FA1668"/>
    <w:rsid w:val="00FA396D"/>
    <w:rsid w:val="00FA547E"/>
    <w:rsid w:val="00FB144E"/>
    <w:rsid w:val="00FC08CF"/>
    <w:rsid w:val="00FC3F9D"/>
    <w:rsid w:val="00FC662C"/>
    <w:rsid w:val="00FD086D"/>
    <w:rsid w:val="00FD0F3E"/>
    <w:rsid w:val="00FD2A49"/>
    <w:rsid w:val="00FD2DA5"/>
    <w:rsid w:val="00FD4067"/>
    <w:rsid w:val="00FD5824"/>
    <w:rsid w:val="00FE592D"/>
    <w:rsid w:val="00FE75AF"/>
    <w:rsid w:val="00FF401E"/>
    <w:rsid w:val="00FF5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DC203"/>
  <w15:chartTrackingRefBased/>
  <w15:docId w15:val="{AC8BB2A1-36EB-452F-8410-9791F963D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1E1E"/>
  </w:style>
  <w:style w:type="paragraph" w:styleId="1">
    <w:name w:val="heading 1"/>
    <w:next w:val="a"/>
    <w:link w:val="10"/>
    <w:qFormat/>
    <w:rsid w:val="00F6258C"/>
    <w:pPr>
      <w:keepNext/>
      <w:spacing w:before="360" w:after="120" w:line="240" w:lineRule="auto"/>
      <w:outlineLvl w:val="0"/>
    </w:pPr>
    <w:rPr>
      <w:rFonts w:ascii="Arial" w:eastAsiaTheme="minorEastAsia" w:hAnsi="Arial" w:cs="GillSansMTStd-Book"/>
      <w:b/>
      <w:bCs/>
      <w:caps/>
      <w:noProof/>
      <w:color w:val="C2113A"/>
      <w:sz w:val="28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FD2A49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E05B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 w:bidi="he-IL"/>
    </w:rPr>
  </w:style>
  <w:style w:type="character" w:customStyle="1" w:styleId="rvts15">
    <w:name w:val="rvts15"/>
    <w:basedOn w:val="a0"/>
    <w:rsid w:val="00E05BB7"/>
  </w:style>
  <w:style w:type="paragraph" w:customStyle="1" w:styleId="rvps2">
    <w:name w:val="rvps2"/>
    <w:basedOn w:val="a"/>
    <w:rsid w:val="00E05B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 w:bidi="he-IL"/>
    </w:rPr>
  </w:style>
  <w:style w:type="character" w:customStyle="1" w:styleId="rvts11">
    <w:name w:val="rvts11"/>
    <w:basedOn w:val="a0"/>
    <w:rsid w:val="00E05BB7"/>
  </w:style>
  <w:style w:type="character" w:styleId="a3">
    <w:name w:val="Hyperlink"/>
    <w:basedOn w:val="a0"/>
    <w:uiPriority w:val="99"/>
    <w:unhideWhenUsed/>
    <w:rsid w:val="00E05BB7"/>
    <w:rPr>
      <w:color w:val="0000FF"/>
      <w:u w:val="single"/>
    </w:rPr>
  </w:style>
  <w:style w:type="character" w:customStyle="1" w:styleId="rvts46">
    <w:name w:val="rvts46"/>
    <w:basedOn w:val="a0"/>
    <w:rsid w:val="00E05BB7"/>
  </w:style>
  <w:style w:type="table" w:styleId="a4">
    <w:name w:val="Table Grid"/>
    <w:basedOn w:val="a1"/>
    <w:uiPriority w:val="39"/>
    <w:rsid w:val="00E05B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E269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FD2A49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10">
    <w:name w:val="Заголовок 1 Знак"/>
    <w:basedOn w:val="a0"/>
    <w:link w:val="1"/>
    <w:rsid w:val="00F6258C"/>
    <w:rPr>
      <w:rFonts w:ascii="Arial" w:eastAsiaTheme="minorEastAsia" w:hAnsi="Arial" w:cs="GillSansMTStd-Book"/>
      <w:b/>
      <w:bCs/>
      <w:caps/>
      <w:noProof/>
      <w:color w:val="C2113A"/>
      <w:sz w:val="28"/>
      <w:szCs w:val="26"/>
      <w:lang w:val="en-US"/>
    </w:rPr>
  </w:style>
  <w:style w:type="paragraph" w:customStyle="1" w:styleId="TableTitle">
    <w:name w:val="Table Title"/>
    <w:uiPriority w:val="2"/>
    <w:qFormat/>
    <w:rsid w:val="00F6258C"/>
    <w:pPr>
      <w:framePr w:hSpace="180" w:wrap="around" w:vAnchor="text" w:hAnchor="page" w:x="1549" w:y="170"/>
      <w:spacing w:before="120" w:after="120" w:line="180" w:lineRule="exact"/>
    </w:pPr>
    <w:rPr>
      <w:rFonts w:ascii="Gill Sans MT" w:eastAsiaTheme="minorEastAsia" w:hAnsi="Gill Sans MT" w:cs="GillSansMTStd-Book"/>
      <w:b/>
      <w:caps/>
      <w:color w:val="FFFFFF" w:themeColor="background1"/>
      <w:sz w:val="18"/>
      <w:szCs w:val="18"/>
      <w:lang w:val="en-US"/>
    </w:rPr>
  </w:style>
  <w:style w:type="character" w:styleId="a6">
    <w:name w:val="Strong"/>
    <w:basedOn w:val="a0"/>
    <w:uiPriority w:val="22"/>
    <w:qFormat/>
    <w:rsid w:val="00F6258C"/>
    <w:rPr>
      <w:b/>
      <w:bCs/>
    </w:rPr>
  </w:style>
  <w:style w:type="paragraph" w:styleId="a7">
    <w:name w:val="header"/>
    <w:basedOn w:val="a"/>
    <w:link w:val="a8"/>
    <w:uiPriority w:val="99"/>
    <w:unhideWhenUsed/>
    <w:rsid w:val="00233D9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233D9A"/>
  </w:style>
  <w:style w:type="paragraph" w:styleId="a9">
    <w:name w:val="footer"/>
    <w:basedOn w:val="a"/>
    <w:link w:val="aa"/>
    <w:uiPriority w:val="99"/>
    <w:unhideWhenUsed/>
    <w:rsid w:val="00233D9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233D9A"/>
  </w:style>
  <w:style w:type="paragraph" w:customStyle="1" w:styleId="rvps6">
    <w:name w:val="rvps6"/>
    <w:basedOn w:val="a"/>
    <w:rsid w:val="00EF56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23">
    <w:name w:val="rvts23"/>
    <w:basedOn w:val="a0"/>
    <w:rsid w:val="00EF56CE"/>
  </w:style>
  <w:style w:type="paragraph" w:customStyle="1" w:styleId="rvps18">
    <w:name w:val="rvps18"/>
    <w:basedOn w:val="a"/>
    <w:rsid w:val="00EF56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b">
    <w:name w:val="Balloon Text"/>
    <w:basedOn w:val="a"/>
    <w:link w:val="ac"/>
    <w:uiPriority w:val="99"/>
    <w:semiHidden/>
    <w:unhideWhenUsed/>
    <w:rsid w:val="00C92B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C92B80"/>
    <w:rPr>
      <w:rFonts w:ascii="Segoe UI" w:hAnsi="Segoe UI" w:cs="Segoe UI"/>
      <w:sz w:val="18"/>
      <w:szCs w:val="18"/>
    </w:rPr>
  </w:style>
  <w:style w:type="paragraph" w:styleId="ad">
    <w:name w:val="Normal (Web)"/>
    <w:basedOn w:val="a"/>
    <w:uiPriority w:val="99"/>
    <w:rsid w:val="00F67F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57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6801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683DFC-3222-4C00-A3D1-46D9E5D45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2</Pages>
  <Words>2648</Words>
  <Characters>1510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Осовик</dc:creator>
  <cp:keywords/>
  <dc:description/>
  <cp:lastModifiedBy>Юлія Покальчук</cp:lastModifiedBy>
  <cp:revision>58</cp:revision>
  <cp:lastPrinted>2025-07-29T05:04:00Z</cp:lastPrinted>
  <dcterms:created xsi:type="dcterms:W3CDTF">2025-02-05T06:34:00Z</dcterms:created>
  <dcterms:modified xsi:type="dcterms:W3CDTF">2025-08-05T13:45:00Z</dcterms:modified>
</cp:coreProperties>
</file>