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079" w:rsidRPr="0086340A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bookmarkStart w:id="0" w:name="_GoBack"/>
      <w:bookmarkEnd w:id="0"/>
      <w:r w:rsidRPr="0086340A">
        <w:rPr>
          <w:b/>
          <w:sz w:val="28"/>
          <w:szCs w:val="28"/>
        </w:rPr>
        <w:t xml:space="preserve">АНАЛІЗ ВПЛИВУ </w:t>
      </w:r>
    </w:p>
    <w:p w:rsidR="006927B2" w:rsidRPr="0086340A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b/>
          <w:sz w:val="28"/>
          <w:szCs w:val="28"/>
        </w:rPr>
      </w:pPr>
      <w:r w:rsidRPr="0086340A">
        <w:rPr>
          <w:b/>
          <w:sz w:val="28"/>
          <w:szCs w:val="28"/>
        </w:rPr>
        <w:t xml:space="preserve">проєкту рішення НКРЕКП, що має ознаки регуляторного акта, </w:t>
      </w:r>
      <w:r w:rsidR="008959B1" w:rsidRPr="0086340A">
        <w:rPr>
          <w:b/>
          <w:sz w:val="28"/>
          <w:szCs w:val="28"/>
        </w:rPr>
        <w:t>–</w:t>
      </w:r>
      <w:r w:rsidRPr="0086340A">
        <w:rPr>
          <w:b/>
          <w:sz w:val="28"/>
          <w:szCs w:val="28"/>
        </w:rPr>
        <w:t xml:space="preserve"> </w:t>
      </w:r>
    </w:p>
    <w:p w:rsidR="00071079" w:rsidRPr="0086340A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  <w:r w:rsidRPr="0086340A">
        <w:rPr>
          <w:b/>
          <w:sz w:val="28"/>
          <w:szCs w:val="28"/>
        </w:rPr>
        <w:t xml:space="preserve">постанови НКРЕКП </w:t>
      </w:r>
      <w:bookmarkStart w:id="1" w:name="_Hlk162948665"/>
      <w:r w:rsidRPr="0086340A">
        <w:rPr>
          <w:b/>
          <w:sz w:val="28"/>
          <w:szCs w:val="28"/>
        </w:rPr>
        <w:t>«</w:t>
      </w:r>
      <w:r w:rsidR="00BE5A94" w:rsidRPr="0086340A">
        <w:rPr>
          <w:b/>
          <w:sz w:val="28"/>
          <w:szCs w:val="28"/>
        </w:rPr>
        <w:t>Про затвердження Змін до Правил ринку</w:t>
      </w:r>
      <w:r w:rsidRPr="0086340A">
        <w:rPr>
          <w:b/>
          <w:sz w:val="28"/>
          <w:szCs w:val="28"/>
        </w:rPr>
        <w:t>»</w:t>
      </w:r>
    </w:p>
    <w:bookmarkEnd w:id="1"/>
    <w:p w:rsidR="00071079" w:rsidRPr="0086340A" w:rsidRDefault="00071079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</w:p>
    <w:p w:rsidR="00071079" w:rsidRPr="0086340A" w:rsidRDefault="001745D7" w:rsidP="001745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 w:firstLine="0"/>
        <w:jc w:val="center"/>
        <w:rPr>
          <w:sz w:val="28"/>
          <w:szCs w:val="28"/>
        </w:rPr>
      </w:pPr>
      <w:r w:rsidRPr="0086340A">
        <w:rPr>
          <w:b/>
          <w:sz w:val="28"/>
          <w:szCs w:val="28"/>
        </w:rPr>
        <w:t xml:space="preserve">І. </w:t>
      </w:r>
      <w:r w:rsidR="00C0078B" w:rsidRPr="0086340A">
        <w:rPr>
          <w:b/>
          <w:sz w:val="28"/>
          <w:szCs w:val="28"/>
        </w:rPr>
        <w:t>Визначення проблеми</w:t>
      </w:r>
    </w:p>
    <w:p w:rsidR="003F7AFE" w:rsidRPr="0086340A" w:rsidRDefault="003F7AFE" w:rsidP="00E53E7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5E2905" w:rsidRPr="0086340A" w:rsidRDefault="005E2905" w:rsidP="005E2905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bookmarkStart w:id="2" w:name="_Hlk162973132"/>
      <w:r w:rsidRPr="0086340A">
        <w:rPr>
          <w:rFonts w:eastAsiaTheme="minorHAnsi"/>
          <w:position w:val="0"/>
          <w:sz w:val="28"/>
          <w:szCs w:val="28"/>
          <w:lang w:eastAsia="en-US"/>
        </w:rPr>
        <w:t>Згідно з частиною другою статті 2 Закону України «Про ринок електричної енергії» (далі – Закон) основні умови діяльності учасників ринку електричної енергії та взаємовідносин між ними визначаються нормативно-правовими актами, що регулюють впровадження цього Закону, зокрема правилами ринку.</w:t>
      </w:r>
    </w:p>
    <w:p w:rsidR="005E2905" w:rsidRPr="0086340A" w:rsidRDefault="005E2905" w:rsidP="005E2905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86340A">
        <w:rPr>
          <w:rFonts w:eastAsiaTheme="minorHAnsi"/>
          <w:position w:val="0"/>
          <w:sz w:val="28"/>
          <w:szCs w:val="28"/>
          <w:lang w:eastAsia="en-US"/>
        </w:rPr>
        <w:t>Відповідно до частини третьої статті 6 Закону та частини першої статті 17 Закону України «Про Національну комісію, що здійснює державне регулювання у сферах енергетики та комунальних послуг», до повноважень Регулятора належить затвердження правил ринку, які розробляються і адмініструються оператором системи передачі (далі – ОСП).</w:t>
      </w:r>
    </w:p>
    <w:p w:rsidR="005E2905" w:rsidRPr="0086340A" w:rsidRDefault="005E2905" w:rsidP="005E2905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86340A">
        <w:rPr>
          <w:rFonts w:eastAsiaTheme="minorHAnsi"/>
          <w:position w:val="0"/>
          <w:sz w:val="28"/>
          <w:szCs w:val="28"/>
          <w:lang w:eastAsia="en-US"/>
        </w:rPr>
        <w:t>Відповідно до пункт</w:t>
      </w:r>
      <w:r w:rsidR="00B66E55" w:rsidRPr="0086340A">
        <w:rPr>
          <w:rFonts w:eastAsiaTheme="minorHAnsi"/>
          <w:position w:val="0"/>
          <w:sz w:val="28"/>
          <w:szCs w:val="28"/>
          <w:lang w:eastAsia="en-US"/>
        </w:rPr>
        <w:t>ів</w:t>
      </w:r>
      <w:r w:rsidRPr="0086340A">
        <w:rPr>
          <w:rFonts w:eastAsiaTheme="minorHAnsi"/>
          <w:position w:val="0"/>
          <w:sz w:val="28"/>
          <w:szCs w:val="28"/>
          <w:lang w:eastAsia="en-US"/>
        </w:rPr>
        <w:t xml:space="preserve"> 1.13.1 та 1.13.5 глави 1.13 розділу І Правил ринку, затверджених постановою НКРЕКП від 14.03.2018 № 307 (далі – Правила ринку), ОСП або учасники ринку мають право ініціювати внесення змін та доповнень до Правил ринку відповідно до процедури, визначеної главою 1.13 Правил ринку. Остаточне рішення щодо внесення змін/доповнень до Правил ринку приймає Регулятор у порядку, встановленому законодавством.</w:t>
      </w:r>
    </w:p>
    <w:bookmarkEnd w:id="2"/>
    <w:p w:rsidR="00AD7FE5" w:rsidRPr="0086340A" w:rsidRDefault="00853F9E" w:rsidP="00AD7FE5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86340A">
        <w:rPr>
          <w:rFonts w:eastAsiaTheme="minorHAnsi"/>
          <w:position w:val="0"/>
          <w:sz w:val="28"/>
          <w:szCs w:val="28"/>
          <w:lang w:eastAsia="en-US"/>
        </w:rPr>
        <w:t xml:space="preserve">НЕК «УКРЕНЕРГО» листом від 25.04.2025 № 01/25774 повідомлено, що відповідно до положень глави 1.13 Правил ринку НЕК «УКРЕНЕРГО» за ініціативою учасників ринку та інших зацікавлених сторін в рамках постійної робочої групи ОСП з підготовки змін до Правил ринку (далі – Робоча група) було напрацьовано </w:t>
      </w:r>
      <w:proofErr w:type="spellStart"/>
      <w:r w:rsidRPr="0086340A">
        <w:rPr>
          <w:rFonts w:eastAsiaTheme="minorHAnsi"/>
          <w:position w:val="0"/>
          <w:sz w:val="28"/>
          <w:szCs w:val="28"/>
          <w:lang w:eastAsia="en-US"/>
        </w:rPr>
        <w:t>проєкт</w:t>
      </w:r>
      <w:proofErr w:type="spellEnd"/>
      <w:r w:rsidRPr="0086340A">
        <w:rPr>
          <w:rFonts w:eastAsiaTheme="minorHAnsi"/>
          <w:position w:val="0"/>
          <w:sz w:val="28"/>
          <w:szCs w:val="28"/>
          <w:lang w:eastAsia="en-US"/>
        </w:rPr>
        <w:t xml:space="preserve"> змін до Правил ринку, який передбачає удосконалення умов надання допоміжних послуг (далі – ДП) у частині запровадження можливості здійснювати передачу постачальниками ДП зобов’язання щодо надання ДП, та направлено НКРЕКП для розгляду та затвердження. У протоколі Робочої групи щодо обговорення зазначеного </w:t>
      </w:r>
      <w:proofErr w:type="spellStart"/>
      <w:r w:rsidRPr="0086340A">
        <w:rPr>
          <w:rFonts w:eastAsiaTheme="minorHAnsi"/>
          <w:position w:val="0"/>
          <w:sz w:val="28"/>
          <w:szCs w:val="28"/>
          <w:lang w:eastAsia="en-US"/>
        </w:rPr>
        <w:t>проєкту</w:t>
      </w:r>
      <w:proofErr w:type="spellEnd"/>
      <w:r w:rsidRPr="0086340A">
        <w:rPr>
          <w:rFonts w:eastAsiaTheme="minorHAnsi"/>
          <w:position w:val="0"/>
          <w:sz w:val="28"/>
          <w:szCs w:val="28"/>
          <w:lang w:eastAsia="en-US"/>
        </w:rPr>
        <w:t xml:space="preserve"> змін до Правил ринку НЕК «УКРЕНЕРГО» відзначено, що можливість передавати зобов’язання ДП передбачено вимогами європейського законодавства, зокрема Регламенту КОМІСІЇ (ЄС) 2017/2195 від 23 листопада 2017 року про встановлення настанов щодо балансування електроенергії.</w:t>
      </w:r>
    </w:p>
    <w:p w:rsidR="00AD7FE5" w:rsidRPr="0086340A" w:rsidRDefault="00AD7FE5" w:rsidP="00AD7FE5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86340A">
        <w:rPr>
          <w:rFonts w:eastAsiaTheme="minorHAnsi"/>
          <w:position w:val="0"/>
          <w:sz w:val="28"/>
          <w:szCs w:val="28"/>
          <w:lang w:eastAsia="en-US"/>
        </w:rPr>
        <w:t xml:space="preserve">Регулятором опрацьовано надані пропозиції та сформовано </w:t>
      </w:r>
      <w:proofErr w:type="spellStart"/>
      <w:r w:rsidRPr="0086340A">
        <w:rPr>
          <w:rFonts w:eastAsiaTheme="minorHAnsi"/>
          <w:position w:val="0"/>
          <w:sz w:val="28"/>
          <w:szCs w:val="28"/>
          <w:lang w:eastAsia="en-US"/>
        </w:rPr>
        <w:t>проєкт</w:t>
      </w:r>
      <w:proofErr w:type="spellEnd"/>
      <w:r w:rsidRPr="0086340A">
        <w:rPr>
          <w:rFonts w:eastAsiaTheme="minorHAnsi"/>
          <w:position w:val="0"/>
          <w:sz w:val="28"/>
          <w:szCs w:val="28"/>
          <w:lang w:eastAsia="en-US"/>
        </w:rPr>
        <w:t xml:space="preserve"> постанови «Про затвердження Змін до Правил ринку»</w:t>
      </w:r>
      <w:r w:rsidR="001354DC" w:rsidRPr="0086340A">
        <w:rPr>
          <w:rFonts w:eastAsiaTheme="minorHAnsi"/>
          <w:position w:val="0"/>
          <w:sz w:val="28"/>
          <w:szCs w:val="28"/>
          <w:lang w:eastAsia="en-US"/>
        </w:rPr>
        <w:t xml:space="preserve"> (далі – регуляторний акт)</w:t>
      </w:r>
      <w:r w:rsidRPr="0086340A">
        <w:rPr>
          <w:rFonts w:eastAsiaTheme="minorHAnsi"/>
          <w:position w:val="0"/>
          <w:sz w:val="28"/>
          <w:szCs w:val="28"/>
          <w:lang w:eastAsia="en-US"/>
        </w:rPr>
        <w:t xml:space="preserve">, яким передбачається: </w:t>
      </w:r>
    </w:p>
    <w:p w:rsidR="00AD7FE5" w:rsidRPr="0086340A" w:rsidRDefault="00AD7FE5" w:rsidP="00AD7FE5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86340A">
        <w:rPr>
          <w:rFonts w:eastAsiaTheme="minorHAnsi"/>
          <w:position w:val="0"/>
          <w:sz w:val="28"/>
          <w:szCs w:val="28"/>
          <w:lang w:eastAsia="en-US"/>
        </w:rPr>
        <w:t>- запровадження можливості передачі постачальником ДП зобов’язання щодо надання ДП з регулювання частоти та активної потужності визначеною одиницею надання ДП для виконання такого зобов’язання іншою одиницею надання ДП, в тому числі іншого постачальника ДП;</w:t>
      </w:r>
    </w:p>
    <w:p w:rsidR="00AD7FE5" w:rsidRPr="0086340A" w:rsidRDefault="00AD7FE5" w:rsidP="00AD7FE5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86340A">
        <w:rPr>
          <w:rFonts w:eastAsiaTheme="minorHAnsi"/>
          <w:position w:val="0"/>
          <w:sz w:val="28"/>
          <w:szCs w:val="28"/>
          <w:lang w:eastAsia="en-US"/>
        </w:rPr>
        <w:t>- редакційне удосконалення окремих положень Правил ринку.</w:t>
      </w:r>
    </w:p>
    <w:p w:rsidR="00AD7FE5" w:rsidRPr="0086340A" w:rsidRDefault="00AD7FE5" w:rsidP="00AD7FE5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AD7FE5" w:rsidRPr="0086340A" w:rsidRDefault="00AD7FE5" w:rsidP="00AD7FE5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AD7FE5" w:rsidRPr="0086340A" w:rsidRDefault="00AD7FE5" w:rsidP="00AD7FE5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071079" w:rsidRPr="0086340A" w:rsidRDefault="00DB0612" w:rsidP="00AD7FE5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sz w:val="28"/>
          <w:szCs w:val="28"/>
        </w:rPr>
      </w:pPr>
      <w:r w:rsidRPr="0086340A">
        <w:rPr>
          <w:rFonts w:eastAsiaTheme="minorHAnsi"/>
          <w:position w:val="0"/>
          <w:sz w:val="28"/>
          <w:szCs w:val="28"/>
          <w:lang w:eastAsia="en-US"/>
        </w:rPr>
        <w:t>Основні групи (підгрупи), на які проблема справляє вплив:</w:t>
      </w:r>
    </w:p>
    <w:tbl>
      <w:tblPr>
        <w:tblStyle w:val="aff6"/>
        <w:tblW w:w="9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095"/>
        <w:gridCol w:w="1276"/>
      </w:tblGrid>
      <w:tr w:rsidR="00F67D10" w:rsidRPr="0086340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86340A">
              <w:rPr>
                <w:b/>
                <w:sz w:val="23"/>
                <w:szCs w:val="23"/>
              </w:rPr>
              <w:t>Групи (підгрупи)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86340A">
              <w:rPr>
                <w:b/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86340A">
              <w:rPr>
                <w:b/>
                <w:sz w:val="23"/>
                <w:szCs w:val="23"/>
              </w:rPr>
              <w:t>Ні</w:t>
            </w:r>
          </w:p>
        </w:tc>
      </w:tr>
      <w:tr w:rsidR="00F67D10" w:rsidRPr="0086340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86340A">
              <w:rPr>
                <w:sz w:val="23"/>
                <w:szCs w:val="23"/>
              </w:rPr>
              <w:t>Громадяни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86340A">
              <w:rPr>
                <w:sz w:val="23"/>
                <w:szCs w:val="23"/>
              </w:rPr>
              <w:t>Ні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86340A">
              <w:rPr>
                <w:sz w:val="23"/>
                <w:szCs w:val="23"/>
              </w:rPr>
              <w:t>Ні</w:t>
            </w:r>
          </w:p>
        </w:tc>
      </w:tr>
      <w:tr w:rsidR="00F67D10" w:rsidRPr="0086340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86340A">
              <w:rPr>
                <w:sz w:val="23"/>
                <w:szCs w:val="23"/>
              </w:rPr>
              <w:t>Держава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86340A">
              <w:rPr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86340A">
              <w:rPr>
                <w:sz w:val="23"/>
                <w:szCs w:val="23"/>
              </w:rPr>
              <w:t>Ні</w:t>
            </w:r>
          </w:p>
        </w:tc>
      </w:tr>
      <w:tr w:rsidR="005801B0" w:rsidRPr="0086340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86340A">
              <w:rPr>
                <w:sz w:val="23"/>
                <w:szCs w:val="23"/>
              </w:rPr>
              <w:t>Суб’єкти господарювання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86340A" w:rsidRDefault="00C0078B" w:rsidP="00F46B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86340A">
              <w:rPr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86340A">
              <w:rPr>
                <w:sz w:val="23"/>
                <w:szCs w:val="23"/>
              </w:rPr>
              <w:t>Ні</w:t>
            </w:r>
          </w:p>
        </w:tc>
      </w:tr>
    </w:tbl>
    <w:p w:rsidR="00F76FE6" w:rsidRPr="0086340A" w:rsidRDefault="00F76FE6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</w:p>
    <w:p w:rsidR="00071079" w:rsidRPr="0086340A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  <w:r w:rsidRPr="0086340A">
        <w:rPr>
          <w:b/>
          <w:sz w:val="28"/>
          <w:szCs w:val="28"/>
        </w:rPr>
        <w:t>ІІ. Цілі державного регулювання</w:t>
      </w:r>
    </w:p>
    <w:p w:rsidR="00071079" w:rsidRPr="0086340A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9B0343" w:rsidRPr="0086340A" w:rsidRDefault="00FE7184" w:rsidP="00CC3A00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86340A">
        <w:rPr>
          <w:rFonts w:eastAsiaTheme="minorHAnsi"/>
          <w:position w:val="0"/>
          <w:sz w:val="28"/>
          <w:szCs w:val="28"/>
          <w:lang w:eastAsia="en-US"/>
        </w:rPr>
        <w:t xml:space="preserve">Регуляторний акт розроблено з метою </w:t>
      </w:r>
      <w:r w:rsidR="00AD7FE5" w:rsidRPr="0086340A">
        <w:rPr>
          <w:rFonts w:eastAsiaTheme="minorHAnsi"/>
          <w:position w:val="0"/>
          <w:sz w:val="28"/>
          <w:szCs w:val="28"/>
          <w:lang w:eastAsia="en-US"/>
        </w:rPr>
        <w:t>збільшення зацікавленості постачальників ДП для участі на довгострокових аукціонах на ДП, підвищення</w:t>
      </w:r>
      <w:r w:rsidR="00876F1D" w:rsidRPr="0086340A">
        <w:rPr>
          <w:rFonts w:eastAsiaTheme="minorHAnsi"/>
          <w:position w:val="0"/>
          <w:sz w:val="28"/>
          <w:szCs w:val="28"/>
          <w:lang w:eastAsia="en-US"/>
        </w:rPr>
        <w:t xml:space="preserve"> конкуренції на ринку </w:t>
      </w:r>
      <w:r w:rsidR="00AD7FE5" w:rsidRPr="0086340A">
        <w:rPr>
          <w:rFonts w:eastAsiaTheme="minorHAnsi"/>
          <w:position w:val="0"/>
          <w:sz w:val="28"/>
          <w:szCs w:val="28"/>
          <w:lang w:eastAsia="en-US"/>
        </w:rPr>
        <w:t xml:space="preserve">ДП, </w:t>
      </w:r>
      <w:r w:rsidR="00F1094A" w:rsidRPr="0086340A">
        <w:rPr>
          <w:rFonts w:eastAsiaTheme="minorHAnsi"/>
          <w:position w:val="0"/>
          <w:sz w:val="28"/>
          <w:szCs w:val="28"/>
          <w:lang w:eastAsia="en-US"/>
        </w:rPr>
        <w:t>що в свою чергу</w:t>
      </w:r>
      <w:r w:rsidR="00876F1D" w:rsidRPr="0086340A">
        <w:rPr>
          <w:rFonts w:eastAsiaTheme="minorHAnsi"/>
          <w:position w:val="0"/>
          <w:sz w:val="28"/>
          <w:szCs w:val="28"/>
          <w:lang w:eastAsia="en-US"/>
        </w:rPr>
        <w:t xml:space="preserve"> сприя</w:t>
      </w:r>
      <w:r w:rsidR="00F1094A" w:rsidRPr="0086340A">
        <w:rPr>
          <w:rFonts w:eastAsiaTheme="minorHAnsi"/>
          <w:position w:val="0"/>
          <w:sz w:val="28"/>
          <w:szCs w:val="28"/>
          <w:lang w:eastAsia="en-US"/>
        </w:rPr>
        <w:t>тиме</w:t>
      </w:r>
      <w:r w:rsidR="00876F1D" w:rsidRPr="0086340A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F1094A" w:rsidRPr="0086340A">
        <w:rPr>
          <w:rFonts w:eastAsiaTheme="minorHAnsi"/>
          <w:position w:val="0"/>
          <w:sz w:val="28"/>
          <w:szCs w:val="28"/>
          <w:lang w:eastAsia="en-US"/>
        </w:rPr>
        <w:t xml:space="preserve">забезпеченню відповідних резервів балансуючої потужності та </w:t>
      </w:r>
      <w:r w:rsidR="008932CB" w:rsidRPr="0086340A">
        <w:rPr>
          <w:rFonts w:eastAsiaTheme="minorHAnsi"/>
          <w:position w:val="0"/>
          <w:sz w:val="28"/>
          <w:szCs w:val="28"/>
          <w:lang w:eastAsia="en-US"/>
        </w:rPr>
        <w:t>надійн</w:t>
      </w:r>
      <w:r w:rsidR="00FF0266" w:rsidRPr="0086340A">
        <w:rPr>
          <w:rFonts w:eastAsiaTheme="minorHAnsi"/>
          <w:position w:val="0"/>
          <w:sz w:val="28"/>
          <w:szCs w:val="28"/>
          <w:lang w:eastAsia="en-US"/>
        </w:rPr>
        <w:t>ій</w:t>
      </w:r>
      <w:r w:rsidR="008932CB" w:rsidRPr="0086340A">
        <w:rPr>
          <w:rFonts w:eastAsiaTheme="minorHAnsi"/>
          <w:position w:val="0"/>
          <w:sz w:val="28"/>
          <w:szCs w:val="28"/>
          <w:lang w:eastAsia="en-US"/>
        </w:rPr>
        <w:t xml:space="preserve"> робот</w:t>
      </w:r>
      <w:r w:rsidR="00FF0266" w:rsidRPr="0086340A">
        <w:rPr>
          <w:rFonts w:eastAsiaTheme="minorHAnsi"/>
          <w:position w:val="0"/>
          <w:sz w:val="28"/>
          <w:szCs w:val="28"/>
          <w:lang w:eastAsia="en-US"/>
        </w:rPr>
        <w:t>і</w:t>
      </w:r>
      <w:r w:rsidR="008932CB" w:rsidRPr="0086340A">
        <w:rPr>
          <w:rFonts w:eastAsiaTheme="minorHAnsi"/>
          <w:position w:val="0"/>
          <w:sz w:val="28"/>
          <w:szCs w:val="28"/>
          <w:lang w:eastAsia="en-US"/>
        </w:rPr>
        <w:t xml:space="preserve"> ОЕС України.</w:t>
      </w:r>
      <w:r w:rsidR="00F1094A" w:rsidRPr="0086340A">
        <w:rPr>
          <w:rFonts w:eastAsiaTheme="minorHAnsi"/>
          <w:position w:val="0"/>
          <w:sz w:val="28"/>
          <w:szCs w:val="28"/>
          <w:lang w:eastAsia="en-US"/>
        </w:rPr>
        <w:t xml:space="preserve"> Крім того, зазначені зміни забезпечують імплементацію положень Регламенту КОМІСІЇ (ЄС) 2017/2195 від 23 листопада 2017 року про встановлення настанов щодо балансування електроенергії. </w:t>
      </w:r>
    </w:p>
    <w:p w:rsidR="00071079" w:rsidRPr="0086340A" w:rsidRDefault="00071079" w:rsidP="00D9480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86340A" w:rsidRDefault="00C0078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1" w:hanging="3"/>
        <w:jc w:val="center"/>
        <w:rPr>
          <w:sz w:val="28"/>
          <w:szCs w:val="28"/>
        </w:rPr>
      </w:pPr>
      <w:r w:rsidRPr="0086340A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071079" w:rsidRPr="0086340A" w:rsidRDefault="00071079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86340A" w:rsidRDefault="00C0078B" w:rsidP="001D63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86340A">
        <w:rPr>
          <w:sz w:val="28"/>
          <w:szCs w:val="28"/>
        </w:rPr>
        <w:t>Визначення альтернативних способів</w:t>
      </w:r>
    </w:p>
    <w:tbl>
      <w:tblPr>
        <w:tblStyle w:val="aff7"/>
        <w:tblW w:w="949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6772"/>
      </w:tblGrid>
      <w:tr w:rsidR="00F67D10" w:rsidRPr="0086340A" w:rsidTr="009A2E95">
        <w:trPr>
          <w:trHeight w:val="241"/>
        </w:trPr>
        <w:tc>
          <w:tcPr>
            <w:tcW w:w="2723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6772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Опис альтернативи</w:t>
            </w:r>
          </w:p>
        </w:tc>
      </w:tr>
      <w:tr w:rsidR="00F67D10" w:rsidRPr="0086340A" w:rsidTr="009A2E95">
        <w:tc>
          <w:tcPr>
            <w:tcW w:w="2723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Альтернатива 1</w:t>
            </w:r>
          </w:p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6772" w:type="dxa"/>
          </w:tcPr>
          <w:p w:rsidR="009A2E95" w:rsidRPr="0086340A" w:rsidRDefault="009A2E95" w:rsidP="00404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86340A">
              <w:rPr>
                <w:sz w:val="22"/>
                <w:szCs w:val="22"/>
              </w:rPr>
              <w:t xml:space="preserve">Залишити без змін </w:t>
            </w:r>
            <w:r w:rsidR="00B2292E" w:rsidRPr="0086340A">
              <w:rPr>
                <w:sz w:val="22"/>
                <w:szCs w:val="22"/>
              </w:rPr>
              <w:t>Правил</w:t>
            </w:r>
            <w:r w:rsidR="00A1699B" w:rsidRPr="0086340A">
              <w:rPr>
                <w:sz w:val="22"/>
                <w:szCs w:val="22"/>
              </w:rPr>
              <w:t>а</w:t>
            </w:r>
            <w:r w:rsidR="00B2292E" w:rsidRPr="0086340A">
              <w:rPr>
                <w:sz w:val="22"/>
                <w:szCs w:val="22"/>
              </w:rPr>
              <w:t xml:space="preserve"> ринку </w:t>
            </w:r>
          </w:p>
        </w:tc>
      </w:tr>
      <w:tr w:rsidR="00F67D10" w:rsidRPr="0086340A" w:rsidTr="009A2E95">
        <w:tc>
          <w:tcPr>
            <w:tcW w:w="2723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Альтернатива 2</w:t>
            </w:r>
          </w:p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6772" w:type="dxa"/>
          </w:tcPr>
          <w:p w:rsidR="00071079" w:rsidRPr="0086340A" w:rsidRDefault="004C1433" w:rsidP="00895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Унести </w:t>
            </w:r>
            <w:r w:rsidR="009A2E95" w:rsidRPr="0086340A">
              <w:rPr>
                <w:sz w:val="22"/>
                <w:szCs w:val="22"/>
              </w:rPr>
              <w:t>зміни</w:t>
            </w:r>
            <w:r w:rsidR="0054178D" w:rsidRPr="0086340A">
              <w:rPr>
                <w:sz w:val="22"/>
                <w:szCs w:val="22"/>
              </w:rPr>
              <w:t xml:space="preserve"> до</w:t>
            </w:r>
            <w:r w:rsidR="009A2E95" w:rsidRPr="0086340A">
              <w:rPr>
                <w:sz w:val="22"/>
                <w:szCs w:val="22"/>
              </w:rPr>
              <w:t xml:space="preserve"> </w:t>
            </w:r>
            <w:r w:rsidR="00B2292E" w:rsidRPr="0086340A">
              <w:rPr>
                <w:sz w:val="22"/>
                <w:szCs w:val="22"/>
              </w:rPr>
              <w:t xml:space="preserve">Правил ринку </w:t>
            </w:r>
          </w:p>
        </w:tc>
      </w:tr>
      <w:tr w:rsidR="00F67D10" w:rsidRPr="0086340A" w:rsidTr="009A2E95">
        <w:tc>
          <w:tcPr>
            <w:tcW w:w="2723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Альтернатива 3 </w:t>
            </w:r>
          </w:p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6772" w:type="dxa"/>
          </w:tcPr>
          <w:p w:rsidR="00071079" w:rsidRPr="0086340A" w:rsidRDefault="00C0078B" w:rsidP="00404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Визна</w:t>
            </w:r>
            <w:r w:rsidR="00710B5D" w:rsidRPr="0086340A">
              <w:rPr>
                <w:sz w:val="22"/>
                <w:szCs w:val="22"/>
              </w:rPr>
              <w:t>ти</w:t>
            </w:r>
            <w:r w:rsidRPr="0086340A">
              <w:rPr>
                <w:sz w:val="22"/>
                <w:szCs w:val="22"/>
              </w:rPr>
              <w:t xml:space="preserve"> такими, що втратили чинність</w:t>
            </w:r>
            <w:r w:rsidR="00413AEF" w:rsidRPr="0086340A">
              <w:rPr>
                <w:sz w:val="22"/>
                <w:szCs w:val="22"/>
              </w:rPr>
              <w:t>,</w:t>
            </w:r>
            <w:r w:rsidRPr="0086340A">
              <w:rPr>
                <w:sz w:val="22"/>
                <w:szCs w:val="22"/>
              </w:rPr>
              <w:t xml:space="preserve"> </w:t>
            </w:r>
            <w:r w:rsidR="00B2292E" w:rsidRPr="0086340A">
              <w:rPr>
                <w:sz w:val="22"/>
                <w:szCs w:val="22"/>
              </w:rPr>
              <w:t>Правила ринку</w:t>
            </w:r>
            <w:r w:rsidR="001D6373" w:rsidRPr="0086340A">
              <w:rPr>
                <w:sz w:val="22"/>
                <w:szCs w:val="22"/>
              </w:rPr>
              <w:t>,</w:t>
            </w:r>
            <w:r w:rsidR="00B2292E" w:rsidRPr="0086340A">
              <w:rPr>
                <w:sz w:val="22"/>
                <w:szCs w:val="22"/>
              </w:rPr>
              <w:t xml:space="preserve"> </w:t>
            </w:r>
            <w:r w:rsidRPr="0086340A">
              <w:rPr>
                <w:sz w:val="22"/>
                <w:szCs w:val="22"/>
              </w:rPr>
              <w:t>та прийнят</w:t>
            </w:r>
            <w:r w:rsidR="00710B5D" w:rsidRPr="0086340A">
              <w:rPr>
                <w:sz w:val="22"/>
                <w:szCs w:val="22"/>
              </w:rPr>
              <w:t>и</w:t>
            </w:r>
            <w:r w:rsidRPr="0086340A">
              <w:rPr>
                <w:sz w:val="22"/>
                <w:szCs w:val="22"/>
              </w:rPr>
              <w:t xml:space="preserve"> нов</w:t>
            </w:r>
            <w:r w:rsidR="00694147" w:rsidRPr="0086340A">
              <w:rPr>
                <w:sz w:val="22"/>
                <w:szCs w:val="22"/>
              </w:rPr>
              <w:t>ий</w:t>
            </w:r>
            <w:r w:rsidR="009472C0" w:rsidRPr="0086340A">
              <w:rPr>
                <w:sz w:val="22"/>
                <w:szCs w:val="22"/>
              </w:rPr>
              <w:t xml:space="preserve"> </w:t>
            </w:r>
            <w:r w:rsidRPr="0086340A">
              <w:rPr>
                <w:sz w:val="22"/>
                <w:szCs w:val="22"/>
              </w:rPr>
              <w:t>регуляторн</w:t>
            </w:r>
            <w:r w:rsidR="00694147" w:rsidRPr="0086340A">
              <w:rPr>
                <w:sz w:val="22"/>
                <w:szCs w:val="22"/>
              </w:rPr>
              <w:t>ий</w:t>
            </w:r>
            <w:r w:rsidRPr="0086340A">
              <w:rPr>
                <w:sz w:val="22"/>
                <w:szCs w:val="22"/>
              </w:rPr>
              <w:t xml:space="preserve"> акт</w:t>
            </w:r>
          </w:p>
        </w:tc>
      </w:tr>
    </w:tbl>
    <w:p w:rsidR="002A7B61" w:rsidRPr="0086340A" w:rsidRDefault="002A7B61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86340A" w:rsidRDefault="00C0078B" w:rsidP="001D6373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86340A">
        <w:rPr>
          <w:sz w:val="28"/>
          <w:szCs w:val="28"/>
        </w:rPr>
        <w:t>Оцінка вибраних альтернативних способів досягнення цілей</w:t>
      </w:r>
    </w:p>
    <w:p w:rsidR="00071079" w:rsidRPr="0086340A" w:rsidRDefault="00071079" w:rsidP="001D6373">
      <w:pPr>
        <w:suppressAutoHyphens w:val="0"/>
        <w:overflowPunct/>
        <w:autoSpaceDE/>
        <w:autoSpaceDN/>
        <w:adjustRightInd/>
        <w:spacing w:line="240" w:lineRule="auto"/>
        <w:ind w:leftChars="0" w:left="1" w:firstLineChars="252" w:firstLine="706"/>
        <w:jc w:val="both"/>
        <w:textAlignment w:val="auto"/>
        <w:outlineLvl w:val="9"/>
        <w:rPr>
          <w:sz w:val="28"/>
          <w:szCs w:val="28"/>
        </w:rPr>
      </w:pPr>
    </w:p>
    <w:p w:rsidR="00071079" w:rsidRPr="0086340A" w:rsidRDefault="00C0078B" w:rsidP="001D6373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86340A">
        <w:rPr>
          <w:sz w:val="28"/>
          <w:szCs w:val="28"/>
        </w:rPr>
        <w:t>Оцінка впливу на сферу інтересів держави:</w:t>
      </w:r>
    </w:p>
    <w:tbl>
      <w:tblPr>
        <w:tblStyle w:val="aff8"/>
        <w:tblW w:w="98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3685"/>
        <w:gridCol w:w="3402"/>
      </w:tblGrid>
      <w:tr w:rsidR="00F67D10" w:rsidRPr="0086340A" w:rsidTr="0086340A">
        <w:tc>
          <w:tcPr>
            <w:tcW w:w="2723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3685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Вигоди</w:t>
            </w:r>
          </w:p>
        </w:tc>
        <w:tc>
          <w:tcPr>
            <w:tcW w:w="3402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Витрати</w:t>
            </w:r>
          </w:p>
        </w:tc>
      </w:tr>
      <w:tr w:rsidR="00F67D10" w:rsidRPr="0086340A" w:rsidTr="0086340A">
        <w:trPr>
          <w:trHeight w:val="1070"/>
        </w:trPr>
        <w:tc>
          <w:tcPr>
            <w:tcW w:w="2723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Альтернатива 1</w:t>
            </w:r>
          </w:p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685" w:type="dxa"/>
          </w:tcPr>
          <w:p w:rsidR="00071079" w:rsidRPr="0086340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Відсутні</w:t>
            </w:r>
          </w:p>
        </w:tc>
        <w:tc>
          <w:tcPr>
            <w:tcW w:w="3402" w:type="dxa"/>
          </w:tcPr>
          <w:p w:rsidR="00EC3627" w:rsidRPr="0086340A" w:rsidRDefault="006517EF" w:rsidP="008F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Не забезпечення імплементації положень Регламенту КОМІСІЇ (ЄС) 2017/2195 від 23 листопада 2017 року про встановлення настанов щодо балансування електроенергії. </w:t>
            </w:r>
            <w:r w:rsidR="00035278" w:rsidRPr="0086340A">
              <w:rPr>
                <w:sz w:val="22"/>
                <w:szCs w:val="22"/>
              </w:rPr>
              <w:t>Недостатні</w:t>
            </w:r>
            <w:r w:rsidR="00F1094A" w:rsidRPr="0086340A">
              <w:rPr>
                <w:sz w:val="22"/>
                <w:szCs w:val="22"/>
              </w:rPr>
              <w:t>й обсяг балансуючої потужності</w:t>
            </w:r>
            <w:r w:rsidRPr="0086340A">
              <w:rPr>
                <w:sz w:val="22"/>
                <w:szCs w:val="22"/>
              </w:rPr>
              <w:t xml:space="preserve"> на довгостроковий термін</w:t>
            </w:r>
            <w:r w:rsidR="00F1094A" w:rsidRPr="0086340A">
              <w:rPr>
                <w:sz w:val="22"/>
                <w:szCs w:val="22"/>
              </w:rPr>
              <w:t>,</w:t>
            </w:r>
            <w:r w:rsidRPr="0086340A">
              <w:rPr>
                <w:sz w:val="22"/>
                <w:szCs w:val="22"/>
              </w:rPr>
              <w:t xml:space="preserve"> що</w:t>
            </w:r>
            <w:r w:rsidR="002F21A4" w:rsidRPr="0086340A">
              <w:rPr>
                <w:sz w:val="22"/>
                <w:szCs w:val="22"/>
              </w:rPr>
              <w:t xml:space="preserve"> необхідни</w:t>
            </w:r>
            <w:r w:rsidR="00F1094A" w:rsidRPr="0086340A">
              <w:rPr>
                <w:sz w:val="22"/>
                <w:szCs w:val="22"/>
              </w:rPr>
              <w:t>й</w:t>
            </w:r>
            <w:r w:rsidR="002F21A4" w:rsidRPr="0086340A">
              <w:rPr>
                <w:sz w:val="22"/>
                <w:szCs w:val="22"/>
              </w:rPr>
              <w:t xml:space="preserve"> для забезпечення надійної роботи ОЕС України та належної якості електричної енергії</w:t>
            </w:r>
            <w:r w:rsidR="0042707A" w:rsidRPr="0086340A">
              <w:rPr>
                <w:sz w:val="22"/>
                <w:szCs w:val="22"/>
              </w:rPr>
              <w:t>.</w:t>
            </w:r>
            <w:r w:rsidRPr="0086340A">
              <w:rPr>
                <w:sz w:val="22"/>
                <w:szCs w:val="22"/>
              </w:rPr>
              <w:t xml:space="preserve"> </w:t>
            </w:r>
          </w:p>
        </w:tc>
      </w:tr>
      <w:tr w:rsidR="00F67D10" w:rsidRPr="0086340A" w:rsidTr="0086340A">
        <w:tc>
          <w:tcPr>
            <w:tcW w:w="2723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Альтернатива 2 </w:t>
            </w:r>
          </w:p>
          <w:p w:rsidR="00071079" w:rsidRPr="0086340A" w:rsidRDefault="00C0078B" w:rsidP="009B6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Унесення змін до чинного </w:t>
            </w:r>
            <w:r w:rsidRPr="0086340A">
              <w:rPr>
                <w:sz w:val="22"/>
                <w:szCs w:val="22"/>
              </w:rPr>
              <w:lastRenderedPageBreak/>
              <w:t>регуляторного акта</w:t>
            </w:r>
          </w:p>
        </w:tc>
        <w:tc>
          <w:tcPr>
            <w:tcW w:w="3685" w:type="dxa"/>
          </w:tcPr>
          <w:p w:rsidR="00EC3627" w:rsidRPr="0086340A" w:rsidRDefault="000A69E0" w:rsidP="00B229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lastRenderedPageBreak/>
              <w:t>Виконання зобов’язань держави щодо і</w:t>
            </w:r>
            <w:r w:rsidR="006517EF" w:rsidRPr="0086340A">
              <w:rPr>
                <w:sz w:val="22"/>
                <w:szCs w:val="22"/>
              </w:rPr>
              <w:t>мплементації положень</w:t>
            </w:r>
            <w:r w:rsidRPr="0086340A">
              <w:rPr>
                <w:sz w:val="22"/>
                <w:szCs w:val="22"/>
              </w:rPr>
              <w:t xml:space="preserve"> </w:t>
            </w:r>
            <w:r w:rsidRPr="0086340A">
              <w:rPr>
                <w:sz w:val="22"/>
                <w:szCs w:val="22"/>
              </w:rPr>
              <w:lastRenderedPageBreak/>
              <w:t>нормативно-правових актів європейського законодавства, зокрема</w:t>
            </w:r>
            <w:r w:rsidR="006517EF" w:rsidRPr="0086340A">
              <w:rPr>
                <w:sz w:val="22"/>
                <w:szCs w:val="22"/>
              </w:rPr>
              <w:t xml:space="preserve"> Регламенту КОМІСІЇ (ЄС) 2017/2195 від 23 листопада 2017 року про встановлення настанов щодо балансування електроенергії</w:t>
            </w:r>
            <w:r w:rsidR="00740FD7" w:rsidRPr="0086340A">
              <w:rPr>
                <w:sz w:val="22"/>
                <w:szCs w:val="22"/>
              </w:rPr>
              <w:t>.</w:t>
            </w:r>
            <w:r w:rsidR="006517EF" w:rsidRPr="0086340A">
              <w:rPr>
                <w:sz w:val="22"/>
                <w:szCs w:val="22"/>
              </w:rPr>
              <w:t xml:space="preserve"> </w:t>
            </w:r>
            <w:r w:rsidR="004E14B6" w:rsidRPr="0086340A">
              <w:rPr>
                <w:sz w:val="22"/>
                <w:szCs w:val="22"/>
              </w:rPr>
              <w:t>Підвищення надійн</w:t>
            </w:r>
            <w:r w:rsidR="003450F5" w:rsidRPr="0086340A">
              <w:rPr>
                <w:sz w:val="22"/>
                <w:szCs w:val="22"/>
              </w:rPr>
              <w:t>ості</w:t>
            </w:r>
            <w:r w:rsidR="004E14B6" w:rsidRPr="0086340A">
              <w:rPr>
                <w:sz w:val="22"/>
                <w:szCs w:val="22"/>
              </w:rPr>
              <w:t xml:space="preserve"> роботи ОЕС України та якості електричної енергії</w:t>
            </w:r>
            <w:r w:rsidR="006E026A" w:rsidRPr="0086340A">
              <w:rPr>
                <w:sz w:val="22"/>
                <w:szCs w:val="22"/>
              </w:rPr>
              <w:t xml:space="preserve"> за рахунок </w:t>
            </w:r>
            <w:r w:rsidR="006517EF" w:rsidRPr="0086340A">
              <w:rPr>
                <w:sz w:val="22"/>
                <w:szCs w:val="22"/>
              </w:rPr>
              <w:t>створення умов для наявності балансуючої потужності на довгостроковий термін</w:t>
            </w:r>
            <w:r w:rsidR="006E026A" w:rsidRPr="0086340A">
              <w:rPr>
                <w:sz w:val="22"/>
                <w:szCs w:val="22"/>
              </w:rPr>
              <w:t>.</w:t>
            </w:r>
          </w:p>
          <w:p w:rsidR="006517EF" w:rsidRPr="0086340A" w:rsidRDefault="006517EF" w:rsidP="00B229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Підвищення конкуренції на ринку ДП, зокрема на довгострокових аукціонах на ДП.</w:t>
            </w:r>
          </w:p>
        </w:tc>
        <w:tc>
          <w:tcPr>
            <w:tcW w:w="3402" w:type="dxa"/>
          </w:tcPr>
          <w:p w:rsidR="00071079" w:rsidRPr="0086340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lastRenderedPageBreak/>
              <w:t>Відсутні</w:t>
            </w:r>
          </w:p>
        </w:tc>
      </w:tr>
      <w:tr w:rsidR="00F67D10" w:rsidRPr="0086340A" w:rsidTr="0086340A">
        <w:tc>
          <w:tcPr>
            <w:tcW w:w="2723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Альтернатива 3 </w:t>
            </w:r>
          </w:p>
          <w:p w:rsidR="00071079" w:rsidRPr="0086340A" w:rsidRDefault="00C0078B" w:rsidP="00F46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3685" w:type="dxa"/>
          </w:tcPr>
          <w:p w:rsidR="006517EF" w:rsidRPr="0086340A" w:rsidRDefault="000A69E0" w:rsidP="00651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Виконання зобов’язань держави щодо імплементації положень нормативно-правових актів європейського законодавства, зокрема Регламенту </w:t>
            </w:r>
            <w:r w:rsidR="006517EF" w:rsidRPr="0086340A">
              <w:rPr>
                <w:sz w:val="22"/>
                <w:szCs w:val="22"/>
              </w:rPr>
              <w:t>КОМІСІЇ (ЄС) 2017/2195 від 23 листопада 2017 року про встановлення настанов щодо балансування електроенергії</w:t>
            </w:r>
            <w:r w:rsidR="00740FD7" w:rsidRPr="0086340A">
              <w:rPr>
                <w:sz w:val="22"/>
                <w:szCs w:val="22"/>
              </w:rPr>
              <w:t>.</w:t>
            </w:r>
            <w:r w:rsidR="006517EF" w:rsidRPr="0086340A">
              <w:rPr>
                <w:sz w:val="22"/>
                <w:szCs w:val="22"/>
              </w:rPr>
              <w:t xml:space="preserve"> Підвищення надійності роботи ОЕС України та якості електричної енергії за рахунок створення умов для наявності балансуючої потужності на довгостроковий термін.</w:t>
            </w:r>
          </w:p>
          <w:p w:rsidR="00071079" w:rsidRPr="0086340A" w:rsidRDefault="006517EF" w:rsidP="00651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Підвищення конкуренції на ринку ДП, зокрема на довгострокових аукціонах на ДП.</w:t>
            </w:r>
          </w:p>
        </w:tc>
        <w:tc>
          <w:tcPr>
            <w:tcW w:w="3402" w:type="dxa"/>
          </w:tcPr>
          <w:p w:rsidR="00071079" w:rsidRPr="0086340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Захід є надмірним</w:t>
            </w:r>
          </w:p>
        </w:tc>
      </w:tr>
    </w:tbl>
    <w:p w:rsidR="001B4F94" w:rsidRPr="0086340A" w:rsidRDefault="001B4F94" w:rsidP="001D637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</w:p>
    <w:p w:rsidR="00071079" w:rsidRPr="0086340A" w:rsidRDefault="00C0078B" w:rsidP="001D637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86340A">
        <w:rPr>
          <w:sz w:val="28"/>
          <w:szCs w:val="28"/>
        </w:rPr>
        <w:t>Оцінка впливу на сферу інтересів громадян:</w:t>
      </w:r>
    </w:p>
    <w:tbl>
      <w:tblPr>
        <w:tblStyle w:val="aff9"/>
        <w:tblW w:w="95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3685"/>
        <w:gridCol w:w="3119"/>
      </w:tblGrid>
      <w:tr w:rsidR="00F67D10" w:rsidRPr="0086340A" w:rsidTr="0086340A">
        <w:tc>
          <w:tcPr>
            <w:tcW w:w="2723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Вид альтернативи</w:t>
            </w:r>
          </w:p>
          <w:p w:rsidR="00071079" w:rsidRPr="0086340A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9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Вигоди</w:t>
            </w:r>
          </w:p>
        </w:tc>
        <w:tc>
          <w:tcPr>
            <w:tcW w:w="3119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Витрати</w:t>
            </w:r>
          </w:p>
        </w:tc>
      </w:tr>
      <w:tr w:rsidR="00F67D10" w:rsidRPr="0086340A" w:rsidTr="0086340A">
        <w:tc>
          <w:tcPr>
            <w:tcW w:w="2723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Альтернатива 1</w:t>
            </w:r>
          </w:p>
          <w:p w:rsidR="00071079" w:rsidRPr="0086340A" w:rsidRDefault="00C0078B" w:rsidP="009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Збереження чинного регулювання</w:t>
            </w:r>
          </w:p>
          <w:p w:rsidR="001B4F94" w:rsidRPr="0086340A" w:rsidRDefault="001B4F94" w:rsidP="009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071079" w:rsidRPr="0086340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Відсутні</w:t>
            </w:r>
          </w:p>
        </w:tc>
        <w:tc>
          <w:tcPr>
            <w:tcW w:w="3119" w:type="dxa"/>
          </w:tcPr>
          <w:p w:rsidR="00071079" w:rsidRPr="0086340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Відсутні</w:t>
            </w:r>
          </w:p>
        </w:tc>
      </w:tr>
      <w:tr w:rsidR="00F67D10" w:rsidRPr="0086340A" w:rsidTr="0086340A">
        <w:trPr>
          <w:trHeight w:val="986"/>
        </w:trPr>
        <w:tc>
          <w:tcPr>
            <w:tcW w:w="2723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Альтернатива 2 </w:t>
            </w:r>
          </w:p>
          <w:p w:rsidR="00071079" w:rsidRPr="0086340A" w:rsidRDefault="00C0078B" w:rsidP="009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3685" w:type="dxa"/>
          </w:tcPr>
          <w:p w:rsidR="00071079" w:rsidRPr="0086340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Відсутні</w:t>
            </w:r>
          </w:p>
        </w:tc>
        <w:tc>
          <w:tcPr>
            <w:tcW w:w="3119" w:type="dxa"/>
          </w:tcPr>
          <w:p w:rsidR="00071079" w:rsidRPr="0086340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Відсутні</w:t>
            </w:r>
          </w:p>
        </w:tc>
      </w:tr>
      <w:tr w:rsidR="00F67D10" w:rsidRPr="0086340A" w:rsidTr="0086340A">
        <w:trPr>
          <w:trHeight w:val="986"/>
        </w:trPr>
        <w:tc>
          <w:tcPr>
            <w:tcW w:w="2723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Альтернатива 3 </w:t>
            </w:r>
          </w:p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3685" w:type="dxa"/>
          </w:tcPr>
          <w:p w:rsidR="00071079" w:rsidRPr="0086340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Відсутні</w:t>
            </w:r>
          </w:p>
        </w:tc>
        <w:tc>
          <w:tcPr>
            <w:tcW w:w="3119" w:type="dxa"/>
          </w:tcPr>
          <w:p w:rsidR="00071079" w:rsidRPr="0086340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Відсутні</w:t>
            </w:r>
          </w:p>
        </w:tc>
      </w:tr>
    </w:tbl>
    <w:p w:rsidR="00071079" w:rsidRPr="0086340A" w:rsidRDefault="00071079" w:rsidP="009A2E9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071079" w:rsidRPr="0086340A" w:rsidRDefault="00C0078B" w:rsidP="009B12A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86340A">
        <w:rPr>
          <w:sz w:val="28"/>
          <w:szCs w:val="28"/>
        </w:rPr>
        <w:t>Оцінка впливу на сферу інтересів суб’єктів господарювання:</w:t>
      </w:r>
    </w:p>
    <w:tbl>
      <w:tblPr>
        <w:tblStyle w:val="affa"/>
        <w:tblW w:w="95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3685"/>
        <w:gridCol w:w="3119"/>
      </w:tblGrid>
      <w:tr w:rsidR="00F67D10" w:rsidRPr="0086340A" w:rsidTr="001B4F94">
        <w:tc>
          <w:tcPr>
            <w:tcW w:w="2723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Вид альтернативи</w:t>
            </w:r>
          </w:p>
          <w:p w:rsidR="00071079" w:rsidRPr="0086340A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Вигоди</w:t>
            </w:r>
          </w:p>
        </w:tc>
        <w:tc>
          <w:tcPr>
            <w:tcW w:w="3119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Витрати</w:t>
            </w:r>
          </w:p>
        </w:tc>
      </w:tr>
      <w:tr w:rsidR="00F67D10" w:rsidRPr="0086340A" w:rsidTr="001B4F94">
        <w:tc>
          <w:tcPr>
            <w:tcW w:w="2723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Альтернатива 1</w:t>
            </w:r>
          </w:p>
          <w:p w:rsidR="00071079" w:rsidRPr="0086340A" w:rsidRDefault="00C0078B" w:rsidP="0002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685" w:type="dxa"/>
          </w:tcPr>
          <w:p w:rsidR="00071079" w:rsidRPr="0086340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Відсутні</w:t>
            </w:r>
          </w:p>
          <w:p w:rsidR="00071079" w:rsidRPr="0086340A" w:rsidRDefault="00071079" w:rsidP="00A665D9">
            <w:pPr>
              <w:suppressAutoHyphens w:val="0"/>
              <w:overflowPunct/>
              <w:autoSpaceDE/>
              <w:autoSpaceDN/>
              <w:adjustRightInd/>
              <w:spacing w:line="240" w:lineRule="auto"/>
              <w:ind w:leftChars="0" w:left="0" w:firstLineChars="0" w:firstLine="709"/>
              <w:jc w:val="both"/>
              <w:textAlignment w:val="auto"/>
              <w:outlineLvl w:val="9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5FB7" w:rsidRPr="0086340A" w:rsidRDefault="0021409F" w:rsidP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Не</w:t>
            </w:r>
            <w:r w:rsidR="0063047B" w:rsidRPr="0086340A">
              <w:rPr>
                <w:sz w:val="22"/>
                <w:szCs w:val="22"/>
              </w:rPr>
              <w:t xml:space="preserve">можливість передачі зобов’язань щодо виконання ДП, зокрема у разі неможливості їх виконання, в </w:t>
            </w:r>
            <w:r w:rsidR="0063047B" w:rsidRPr="0086340A">
              <w:rPr>
                <w:sz w:val="22"/>
                <w:szCs w:val="22"/>
              </w:rPr>
              <w:lastRenderedPageBreak/>
              <w:t xml:space="preserve">тому числі внаслідок аварійних ситуацій. </w:t>
            </w:r>
          </w:p>
        </w:tc>
      </w:tr>
      <w:tr w:rsidR="00F67D10" w:rsidRPr="0086340A" w:rsidTr="001B4F94">
        <w:trPr>
          <w:trHeight w:val="701"/>
        </w:trPr>
        <w:tc>
          <w:tcPr>
            <w:tcW w:w="2723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lastRenderedPageBreak/>
              <w:t xml:space="preserve">Альтернатива 2 </w:t>
            </w:r>
          </w:p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Унесення змін до чинного </w:t>
            </w:r>
          </w:p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регуляторного акта</w:t>
            </w:r>
          </w:p>
        </w:tc>
        <w:tc>
          <w:tcPr>
            <w:tcW w:w="3685" w:type="dxa"/>
          </w:tcPr>
          <w:p w:rsidR="00095FB7" w:rsidRPr="0086340A" w:rsidRDefault="0063047B" w:rsidP="00B24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Наявність можливості здійснювати передачу  зобов’язань щодо виконання ДП, крім прав, отриманих за результатами добових аукціонів на ДП.</w:t>
            </w:r>
          </w:p>
        </w:tc>
        <w:tc>
          <w:tcPr>
            <w:tcW w:w="3119" w:type="dxa"/>
          </w:tcPr>
          <w:p w:rsidR="00071079" w:rsidRPr="0086340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Відсутні</w:t>
            </w:r>
          </w:p>
          <w:p w:rsidR="00071079" w:rsidRPr="0086340A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F67D10" w:rsidRPr="0086340A" w:rsidTr="001B4F94">
        <w:trPr>
          <w:trHeight w:val="701"/>
        </w:trPr>
        <w:tc>
          <w:tcPr>
            <w:tcW w:w="2723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Альтернатива 3 </w:t>
            </w:r>
          </w:p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Прийняття нового регуляторного акта</w:t>
            </w:r>
          </w:p>
          <w:p w:rsidR="00071079" w:rsidRPr="0086340A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095FB7" w:rsidRPr="0086340A" w:rsidRDefault="0063047B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Наявність можливості здійснювати передачу  зобов’язань щодо виконання ДП, крім прав, отриманих за результатами добових аукціонів на ДП.</w:t>
            </w:r>
          </w:p>
        </w:tc>
        <w:tc>
          <w:tcPr>
            <w:tcW w:w="3119" w:type="dxa"/>
          </w:tcPr>
          <w:p w:rsidR="00071079" w:rsidRPr="0086340A" w:rsidRDefault="0002116A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Захід є надмірним </w:t>
            </w:r>
          </w:p>
        </w:tc>
      </w:tr>
    </w:tbl>
    <w:p w:rsidR="00095FB7" w:rsidRPr="0086340A" w:rsidRDefault="00095FB7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86340A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86340A">
        <w:rPr>
          <w:b/>
          <w:sz w:val="28"/>
          <w:szCs w:val="28"/>
        </w:rPr>
        <w:t>IV. Вибір найбільш оптимального альтернативного способу досягнення цілей</w:t>
      </w:r>
    </w:p>
    <w:p w:rsidR="00071079" w:rsidRPr="0086340A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tbl>
      <w:tblPr>
        <w:tblStyle w:val="affb"/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57"/>
        <w:gridCol w:w="2126"/>
        <w:gridCol w:w="3402"/>
      </w:tblGrid>
      <w:tr w:rsidR="00F67D10" w:rsidRPr="0086340A" w:rsidTr="0086340A">
        <w:trPr>
          <w:trHeight w:val="20"/>
        </w:trPr>
        <w:tc>
          <w:tcPr>
            <w:tcW w:w="3857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Рейтинг результативності (досягнення цілей під час вирішення проблеми)</w:t>
            </w:r>
          </w:p>
          <w:p w:rsidR="00071079" w:rsidRPr="0086340A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Бал результативності (за </w:t>
            </w:r>
            <w:r w:rsidR="00A93220" w:rsidRPr="0086340A">
              <w:rPr>
                <w:sz w:val="22"/>
                <w:szCs w:val="22"/>
              </w:rPr>
              <w:t xml:space="preserve"> </w:t>
            </w:r>
            <w:r w:rsidRPr="0086340A">
              <w:rPr>
                <w:sz w:val="22"/>
                <w:szCs w:val="22"/>
              </w:rPr>
              <w:t>чотирибальною системою оцінки)</w:t>
            </w:r>
          </w:p>
        </w:tc>
        <w:tc>
          <w:tcPr>
            <w:tcW w:w="3402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Коментарі щодо присвоєння відповідного </w:t>
            </w:r>
            <w:proofErr w:type="spellStart"/>
            <w:r w:rsidRPr="0086340A">
              <w:rPr>
                <w:sz w:val="22"/>
                <w:szCs w:val="22"/>
              </w:rPr>
              <w:t>бала</w:t>
            </w:r>
            <w:proofErr w:type="spellEnd"/>
          </w:p>
        </w:tc>
      </w:tr>
      <w:tr w:rsidR="00F67D10" w:rsidRPr="0086340A" w:rsidTr="0086340A">
        <w:trPr>
          <w:trHeight w:val="20"/>
        </w:trPr>
        <w:tc>
          <w:tcPr>
            <w:tcW w:w="3857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Альтернатива 1</w:t>
            </w:r>
          </w:p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Збереження чинного регулювання</w:t>
            </w:r>
          </w:p>
          <w:p w:rsidR="00CA1B2E" w:rsidRPr="0086340A" w:rsidRDefault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1</w:t>
            </w:r>
          </w:p>
          <w:p w:rsidR="00071079" w:rsidRPr="0086340A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Не забезпечує досягнення поставленої цілі </w:t>
            </w:r>
          </w:p>
        </w:tc>
      </w:tr>
      <w:tr w:rsidR="00F67D10" w:rsidRPr="0086340A" w:rsidTr="0086340A">
        <w:trPr>
          <w:trHeight w:val="20"/>
        </w:trPr>
        <w:tc>
          <w:tcPr>
            <w:tcW w:w="3857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Альтернатива 2</w:t>
            </w:r>
          </w:p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(обрана альтернатива) </w:t>
            </w:r>
          </w:p>
          <w:p w:rsidR="00071079" w:rsidRPr="0086340A" w:rsidRDefault="00C0078B" w:rsidP="00B027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Унесення змін до чинного регуляторного акта </w:t>
            </w:r>
          </w:p>
          <w:p w:rsidR="00CA1B2E" w:rsidRPr="0086340A" w:rsidRDefault="00CA1B2E" w:rsidP="00B027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71079" w:rsidRPr="0086340A" w:rsidRDefault="00FE2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:rsidR="00071079" w:rsidRPr="0086340A" w:rsidRDefault="00A73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Забезпечує вирішення</w:t>
            </w:r>
            <w:r w:rsidR="00C0078B" w:rsidRPr="0086340A">
              <w:rPr>
                <w:sz w:val="22"/>
                <w:szCs w:val="22"/>
              </w:rPr>
              <w:t xml:space="preserve"> питання найбільш ефективним шляхом</w:t>
            </w:r>
          </w:p>
        </w:tc>
      </w:tr>
      <w:tr w:rsidR="00F67D10" w:rsidRPr="0086340A" w:rsidTr="0086340A">
        <w:trPr>
          <w:trHeight w:val="20"/>
        </w:trPr>
        <w:tc>
          <w:tcPr>
            <w:tcW w:w="3857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Альтернатива 3 </w:t>
            </w:r>
          </w:p>
          <w:p w:rsidR="00CA1B2E" w:rsidRPr="0086340A" w:rsidRDefault="00C0078B" w:rsidP="001B4F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Прийняття нового регуляторного акта</w:t>
            </w:r>
          </w:p>
          <w:p w:rsidR="001B4F94" w:rsidRPr="0086340A" w:rsidRDefault="001B4F94" w:rsidP="001B4F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71079" w:rsidRPr="0086340A" w:rsidRDefault="008F0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:rsidR="00071079" w:rsidRPr="0086340A" w:rsidRDefault="0098007F" w:rsidP="00913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Захід є надмірним </w:t>
            </w:r>
          </w:p>
        </w:tc>
      </w:tr>
    </w:tbl>
    <w:p w:rsidR="00071079" w:rsidRPr="0086340A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4"/>
          <w:szCs w:val="24"/>
        </w:rPr>
      </w:pPr>
    </w:p>
    <w:tbl>
      <w:tblPr>
        <w:tblStyle w:val="affc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686"/>
        <w:gridCol w:w="1417"/>
        <w:gridCol w:w="2552"/>
      </w:tblGrid>
      <w:tr w:rsidR="00F67D10" w:rsidRPr="0086340A" w:rsidTr="00CA1B2E">
        <w:trPr>
          <w:trHeight w:val="20"/>
        </w:trPr>
        <w:tc>
          <w:tcPr>
            <w:tcW w:w="1843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Рейтинг результативності</w:t>
            </w:r>
          </w:p>
        </w:tc>
        <w:tc>
          <w:tcPr>
            <w:tcW w:w="3686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Вигоди (підсумок)</w:t>
            </w:r>
          </w:p>
        </w:tc>
        <w:tc>
          <w:tcPr>
            <w:tcW w:w="1417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Витрати (підсумок)</w:t>
            </w:r>
          </w:p>
        </w:tc>
        <w:tc>
          <w:tcPr>
            <w:tcW w:w="2552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Обґрунтування відповідного місця альтернативи в рейтингу</w:t>
            </w:r>
          </w:p>
          <w:p w:rsidR="00071079" w:rsidRPr="0086340A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F67D10" w:rsidRPr="0086340A" w:rsidTr="00CA1B2E">
        <w:trPr>
          <w:trHeight w:val="20"/>
        </w:trPr>
        <w:tc>
          <w:tcPr>
            <w:tcW w:w="1843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Альтернатива 1</w:t>
            </w:r>
          </w:p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Збереження чинного регулювання</w:t>
            </w:r>
          </w:p>
          <w:p w:rsidR="00CA1B2E" w:rsidRPr="0086340A" w:rsidRDefault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:rsidR="00071079" w:rsidRPr="0086340A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Відсутні</w:t>
            </w:r>
          </w:p>
        </w:tc>
        <w:tc>
          <w:tcPr>
            <w:tcW w:w="1417" w:type="dxa"/>
          </w:tcPr>
          <w:p w:rsidR="00071079" w:rsidRPr="0086340A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Відсутні</w:t>
            </w:r>
          </w:p>
        </w:tc>
        <w:tc>
          <w:tcPr>
            <w:tcW w:w="2552" w:type="dxa"/>
          </w:tcPr>
          <w:p w:rsidR="00071079" w:rsidRPr="0086340A" w:rsidRDefault="00525CAA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Н</w:t>
            </w:r>
            <w:r w:rsidR="00C0078B" w:rsidRPr="0086340A">
              <w:rPr>
                <w:sz w:val="22"/>
                <w:szCs w:val="22"/>
              </w:rPr>
              <w:t xml:space="preserve">е </w:t>
            </w:r>
            <w:r w:rsidRPr="0086340A">
              <w:rPr>
                <w:sz w:val="22"/>
                <w:szCs w:val="22"/>
              </w:rPr>
              <w:t xml:space="preserve">забезпечує </w:t>
            </w:r>
            <w:r w:rsidR="00A73B29" w:rsidRPr="0086340A">
              <w:rPr>
                <w:sz w:val="22"/>
                <w:szCs w:val="22"/>
              </w:rPr>
              <w:t xml:space="preserve">досягнення </w:t>
            </w:r>
            <w:r w:rsidR="00F20B76" w:rsidRPr="0086340A">
              <w:rPr>
                <w:sz w:val="22"/>
                <w:szCs w:val="22"/>
              </w:rPr>
              <w:t>задекларованих цілей</w:t>
            </w:r>
          </w:p>
        </w:tc>
      </w:tr>
      <w:tr w:rsidR="00F67D10" w:rsidRPr="0086340A" w:rsidTr="00CA1B2E">
        <w:trPr>
          <w:trHeight w:val="20"/>
        </w:trPr>
        <w:tc>
          <w:tcPr>
            <w:tcW w:w="1843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Альтернатива 2</w:t>
            </w:r>
          </w:p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(обрана альтернатива) </w:t>
            </w:r>
          </w:p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Унесення змін до чинного регуляторного акта </w:t>
            </w:r>
          </w:p>
          <w:p w:rsidR="00CA1B2E" w:rsidRPr="0086340A" w:rsidRDefault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:rsidR="000A69E0" w:rsidRPr="0086340A" w:rsidRDefault="000A69E0" w:rsidP="000A6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Виконання зобов’язань держави щодо імплементації положень нормативно-правових актів європейського законодавства, зокрема Регламенту КОМІСІЇ (ЄС) 2017/2195 від 23 листопада 2017 року про встановлення настанов щодо балансування електроенергії</w:t>
            </w:r>
            <w:r w:rsidR="00740FD7" w:rsidRPr="0086340A">
              <w:rPr>
                <w:sz w:val="22"/>
                <w:szCs w:val="22"/>
              </w:rPr>
              <w:t>.</w:t>
            </w:r>
            <w:r w:rsidRPr="0086340A">
              <w:rPr>
                <w:sz w:val="22"/>
                <w:szCs w:val="22"/>
              </w:rPr>
              <w:t xml:space="preserve"> Підвищення надійності роботи ОЕС України та якості електричної енергії за рахунок створення умов для наявності балансуючої потужності на довгостроковий термін.</w:t>
            </w:r>
          </w:p>
          <w:p w:rsidR="00DC1F97" w:rsidRPr="0086340A" w:rsidRDefault="000A69E0" w:rsidP="000A6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lastRenderedPageBreak/>
              <w:t>Підвищення конкуренції на ринку ДП, зокрема на довгострокових аукціонах на ДП.</w:t>
            </w:r>
          </w:p>
          <w:p w:rsidR="000A69E0" w:rsidRPr="0086340A" w:rsidRDefault="000A69E0" w:rsidP="000A6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Створення умов для здійснення передачі  зобов’язань щодо виконання ДП, крім прав, отриманих за результатами добових аукціонів на ДП.</w:t>
            </w:r>
          </w:p>
        </w:tc>
        <w:tc>
          <w:tcPr>
            <w:tcW w:w="1417" w:type="dxa"/>
          </w:tcPr>
          <w:p w:rsidR="00071079" w:rsidRPr="0086340A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lastRenderedPageBreak/>
              <w:t>Відсутні</w:t>
            </w:r>
          </w:p>
          <w:p w:rsidR="00071079" w:rsidRPr="0086340A" w:rsidRDefault="00071079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71079" w:rsidRPr="0086340A" w:rsidRDefault="00525CAA" w:rsidP="00525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Забезпечує </w:t>
            </w:r>
            <w:r w:rsidR="00A73B29" w:rsidRPr="0086340A">
              <w:rPr>
                <w:sz w:val="22"/>
                <w:szCs w:val="22"/>
              </w:rPr>
              <w:t xml:space="preserve">досягнення </w:t>
            </w:r>
            <w:r w:rsidRPr="0086340A">
              <w:rPr>
                <w:sz w:val="22"/>
                <w:szCs w:val="22"/>
              </w:rPr>
              <w:t>задекларованих цілей повною мірою</w:t>
            </w:r>
          </w:p>
        </w:tc>
      </w:tr>
      <w:tr w:rsidR="00F67D10" w:rsidRPr="0086340A" w:rsidTr="00CA1B2E">
        <w:trPr>
          <w:trHeight w:val="20"/>
        </w:trPr>
        <w:tc>
          <w:tcPr>
            <w:tcW w:w="1843" w:type="dxa"/>
          </w:tcPr>
          <w:p w:rsidR="00953B00" w:rsidRPr="0086340A" w:rsidRDefault="00953B00" w:rsidP="00953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Альтернатива 3 </w:t>
            </w:r>
          </w:p>
          <w:p w:rsidR="00953B00" w:rsidRPr="0086340A" w:rsidRDefault="00953B00" w:rsidP="00953B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Прийняття нового регуляторного акта</w:t>
            </w:r>
          </w:p>
          <w:p w:rsidR="00953B00" w:rsidRPr="0086340A" w:rsidRDefault="00953B00" w:rsidP="00953B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:rsidR="000A69E0" w:rsidRPr="0086340A" w:rsidRDefault="000A69E0" w:rsidP="000A6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Виконання зобов’язань держави щодо імплементації положень нормативно-правових актів європейського законодавства, зокрема Регламенту КОМІСІЇ (ЄС) 2017/2195 від 23 листопада 2017 року про встановлення настанов щодо балансування електроенергії</w:t>
            </w:r>
            <w:r w:rsidR="00740FD7" w:rsidRPr="0086340A">
              <w:rPr>
                <w:sz w:val="22"/>
                <w:szCs w:val="22"/>
              </w:rPr>
              <w:t>.</w:t>
            </w:r>
            <w:r w:rsidRPr="0086340A">
              <w:rPr>
                <w:sz w:val="22"/>
                <w:szCs w:val="22"/>
              </w:rPr>
              <w:t xml:space="preserve"> Підвищення надійності роботи ОЕС України та якості електричної енергії за рахунок створення умов для наявності балансуючої потужності на довгостроковий термін.</w:t>
            </w:r>
          </w:p>
          <w:p w:rsidR="00953B00" w:rsidRPr="0086340A" w:rsidRDefault="000A69E0" w:rsidP="000A6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Підвищення конкуренції на ринку ДП, зокрема на довгострокових аукціонах на ДП.</w:t>
            </w:r>
          </w:p>
          <w:p w:rsidR="000A69E0" w:rsidRPr="0086340A" w:rsidRDefault="000A69E0" w:rsidP="000A6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Створення умов для здійснення передачі  зобов’язань щодо виконання ДП, крім прав, отриманих за результатами добових аукціонів на ДП.</w:t>
            </w:r>
          </w:p>
        </w:tc>
        <w:tc>
          <w:tcPr>
            <w:tcW w:w="1417" w:type="dxa"/>
          </w:tcPr>
          <w:p w:rsidR="00953B00" w:rsidRPr="0086340A" w:rsidRDefault="00953B00" w:rsidP="00953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Заходи є надмірними </w:t>
            </w:r>
          </w:p>
        </w:tc>
        <w:tc>
          <w:tcPr>
            <w:tcW w:w="2552" w:type="dxa"/>
          </w:tcPr>
          <w:p w:rsidR="00953B00" w:rsidRPr="0086340A" w:rsidRDefault="00953B00" w:rsidP="00953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Забезпечує досягнення задекларованих цілей  не достатньо ефективним шляхом </w:t>
            </w:r>
          </w:p>
        </w:tc>
      </w:tr>
    </w:tbl>
    <w:p w:rsidR="00B027BF" w:rsidRPr="0086340A" w:rsidRDefault="00B027BF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tbl>
      <w:tblPr>
        <w:tblStyle w:val="affd"/>
        <w:tblW w:w="949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4"/>
        <w:gridCol w:w="2693"/>
      </w:tblGrid>
      <w:tr w:rsidR="00F67D10" w:rsidRPr="0086340A">
        <w:tc>
          <w:tcPr>
            <w:tcW w:w="2410" w:type="dxa"/>
            <w:tcBorders>
              <w:bottom w:val="single" w:sz="4" w:space="0" w:color="000000"/>
            </w:tcBorders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Рейтинг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Оцінка ризику зовнішніх чинників на дію запропонованого регуляторного акта</w:t>
            </w:r>
          </w:p>
          <w:p w:rsidR="00071079" w:rsidRPr="0086340A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F67D10" w:rsidRPr="0086340A">
        <w:tc>
          <w:tcPr>
            <w:tcW w:w="2410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Альтернатива 1</w:t>
            </w:r>
          </w:p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Збереження чинного регулювання</w:t>
            </w:r>
          </w:p>
          <w:p w:rsidR="00071079" w:rsidRPr="0086340A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Не вирішує визначену проблему та не забезпечує досягнення цілей державного регулювання.</w:t>
            </w:r>
          </w:p>
        </w:tc>
        <w:tc>
          <w:tcPr>
            <w:tcW w:w="2693" w:type="dxa"/>
          </w:tcPr>
          <w:p w:rsidR="00DC1F97" w:rsidRPr="0086340A" w:rsidRDefault="00DC1F97" w:rsidP="00DC1F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Відсутній</w:t>
            </w:r>
          </w:p>
          <w:p w:rsidR="00071079" w:rsidRPr="0086340A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F67D10" w:rsidRPr="0086340A">
        <w:tc>
          <w:tcPr>
            <w:tcW w:w="2410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Альтернатива 2 </w:t>
            </w:r>
          </w:p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(обрана альтернатива) </w:t>
            </w:r>
          </w:p>
          <w:p w:rsidR="00A73B29" w:rsidRPr="0086340A" w:rsidRDefault="00C0078B" w:rsidP="000A69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4394" w:type="dxa"/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Обрана альтернатива дозволить вирішити проблему найефективнішим шляхом. Забезпечує досягнення цілей державного регулювання.</w:t>
            </w:r>
          </w:p>
        </w:tc>
        <w:tc>
          <w:tcPr>
            <w:tcW w:w="2693" w:type="dxa"/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Відсутній</w:t>
            </w:r>
          </w:p>
          <w:p w:rsidR="00071079" w:rsidRPr="0086340A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F67D10" w:rsidRPr="0086340A">
        <w:tc>
          <w:tcPr>
            <w:tcW w:w="2410" w:type="dxa"/>
            <w:tcBorders>
              <w:bottom w:val="single" w:sz="4" w:space="0" w:color="000000"/>
            </w:tcBorders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 xml:space="preserve">Альтернатива 3 </w:t>
            </w:r>
          </w:p>
          <w:p w:rsidR="00071079" w:rsidRPr="0086340A" w:rsidRDefault="00C0078B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Прийняття нового регуляторного акта</w:t>
            </w:r>
          </w:p>
          <w:p w:rsidR="00A73B29" w:rsidRPr="0086340A" w:rsidRDefault="00A73B29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071079" w:rsidRPr="0086340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Вирішує визначену проблему</w:t>
            </w:r>
            <w:r w:rsidR="007765FF" w:rsidRPr="0086340A">
              <w:rPr>
                <w:sz w:val="22"/>
                <w:szCs w:val="22"/>
              </w:rPr>
              <w:t xml:space="preserve"> та забезпечує досягнення цілей державного регулювання</w:t>
            </w:r>
            <w:r w:rsidRPr="0086340A">
              <w:rPr>
                <w:sz w:val="22"/>
                <w:szCs w:val="22"/>
              </w:rPr>
              <w:t xml:space="preserve">, але недостатньо ефективно у зв’язку </w:t>
            </w:r>
            <w:r w:rsidR="007765FF" w:rsidRPr="0086340A">
              <w:rPr>
                <w:sz w:val="22"/>
                <w:szCs w:val="22"/>
              </w:rPr>
              <w:t>і</w:t>
            </w:r>
            <w:r w:rsidRPr="0086340A">
              <w:rPr>
                <w:sz w:val="22"/>
                <w:szCs w:val="22"/>
              </w:rPr>
              <w:t>з надмірністю заходів.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071079" w:rsidRPr="0086340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86340A">
              <w:rPr>
                <w:sz w:val="22"/>
                <w:szCs w:val="22"/>
              </w:rPr>
              <w:t>Відсутній</w:t>
            </w:r>
          </w:p>
        </w:tc>
      </w:tr>
    </w:tbl>
    <w:p w:rsidR="00071079" w:rsidRPr="0086340A" w:rsidRDefault="00071079" w:rsidP="00EE57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sz w:val="28"/>
          <w:szCs w:val="28"/>
        </w:rPr>
      </w:pPr>
    </w:p>
    <w:p w:rsidR="001B4F94" w:rsidRPr="0086340A" w:rsidRDefault="001B4F94" w:rsidP="00EE57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sz w:val="28"/>
          <w:szCs w:val="28"/>
        </w:rPr>
      </w:pPr>
    </w:p>
    <w:p w:rsidR="00071079" w:rsidRPr="0086340A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86340A">
        <w:rPr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:rsidR="005B6024" w:rsidRPr="0086340A" w:rsidRDefault="005B6024" w:rsidP="00CB3F3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740FD7" w:rsidRPr="0086340A" w:rsidRDefault="009B12AF" w:rsidP="002A5ECA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86340A">
        <w:rPr>
          <w:sz w:val="28"/>
          <w:szCs w:val="28"/>
        </w:rPr>
        <w:t xml:space="preserve">Для досягнення поставленої мети пропонується прийняти регуляторний акт, що передбачає внесення змін </w:t>
      </w:r>
      <w:r w:rsidR="000E566F" w:rsidRPr="0086340A">
        <w:rPr>
          <w:sz w:val="28"/>
          <w:szCs w:val="28"/>
        </w:rPr>
        <w:t xml:space="preserve">до </w:t>
      </w:r>
      <w:r w:rsidRPr="0086340A">
        <w:rPr>
          <w:sz w:val="28"/>
          <w:szCs w:val="28"/>
        </w:rPr>
        <w:t xml:space="preserve">Правил ринку </w:t>
      </w:r>
      <w:r w:rsidR="007E628E" w:rsidRPr="0086340A">
        <w:rPr>
          <w:rFonts w:eastAsiaTheme="minorHAnsi"/>
          <w:position w:val="0"/>
          <w:sz w:val="28"/>
          <w:szCs w:val="28"/>
          <w:lang w:eastAsia="en-US"/>
        </w:rPr>
        <w:t>у частині</w:t>
      </w:r>
      <w:r w:rsidR="002A5ECA" w:rsidRPr="0086340A">
        <w:rPr>
          <w:rFonts w:eastAsiaTheme="minorHAnsi"/>
          <w:position w:val="0"/>
          <w:sz w:val="28"/>
          <w:szCs w:val="28"/>
          <w:lang w:eastAsia="en-US"/>
        </w:rPr>
        <w:t xml:space="preserve"> запровадження можливості передачі постачальником ДП зобов’язання щодо надання ДП з </w:t>
      </w:r>
      <w:r w:rsidR="002A5ECA" w:rsidRPr="0086340A">
        <w:rPr>
          <w:rFonts w:eastAsiaTheme="minorHAnsi"/>
          <w:position w:val="0"/>
          <w:sz w:val="28"/>
          <w:szCs w:val="28"/>
          <w:lang w:eastAsia="en-US"/>
        </w:rPr>
        <w:lastRenderedPageBreak/>
        <w:t>регулювання частоти та активної потужності визначеною одиницею надання ДП для виконання такого зобов’язання іншою одиницею надання ДП, в тому числі іншого постачальника ДП</w:t>
      </w:r>
      <w:r w:rsidR="00740FD7" w:rsidRPr="0086340A">
        <w:rPr>
          <w:rFonts w:eastAsiaTheme="minorHAnsi"/>
          <w:position w:val="0"/>
          <w:sz w:val="28"/>
          <w:szCs w:val="28"/>
          <w:lang w:eastAsia="en-US"/>
        </w:rPr>
        <w:t>.</w:t>
      </w:r>
    </w:p>
    <w:p w:rsidR="008959B1" w:rsidRPr="0086340A" w:rsidRDefault="008959B1" w:rsidP="002A5ECA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86340A">
        <w:rPr>
          <w:rFonts w:eastAsiaTheme="minorHAnsi"/>
          <w:position w:val="0"/>
          <w:sz w:val="28"/>
          <w:szCs w:val="28"/>
          <w:lang w:eastAsia="en-US"/>
        </w:rPr>
        <w:t>Впливу зовнішніх факторів, що можуть негативно позначитись на виконання вимог регуляторного акта, не очікується.</w:t>
      </w:r>
    </w:p>
    <w:p w:rsidR="008959B1" w:rsidRPr="0086340A" w:rsidRDefault="008959B1" w:rsidP="008959B1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86340A">
        <w:rPr>
          <w:rFonts w:eastAsiaTheme="minorHAnsi"/>
          <w:position w:val="0"/>
          <w:sz w:val="28"/>
          <w:szCs w:val="28"/>
          <w:lang w:eastAsia="en-US"/>
        </w:rPr>
        <w:t>Характеристика механізму повної або часткової компенсації можливої шкоди у разі настання очікуваних наслідків дії регуляторного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:rsidR="008959B1" w:rsidRPr="0086340A" w:rsidRDefault="008959B1" w:rsidP="008959B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86340A">
        <w:rPr>
          <w:rFonts w:eastAsiaTheme="minorHAnsi"/>
          <w:position w:val="0"/>
          <w:sz w:val="28"/>
          <w:szCs w:val="28"/>
          <w:lang w:eastAsia="en-US"/>
        </w:rPr>
        <w:t>Функції в частині здійснення державного контролю та нагляду за додержанням вимог регуляторного акта будуть здійснюватись державними органами, яким, відповідно до законодавства, надані такі повноваження.</w:t>
      </w:r>
    </w:p>
    <w:p w:rsidR="00DB0D4B" w:rsidRPr="0086340A" w:rsidRDefault="00DB0D4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071079" w:rsidRPr="0086340A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86340A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071079" w:rsidRPr="0086340A" w:rsidRDefault="000710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071079" w:rsidRPr="0086340A" w:rsidRDefault="008959B1" w:rsidP="00FD6A1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86340A">
        <w:rPr>
          <w:rFonts w:eastAsiaTheme="minorHAnsi"/>
          <w:position w:val="0"/>
          <w:sz w:val="28"/>
          <w:szCs w:val="28"/>
          <w:lang w:eastAsia="en-US"/>
        </w:rPr>
        <w:t>Строк дії регуляторного акта необмежений</w:t>
      </w:r>
      <w:r w:rsidR="00C0078B" w:rsidRPr="0086340A">
        <w:rPr>
          <w:rFonts w:eastAsiaTheme="minorHAnsi"/>
          <w:position w:val="0"/>
          <w:sz w:val="28"/>
          <w:szCs w:val="28"/>
          <w:lang w:eastAsia="en-US"/>
        </w:rPr>
        <w:t>. Він може бути змінений у разі внесення відповідних змін до законодавства.</w:t>
      </w:r>
    </w:p>
    <w:p w:rsidR="008919C4" w:rsidRPr="0086340A" w:rsidRDefault="008919C4" w:rsidP="00FD6A1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86340A" w:rsidRDefault="00C0078B" w:rsidP="007A3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86340A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071079" w:rsidRPr="0086340A" w:rsidRDefault="00071079" w:rsidP="007A3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bookmarkStart w:id="3" w:name="_heading=h.30j0zll" w:colFirst="0" w:colLast="0"/>
      <w:bookmarkEnd w:id="3"/>
    </w:p>
    <w:p w:rsidR="000A478C" w:rsidRPr="0086340A" w:rsidRDefault="000A478C" w:rsidP="000A478C">
      <w:pPr>
        <w:ind w:leftChars="0" w:left="1" w:firstLineChars="262" w:firstLine="734"/>
        <w:jc w:val="both"/>
        <w:rPr>
          <w:sz w:val="28"/>
          <w:szCs w:val="28"/>
        </w:rPr>
      </w:pPr>
      <w:r w:rsidRPr="0086340A">
        <w:rPr>
          <w:sz w:val="28"/>
          <w:szCs w:val="28"/>
        </w:rPr>
        <w:t>За результатами дії регуляторного акта:</w:t>
      </w:r>
    </w:p>
    <w:p w:rsidR="000A478C" w:rsidRPr="0086340A" w:rsidRDefault="000A478C" w:rsidP="000A478C">
      <w:pPr>
        <w:ind w:leftChars="0" w:left="1" w:firstLineChars="262" w:firstLine="734"/>
        <w:jc w:val="both"/>
        <w:rPr>
          <w:sz w:val="28"/>
          <w:szCs w:val="28"/>
        </w:rPr>
      </w:pPr>
      <w:r w:rsidRPr="0086340A">
        <w:rPr>
          <w:sz w:val="28"/>
          <w:szCs w:val="28"/>
        </w:rPr>
        <w:t>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:rsidR="000A478C" w:rsidRPr="0086340A" w:rsidRDefault="000A478C" w:rsidP="000A478C">
      <w:pPr>
        <w:ind w:leftChars="0" w:left="1" w:firstLineChars="262" w:firstLine="734"/>
        <w:jc w:val="both"/>
        <w:rPr>
          <w:sz w:val="28"/>
          <w:szCs w:val="28"/>
        </w:rPr>
      </w:pPr>
      <w:r w:rsidRPr="0086340A">
        <w:rPr>
          <w:sz w:val="28"/>
          <w:szCs w:val="28"/>
        </w:rPr>
        <w:t>кількість суб'єктів господарювання та/або фізичних осіб, на яких поширюватиметься дія акта, – суб’єкти господарювання, що провадять діяльність у сферах енергетики та комунальних послуг;</w:t>
      </w:r>
    </w:p>
    <w:p w:rsidR="000A478C" w:rsidRPr="0086340A" w:rsidRDefault="000A478C" w:rsidP="000A478C">
      <w:pPr>
        <w:pStyle w:val="af2"/>
        <w:widowControl w:val="0"/>
        <w:spacing w:after="0"/>
        <w:ind w:leftChars="0" w:left="1" w:firstLineChars="262" w:firstLine="734"/>
        <w:jc w:val="both"/>
        <w:rPr>
          <w:bCs/>
          <w:sz w:val="28"/>
          <w:szCs w:val="28"/>
        </w:rPr>
      </w:pPr>
      <w:r w:rsidRPr="0086340A">
        <w:rPr>
          <w:bCs/>
          <w:sz w:val="28"/>
          <w:szCs w:val="28"/>
        </w:rPr>
        <w:t>рівень поінформованості суб’єктів господарювання та фізичних осіб з основних положень акта – середній</w:t>
      </w:r>
      <w:r w:rsidRPr="0086340A">
        <w:rPr>
          <w:sz w:val="28"/>
          <w:szCs w:val="28"/>
        </w:rPr>
        <w:t xml:space="preserve">. </w:t>
      </w:r>
      <w:r w:rsidRPr="0086340A">
        <w:rPr>
          <w:bCs/>
          <w:sz w:val="28"/>
          <w:szCs w:val="28"/>
        </w:rPr>
        <w:t xml:space="preserve">Відповідно до вимог статті 15 Закону України «Про Національну комісію, що здійснює державне регулювання у сферах енергетики та комунальних послуг» </w:t>
      </w:r>
      <w:r w:rsidR="0087740D" w:rsidRPr="0086340A">
        <w:rPr>
          <w:bCs/>
          <w:sz w:val="28"/>
          <w:szCs w:val="28"/>
        </w:rPr>
        <w:t>регуляторний акт</w:t>
      </w:r>
      <w:r w:rsidRPr="0086340A">
        <w:rPr>
          <w:bCs/>
          <w:sz w:val="28"/>
          <w:szCs w:val="28"/>
        </w:rPr>
        <w:t xml:space="preserve">, </w:t>
      </w:r>
      <w:r w:rsidRPr="0086340A">
        <w:rPr>
          <w:sz w:val="28"/>
          <w:szCs w:val="28"/>
        </w:rPr>
        <w:t xml:space="preserve">разом з аналізом його впливу оприлюднено на офіційному </w:t>
      </w:r>
      <w:proofErr w:type="spellStart"/>
      <w:r w:rsidRPr="0086340A">
        <w:rPr>
          <w:sz w:val="28"/>
          <w:szCs w:val="28"/>
        </w:rPr>
        <w:t>вебсайті</w:t>
      </w:r>
      <w:proofErr w:type="spellEnd"/>
      <w:r w:rsidRPr="0086340A">
        <w:rPr>
          <w:sz w:val="28"/>
          <w:szCs w:val="28"/>
        </w:rPr>
        <w:t xml:space="preserve"> НКРЕКП (</w:t>
      </w:r>
      <w:hyperlink r:id="rId8" w:history="1">
        <w:r w:rsidRPr="0086340A">
          <w:rPr>
            <w:sz w:val="28"/>
            <w:szCs w:val="28"/>
          </w:rPr>
          <w:t>http://nerc.gov.ua</w:t>
        </w:r>
      </w:hyperlink>
      <w:r w:rsidRPr="0086340A">
        <w:rPr>
          <w:sz w:val="28"/>
          <w:szCs w:val="28"/>
        </w:rPr>
        <w:t>) з метою одержання зауважень і пропозицій від інших органів державної влади, фізичних та юридичних осіб, їх об'єднань та інших заінтересованих осіб.</w:t>
      </w:r>
      <w:r w:rsidRPr="0086340A">
        <w:rPr>
          <w:bCs/>
          <w:sz w:val="28"/>
          <w:szCs w:val="28"/>
        </w:rPr>
        <w:t xml:space="preserve"> НКРЕКП у межах компетенції надає необхідні роз’яснення щодо норм проєкту регуляторного акта і надаватиме роз’яснення щодо застосування акта після його прийняття.</w:t>
      </w:r>
    </w:p>
    <w:p w:rsidR="00071079" w:rsidRPr="0086340A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071079" w:rsidRPr="0086340A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86340A">
        <w:rPr>
          <w:b/>
          <w:sz w:val="28"/>
          <w:szCs w:val="28"/>
        </w:rPr>
        <w:t>VІII. Очікувані результати прийняття регуляторного акта</w:t>
      </w:r>
    </w:p>
    <w:p w:rsidR="00071079" w:rsidRPr="0086340A" w:rsidRDefault="00071079" w:rsidP="00EA0D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sz w:val="28"/>
          <w:szCs w:val="28"/>
        </w:rPr>
      </w:pPr>
    </w:p>
    <w:p w:rsidR="00740FD7" w:rsidRPr="0086340A" w:rsidRDefault="00FD0924" w:rsidP="00740FD7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86340A">
        <w:rPr>
          <w:sz w:val="28"/>
          <w:szCs w:val="28"/>
        </w:rPr>
        <w:t>Очікуваним результатом п</w:t>
      </w:r>
      <w:r w:rsidR="00C0078B" w:rsidRPr="0086340A">
        <w:rPr>
          <w:sz w:val="28"/>
          <w:szCs w:val="28"/>
        </w:rPr>
        <w:t>рийняття регуляторного акта</w:t>
      </w:r>
      <w:r w:rsidR="002638E5" w:rsidRPr="0086340A">
        <w:rPr>
          <w:sz w:val="28"/>
          <w:szCs w:val="28"/>
        </w:rPr>
        <w:t xml:space="preserve"> є</w:t>
      </w:r>
      <w:r w:rsidR="00C0078B" w:rsidRPr="0086340A">
        <w:rPr>
          <w:sz w:val="28"/>
          <w:szCs w:val="28"/>
        </w:rPr>
        <w:t xml:space="preserve"> </w:t>
      </w:r>
      <w:r w:rsidR="00740FD7" w:rsidRPr="0086340A">
        <w:rPr>
          <w:sz w:val="28"/>
          <w:szCs w:val="28"/>
        </w:rPr>
        <w:t>виконання</w:t>
      </w:r>
      <w:r w:rsidR="00740FD7" w:rsidRPr="0086340A">
        <w:rPr>
          <w:rFonts w:eastAsiaTheme="minorHAnsi"/>
          <w:position w:val="0"/>
          <w:sz w:val="28"/>
          <w:szCs w:val="28"/>
          <w:lang w:eastAsia="en-US"/>
        </w:rPr>
        <w:t xml:space="preserve"> зобов’язань держави щодо імплементації положень нормативно-правових актів європейського законодавства, зокрема Регламенту КОМІСІЇ (ЄС) 2017/2195 від 23 листопада 2017 року про встановлення настанов щодо балансування електроенергії. Підвищення надійності роботи ОЕС України та якості </w:t>
      </w:r>
      <w:r w:rsidR="00740FD7" w:rsidRPr="0086340A">
        <w:rPr>
          <w:rFonts w:eastAsiaTheme="minorHAnsi"/>
          <w:position w:val="0"/>
          <w:sz w:val="28"/>
          <w:szCs w:val="28"/>
          <w:lang w:eastAsia="en-US"/>
        </w:rPr>
        <w:lastRenderedPageBreak/>
        <w:t>електричної енергії за рахунок створення умов для наявності балансуючої потужності на довгостроковий термін.</w:t>
      </w:r>
    </w:p>
    <w:p w:rsidR="00740FD7" w:rsidRPr="0086340A" w:rsidRDefault="00740FD7" w:rsidP="00740FD7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86340A">
        <w:rPr>
          <w:rFonts w:eastAsiaTheme="minorHAnsi"/>
          <w:position w:val="0"/>
          <w:sz w:val="28"/>
          <w:szCs w:val="28"/>
          <w:lang w:eastAsia="en-US"/>
        </w:rPr>
        <w:t>Підвищення конкуренції на ринку ДП, зокрема на довгострокових аукціонах на ДП.</w:t>
      </w:r>
    </w:p>
    <w:p w:rsidR="00876F1D" w:rsidRPr="0086340A" w:rsidRDefault="00740FD7" w:rsidP="00740FD7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  <w:r w:rsidRPr="0086340A">
        <w:rPr>
          <w:rFonts w:eastAsiaTheme="minorHAnsi"/>
          <w:position w:val="0"/>
          <w:sz w:val="28"/>
          <w:szCs w:val="28"/>
          <w:lang w:eastAsia="en-US"/>
        </w:rPr>
        <w:t>Створення умов для здійснення передачі зобов’язань щодо виконання ДП, крім прав, отриманих за результатами добових аукціонів на ДП.</w:t>
      </w:r>
    </w:p>
    <w:p w:rsidR="00432E3D" w:rsidRPr="0086340A" w:rsidRDefault="00432E3D" w:rsidP="00432E3D">
      <w:pPr>
        <w:pStyle w:val="af"/>
        <w:spacing w:before="0" w:beforeAutospacing="0" w:after="0" w:afterAutospacing="0"/>
        <w:ind w:left="1" w:hanging="3"/>
        <w:jc w:val="both"/>
        <w:rPr>
          <w:sz w:val="28"/>
          <w:szCs w:val="28"/>
          <w:lang w:val="uk-UA"/>
        </w:rPr>
      </w:pPr>
    </w:p>
    <w:p w:rsidR="00B2569B" w:rsidRPr="0086340A" w:rsidRDefault="00B2569B" w:rsidP="00432E3D">
      <w:pPr>
        <w:pStyle w:val="af"/>
        <w:spacing w:before="0" w:beforeAutospacing="0" w:after="0" w:afterAutospacing="0"/>
        <w:ind w:left="1" w:hanging="3"/>
        <w:jc w:val="both"/>
        <w:rPr>
          <w:sz w:val="28"/>
          <w:szCs w:val="28"/>
          <w:lang w:val="uk-UA"/>
        </w:rPr>
      </w:pPr>
    </w:p>
    <w:p w:rsidR="00432E3D" w:rsidRPr="0086340A" w:rsidRDefault="00432E3D" w:rsidP="00432E3D">
      <w:pPr>
        <w:pStyle w:val="af"/>
        <w:spacing w:before="0" w:beforeAutospacing="0" w:after="0" w:afterAutospacing="0"/>
        <w:ind w:left="1" w:hanging="3"/>
        <w:jc w:val="both"/>
        <w:rPr>
          <w:sz w:val="28"/>
          <w:szCs w:val="28"/>
          <w:lang w:val="uk-UA"/>
        </w:rPr>
      </w:pPr>
    </w:p>
    <w:tbl>
      <w:tblPr>
        <w:tblW w:w="4952" w:type="pct"/>
        <w:tblCellSpacing w:w="22" w:type="dxa"/>
        <w:tblInd w:w="3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67"/>
        <w:gridCol w:w="4711"/>
      </w:tblGrid>
      <w:tr w:rsidR="0087740D" w:rsidRPr="00F67D10" w:rsidTr="008A6100">
        <w:trPr>
          <w:tblCellSpacing w:w="22" w:type="dxa"/>
        </w:trPr>
        <w:tc>
          <w:tcPr>
            <w:tcW w:w="2454" w:type="pct"/>
            <w:hideMark/>
          </w:tcPr>
          <w:p w:rsidR="00432E3D" w:rsidRPr="0086340A" w:rsidRDefault="00432E3D" w:rsidP="008A6100">
            <w:pPr>
              <w:pStyle w:val="af"/>
              <w:spacing w:before="0" w:beforeAutospacing="0" w:after="0" w:afterAutospacing="0"/>
              <w:ind w:left="1" w:hanging="3"/>
              <w:rPr>
                <w:sz w:val="28"/>
                <w:szCs w:val="28"/>
              </w:rPr>
            </w:pPr>
            <w:r w:rsidRPr="0086340A">
              <w:rPr>
                <w:bCs/>
                <w:sz w:val="28"/>
                <w:szCs w:val="28"/>
              </w:rPr>
              <w:t>Голова НКРЕКП</w:t>
            </w:r>
          </w:p>
        </w:tc>
        <w:tc>
          <w:tcPr>
            <w:tcW w:w="2477" w:type="pct"/>
            <w:hideMark/>
          </w:tcPr>
          <w:p w:rsidR="00432E3D" w:rsidRPr="0086340A" w:rsidRDefault="005E2905" w:rsidP="008A6100">
            <w:pPr>
              <w:pStyle w:val="af"/>
              <w:spacing w:before="0" w:beforeAutospacing="0" w:after="0" w:afterAutospacing="0"/>
              <w:ind w:left="1" w:hanging="3"/>
              <w:jc w:val="right"/>
              <w:rPr>
                <w:sz w:val="28"/>
                <w:szCs w:val="28"/>
                <w:lang w:val="uk-UA"/>
              </w:rPr>
            </w:pPr>
            <w:r w:rsidRPr="0086340A">
              <w:rPr>
                <w:bCs/>
                <w:sz w:val="28"/>
                <w:szCs w:val="28"/>
                <w:lang w:val="uk-UA"/>
              </w:rPr>
              <w:t>Юрій ВЛАСЕНКО</w:t>
            </w:r>
          </w:p>
        </w:tc>
      </w:tr>
    </w:tbl>
    <w:p w:rsidR="00432E3D" w:rsidRPr="00F67D10" w:rsidRDefault="00432E3D" w:rsidP="0087740D">
      <w:pPr>
        <w:pStyle w:val="af"/>
        <w:spacing w:before="0" w:beforeAutospacing="0" w:after="0" w:afterAutospacing="0"/>
        <w:ind w:left="1" w:hanging="3"/>
        <w:jc w:val="both"/>
        <w:rPr>
          <w:sz w:val="28"/>
          <w:szCs w:val="28"/>
          <w:lang w:val="uk-UA"/>
        </w:rPr>
      </w:pPr>
    </w:p>
    <w:sectPr w:rsidR="00432E3D" w:rsidRPr="00F67D10" w:rsidSect="008634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737" w:bottom="1134" w:left="1701" w:header="425" w:footer="21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95C" w:rsidRDefault="005A195C">
      <w:pPr>
        <w:spacing w:line="240" w:lineRule="auto"/>
        <w:ind w:left="0" w:hanging="2"/>
      </w:pPr>
      <w:r>
        <w:separator/>
      </w:r>
    </w:p>
  </w:endnote>
  <w:endnote w:type="continuationSeparator" w:id="0">
    <w:p w:rsidR="005A195C" w:rsidRDefault="005A195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26B" w:rsidRDefault="00EC626B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26B" w:rsidRDefault="00EC626B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26B" w:rsidRDefault="00EC626B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95C" w:rsidRDefault="005A195C">
      <w:pPr>
        <w:spacing w:line="240" w:lineRule="auto"/>
        <w:ind w:left="0" w:hanging="2"/>
      </w:pPr>
      <w:r>
        <w:separator/>
      </w:r>
    </w:p>
  </w:footnote>
  <w:footnote w:type="continuationSeparator" w:id="0">
    <w:p w:rsidR="005A195C" w:rsidRDefault="005A195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26B" w:rsidRDefault="00EC626B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701149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071079" w:rsidRPr="00B24F6C" w:rsidRDefault="00967383" w:rsidP="00B24F6C">
        <w:pPr>
          <w:pStyle w:val="a5"/>
          <w:ind w:left="0" w:hanging="2"/>
          <w:jc w:val="center"/>
          <w:rPr>
            <w:sz w:val="24"/>
          </w:rPr>
        </w:pPr>
        <w:r w:rsidRPr="001745D7">
          <w:rPr>
            <w:sz w:val="24"/>
          </w:rPr>
          <w:fldChar w:fldCharType="begin"/>
        </w:r>
        <w:r w:rsidRPr="001745D7">
          <w:rPr>
            <w:sz w:val="24"/>
          </w:rPr>
          <w:instrText>PAGE   \* MERGEFORMAT</w:instrText>
        </w:r>
        <w:r w:rsidRPr="001745D7">
          <w:rPr>
            <w:sz w:val="24"/>
          </w:rPr>
          <w:fldChar w:fldCharType="separate"/>
        </w:r>
        <w:r w:rsidR="00DB0D4B">
          <w:rPr>
            <w:noProof/>
            <w:sz w:val="24"/>
          </w:rPr>
          <w:t>2</w:t>
        </w:r>
        <w:r w:rsidRPr="001745D7">
          <w:rPr>
            <w:sz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26B" w:rsidRDefault="00EC626B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048A4"/>
    <w:multiLevelType w:val="multilevel"/>
    <w:tmpl w:val="FBFA7418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6E55BFE"/>
    <w:multiLevelType w:val="multilevel"/>
    <w:tmpl w:val="DC96ED26"/>
    <w:lvl w:ilvl="0">
      <w:start w:val="3"/>
      <w:numFmt w:val="decimal"/>
      <w:lvlText w:val="%1)"/>
      <w:lvlJc w:val="left"/>
      <w:pPr>
        <w:ind w:left="928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2" w15:restartNumberingAfterBreak="0">
    <w:nsid w:val="401652AF"/>
    <w:multiLevelType w:val="multilevel"/>
    <w:tmpl w:val="983A7ECC"/>
    <w:lvl w:ilvl="0">
      <w:start w:val="1"/>
      <w:numFmt w:val="decimal"/>
      <w:lvlText w:val="%1.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" w15:restartNumberingAfterBreak="0">
    <w:nsid w:val="79A7513B"/>
    <w:multiLevelType w:val="multilevel"/>
    <w:tmpl w:val="2F52A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BB34F79"/>
    <w:multiLevelType w:val="multilevel"/>
    <w:tmpl w:val="4CEA3754"/>
    <w:lvl w:ilvl="0">
      <w:start w:val="1"/>
      <w:numFmt w:val="decimal"/>
      <w:lvlText w:val="%1)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079"/>
    <w:rsid w:val="00010280"/>
    <w:rsid w:val="0001154C"/>
    <w:rsid w:val="0002116A"/>
    <w:rsid w:val="0002561D"/>
    <w:rsid w:val="00035278"/>
    <w:rsid w:val="000508A9"/>
    <w:rsid w:val="000521A0"/>
    <w:rsid w:val="00055D2D"/>
    <w:rsid w:val="0006335E"/>
    <w:rsid w:val="00066D44"/>
    <w:rsid w:val="00071079"/>
    <w:rsid w:val="00083C11"/>
    <w:rsid w:val="00095FB7"/>
    <w:rsid w:val="000A478C"/>
    <w:rsid w:val="000A69E0"/>
    <w:rsid w:val="000B56EC"/>
    <w:rsid w:val="000B7DED"/>
    <w:rsid w:val="000E566F"/>
    <w:rsid w:val="00104758"/>
    <w:rsid w:val="001128ED"/>
    <w:rsid w:val="00112B44"/>
    <w:rsid w:val="001354DC"/>
    <w:rsid w:val="00146743"/>
    <w:rsid w:val="00146E12"/>
    <w:rsid w:val="00160DD2"/>
    <w:rsid w:val="00161139"/>
    <w:rsid w:val="0016769D"/>
    <w:rsid w:val="001745D7"/>
    <w:rsid w:val="00175444"/>
    <w:rsid w:val="0018007D"/>
    <w:rsid w:val="001A1FB0"/>
    <w:rsid w:val="001B0C7A"/>
    <w:rsid w:val="001B4F94"/>
    <w:rsid w:val="001B6973"/>
    <w:rsid w:val="001D6373"/>
    <w:rsid w:val="001F2A92"/>
    <w:rsid w:val="0021409F"/>
    <w:rsid w:val="00215A5E"/>
    <w:rsid w:val="00220E37"/>
    <w:rsid w:val="002313D9"/>
    <w:rsid w:val="00251931"/>
    <w:rsid w:val="00256EAB"/>
    <w:rsid w:val="0026027B"/>
    <w:rsid w:val="002638E5"/>
    <w:rsid w:val="00291EF6"/>
    <w:rsid w:val="002937EA"/>
    <w:rsid w:val="002944F7"/>
    <w:rsid w:val="002A3760"/>
    <w:rsid w:val="002A5ECA"/>
    <w:rsid w:val="002A7B61"/>
    <w:rsid w:val="002B4370"/>
    <w:rsid w:val="002C1F90"/>
    <w:rsid w:val="002E4C9A"/>
    <w:rsid w:val="002F21A4"/>
    <w:rsid w:val="002F4283"/>
    <w:rsid w:val="003258D2"/>
    <w:rsid w:val="003450F5"/>
    <w:rsid w:val="00346CC2"/>
    <w:rsid w:val="0035022A"/>
    <w:rsid w:val="00354800"/>
    <w:rsid w:val="0035616B"/>
    <w:rsid w:val="00360BB7"/>
    <w:rsid w:val="00370231"/>
    <w:rsid w:val="00391C8A"/>
    <w:rsid w:val="003A1FC3"/>
    <w:rsid w:val="003F1451"/>
    <w:rsid w:val="003F435B"/>
    <w:rsid w:val="003F7AFE"/>
    <w:rsid w:val="00404382"/>
    <w:rsid w:val="00413AEF"/>
    <w:rsid w:val="004255BA"/>
    <w:rsid w:val="0042707A"/>
    <w:rsid w:val="00427719"/>
    <w:rsid w:val="00427ADB"/>
    <w:rsid w:val="00427B79"/>
    <w:rsid w:val="00432E3D"/>
    <w:rsid w:val="00456FA5"/>
    <w:rsid w:val="0046681D"/>
    <w:rsid w:val="00483377"/>
    <w:rsid w:val="004915AD"/>
    <w:rsid w:val="004B1D9C"/>
    <w:rsid w:val="004C10B5"/>
    <w:rsid w:val="004C1433"/>
    <w:rsid w:val="004C2146"/>
    <w:rsid w:val="004C5C0D"/>
    <w:rsid w:val="004C6EB2"/>
    <w:rsid w:val="004D670E"/>
    <w:rsid w:val="004D6C22"/>
    <w:rsid w:val="004E14B6"/>
    <w:rsid w:val="004E31D5"/>
    <w:rsid w:val="005100F5"/>
    <w:rsid w:val="005148FC"/>
    <w:rsid w:val="00515399"/>
    <w:rsid w:val="00525CAA"/>
    <w:rsid w:val="00533A25"/>
    <w:rsid w:val="0054178D"/>
    <w:rsid w:val="00565386"/>
    <w:rsid w:val="005746D5"/>
    <w:rsid w:val="005801B0"/>
    <w:rsid w:val="005839D8"/>
    <w:rsid w:val="00585AEF"/>
    <w:rsid w:val="00594EAE"/>
    <w:rsid w:val="005A195C"/>
    <w:rsid w:val="005A6128"/>
    <w:rsid w:val="005B1ADC"/>
    <w:rsid w:val="005B6024"/>
    <w:rsid w:val="005B7EAA"/>
    <w:rsid w:val="005C4B95"/>
    <w:rsid w:val="005E2905"/>
    <w:rsid w:val="005F6C54"/>
    <w:rsid w:val="006015E9"/>
    <w:rsid w:val="00602C68"/>
    <w:rsid w:val="0063047B"/>
    <w:rsid w:val="00633F48"/>
    <w:rsid w:val="00643584"/>
    <w:rsid w:val="00646002"/>
    <w:rsid w:val="006517EF"/>
    <w:rsid w:val="006648F7"/>
    <w:rsid w:val="00665ED2"/>
    <w:rsid w:val="006927B2"/>
    <w:rsid w:val="00694147"/>
    <w:rsid w:val="0069504D"/>
    <w:rsid w:val="00696CB7"/>
    <w:rsid w:val="006A6EC8"/>
    <w:rsid w:val="006B3412"/>
    <w:rsid w:val="006C259D"/>
    <w:rsid w:val="006D0524"/>
    <w:rsid w:val="006D7CA4"/>
    <w:rsid w:val="006E026A"/>
    <w:rsid w:val="006E4343"/>
    <w:rsid w:val="006E71E2"/>
    <w:rsid w:val="00705795"/>
    <w:rsid w:val="007058E8"/>
    <w:rsid w:val="00710B5D"/>
    <w:rsid w:val="00730590"/>
    <w:rsid w:val="00740FD7"/>
    <w:rsid w:val="007458FF"/>
    <w:rsid w:val="007615E6"/>
    <w:rsid w:val="007633B3"/>
    <w:rsid w:val="00766E26"/>
    <w:rsid w:val="00775799"/>
    <w:rsid w:val="007765FF"/>
    <w:rsid w:val="00782988"/>
    <w:rsid w:val="00796B68"/>
    <w:rsid w:val="007A292B"/>
    <w:rsid w:val="007A29C5"/>
    <w:rsid w:val="007A31A4"/>
    <w:rsid w:val="007A3DC9"/>
    <w:rsid w:val="007A7848"/>
    <w:rsid w:val="007B6812"/>
    <w:rsid w:val="007C5A60"/>
    <w:rsid w:val="007D3B5F"/>
    <w:rsid w:val="007D47DE"/>
    <w:rsid w:val="007E628E"/>
    <w:rsid w:val="007F2851"/>
    <w:rsid w:val="007F5454"/>
    <w:rsid w:val="00815056"/>
    <w:rsid w:val="00817FFD"/>
    <w:rsid w:val="00834B0B"/>
    <w:rsid w:val="00853F9E"/>
    <w:rsid w:val="0086097B"/>
    <w:rsid w:val="0086340A"/>
    <w:rsid w:val="00873446"/>
    <w:rsid w:val="00876F1D"/>
    <w:rsid w:val="0087740D"/>
    <w:rsid w:val="00887EA1"/>
    <w:rsid w:val="008919C4"/>
    <w:rsid w:val="008932CB"/>
    <w:rsid w:val="008959B1"/>
    <w:rsid w:val="008A627F"/>
    <w:rsid w:val="008B46D4"/>
    <w:rsid w:val="008B63E6"/>
    <w:rsid w:val="008B6C6D"/>
    <w:rsid w:val="008C4D16"/>
    <w:rsid w:val="008D01C9"/>
    <w:rsid w:val="008D39B1"/>
    <w:rsid w:val="008F0B85"/>
    <w:rsid w:val="009021EA"/>
    <w:rsid w:val="00905A1E"/>
    <w:rsid w:val="00913461"/>
    <w:rsid w:val="00921B67"/>
    <w:rsid w:val="0092321F"/>
    <w:rsid w:val="00930437"/>
    <w:rsid w:val="00933338"/>
    <w:rsid w:val="00942AAE"/>
    <w:rsid w:val="00943944"/>
    <w:rsid w:val="00946EFC"/>
    <w:rsid w:val="009472C0"/>
    <w:rsid w:val="00953B00"/>
    <w:rsid w:val="00967383"/>
    <w:rsid w:val="009754B3"/>
    <w:rsid w:val="0098007F"/>
    <w:rsid w:val="0099357D"/>
    <w:rsid w:val="009A2E95"/>
    <w:rsid w:val="009B0343"/>
    <w:rsid w:val="009B12AF"/>
    <w:rsid w:val="009B6A10"/>
    <w:rsid w:val="009B6AFA"/>
    <w:rsid w:val="009D014B"/>
    <w:rsid w:val="009D64EC"/>
    <w:rsid w:val="009E6C0D"/>
    <w:rsid w:val="00A10463"/>
    <w:rsid w:val="00A1699B"/>
    <w:rsid w:val="00A232B4"/>
    <w:rsid w:val="00A4301C"/>
    <w:rsid w:val="00A449B3"/>
    <w:rsid w:val="00A46C14"/>
    <w:rsid w:val="00A57A1B"/>
    <w:rsid w:val="00A665D9"/>
    <w:rsid w:val="00A73B29"/>
    <w:rsid w:val="00A817FC"/>
    <w:rsid w:val="00A8377C"/>
    <w:rsid w:val="00A93220"/>
    <w:rsid w:val="00A93373"/>
    <w:rsid w:val="00AA402A"/>
    <w:rsid w:val="00AA41D7"/>
    <w:rsid w:val="00AA7485"/>
    <w:rsid w:val="00AB1458"/>
    <w:rsid w:val="00AB4272"/>
    <w:rsid w:val="00AC0F7B"/>
    <w:rsid w:val="00AC5660"/>
    <w:rsid w:val="00AD7FE5"/>
    <w:rsid w:val="00AF0078"/>
    <w:rsid w:val="00B027BF"/>
    <w:rsid w:val="00B0792C"/>
    <w:rsid w:val="00B1100C"/>
    <w:rsid w:val="00B2292E"/>
    <w:rsid w:val="00B2364D"/>
    <w:rsid w:val="00B240D0"/>
    <w:rsid w:val="00B2449F"/>
    <w:rsid w:val="00B24F6C"/>
    <w:rsid w:val="00B24FD1"/>
    <w:rsid w:val="00B2569B"/>
    <w:rsid w:val="00B42C88"/>
    <w:rsid w:val="00B45C62"/>
    <w:rsid w:val="00B55302"/>
    <w:rsid w:val="00B63CC3"/>
    <w:rsid w:val="00B66E55"/>
    <w:rsid w:val="00B75601"/>
    <w:rsid w:val="00B83ADC"/>
    <w:rsid w:val="00B86672"/>
    <w:rsid w:val="00B93F7F"/>
    <w:rsid w:val="00B95D10"/>
    <w:rsid w:val="00BA69FC"/>
    <w:rsid w:val="00BB6683"/>
    <w:rsid w:val="00BB7676"/>
    <w:rsid w:val="00BC0661"/>
    <w:rsid w:val="00BC2E58"/>
    <w:rsid w:val="00BD0B38"/>
    <w:rsid w:val="00BE1776"/>
    <w:rsid w:val="00BE5A94"/>
    <w:rsid w:val="00C0078B"/>
    <w:rsid w:val="00C01767"/>
    <w:rsid w:val="00C04B52"/>
    <w:rsid w:val="00C12F50"/>
    <w:rsid w:val="00C17A2B"/>
    <w:rsid w:val="00C26E89"/>
    <w:rsid w:val="00C40C96"/>
    <w:rsid w:val="00C601FF"/>
    <w:rsid w:val="00C63F4F"/>
    <w:rsid w:val="00C64D8B"/>
    <w:rsid w:val="00C77514"/>
    <w:rsid w:val="00C81DB9"/>
    <w:rsid w:val="00C91934"/>
    <w:rsid w:val="00C935A7"/>
    <w:rsid w:val="00C95826"/>
    <w:rsid w:val="00CA1163"/>
    <w:rsid w:val="00CA1B2E"/>
    <w:rsid w:val="00CB383B"/>
    <w:rsid w:val="00CB3F33"/>
    <w:rsid w:val="00CC15C7"/>
    <w:rsid w:val="00CC1C4B"/>
    <w:rsid w:val="00CC3A00"/>
    <w:rsid w:val="00CC4B64"/>
    <w:rsid w:val="00CC538F"/>
    <w:rsid w:val="00CD3619"/>
    <w:rsid w:val="00CD3F37"/>
    <w:rsid w:val="00CF1F1B"/>
    <w:rsid w:val="00CF2970"/>
    <w:rsid w:val="00CF758B"/>
    <w:rsid w:val="00D31EE8"/>
    <w:rsid w:val="00D355F4"/>
    <w:rsid w:val="00D44C89"/>
    <w:rsid w:val="00D46392"/>
    <w:rsid w:val="00D47212"/>
    <w:rsid w:val="00D5188B"/>
    <w:rsid w:val="00D60EA4"/>
    <w:rsid w:val="00D64CA9"/>
    <w:rsid w:val="00D70197"/>
    <w:rsid w:val="00D765B0"/>
    <w:rsid w:val="00D80629"/>
    <w:rsid w:val="00D87A9B"/>
    <w:rsid w:val="00D91A43"/>
    <w:rsid w:val="00D94801"/>
    <w:rsid w:val="00D97DEE"/>
    <w:rsid w:val="00D97EDA"/>
    <w:rsid w:val="00DA1843"/>
    <w:rsid w:val="00DA548F"/>
    <w:rsid w:val="00DB0612"/>
    <w:rsid w:val="00DB0D4B"/>
    <w:rsid w:val="00DC0A9C"/>
    <w:rsid w:val="00DC1F97"/>
    <w:rsid w:val="00DC28B7"/>
    <w:rsid w:val="00DD0B19"/>
    <w:rsid w:val="00DF19B7"/>
    <w:rsid w:val="00DF1BA6"/>
    <w:rsid w:val="00DF43A7"/>
    <w:rsid w:val="00E07B07"/>
    <w:rsid w:val="00E100C5"/>
    <w:rsid w:val="00E1220D"/>
    <w:rsid w:val="00E22E7F"/>
    <w:rsid w:val="00E239A8"/>
    <w:rsid w:val="00E2792D"/>
    <w:rsid w:val="00E374CE"/>
    <w:rsid w:val="00E37582"/>
    <w:rsid w:val="00E406D4"/>
    <w:rsid w:val="00E53E75"/>
    <w:rsid w:val="00E63CD8"/>
    <w:rsid w:val="00E73E21"/>
    <w:rsid w:val="00E86D86"/>
    <w:rsid w:val="00EA0D17"/>
    <w:rsid w:val="00EA2F5B"/>
    <w:rsid w:val="00EA3922"/>
    <w:rsid w:val="00EC3627"/>
    <w:rsid w:val="00EC626B"/>
    <w:rsid w:val="00ED2DF1"/>
    <w:rsid w:val="00ED3B4E"/>
    <w:rsid w:val="00EE22B3"/>
    <w:rsid w:val="00EE4C73"/>
    <w:rsid w:val="00EE5760"/>
    <w:rsid w:val="00EE76BD"/>
    <w:rsid w:val="00EF7115"/>
    <w:rsid w:val="00F02B64"/>
    <w:rsid w:val="00F1094A"/>
    <w:rsid w:val="00F10E6C"/>
    <w:rsid w:val="00F20B76"/>
    <w:rsid w:val="00F210DB"/>
    <w:rsid w:val="00F30029"/>
    <w:rsid w:val="00F30CD3"/>
    <w:rsid w:val="00F46B67"/>
    <w:rsid w:val="00F567B0"/>
    <w:rsid w:val="00F6417D"/>
    <w:rsid w:val="00F65894"/>
    <w:rsid w:val="00F67D10"/>
    <w:rsid w:val="00F702D7"/>
    <w:rsid w:val="00F76FE6"/>
    <w:rsid w:val="00F80C01"/>
    <w:rsid w:val="00F908BA"/>
    <w:rsid w:val="00FB4CB3"/>
    <w:rsid w:val="00FD0924"/>
    <w:rsid w:val="00FD13C3"/>
    <w:rsid w:val="00FD6A13"/>
    <w:rsid w:val="00FD6F12"/>
    <w:rsid w:val="00FE297D"/>
    <w:rsid w:val="00FE5BC6"/>
    <w:rsid w:val="00FE7184"/>
    <w:rsid w:val="00FF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0A69E0"/>
    <w:pPr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ru-RU"/>
    </w:rPr>
  </w:style>
  <w:style w:type="paragraph" w:styleId="1">
    <w:name w:val="heading 1"/>
    <w:basedOn w:val="a"/>
    <w:next w:val="a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pPr>
      <w:overflowPunct/>
      <w:autoSpaceDE/>
      <w:autoSpaceDN/>
      <w:adjustRightInd/>
      <w:ind w:firstLine="709"/>
      <w:jc w:val="center"/>
      <w:textAlignment w:val="auto"/>
    </w:pPr>
    <w:rPr>
      <w:b/>
      <w:sz w:val="28"/>
    </w:rPr>
  </w:style>
  <w:style w:type="character" w:customStyle="1" w:styleId="a4">
    <w:name w:val="Шрифт абзацу за замовчуванням;Знак Знак Знак Знак Знак Знак Знак Знак"/>
    <w:rPr>
      <w:w w:val="100"/>
      <w:position w:val="-1"/>
      <w:effect w:val="none"/>
      <w:vertAlign w:val="baseline"/>
      <w:cs w:val="0"/>
      <w:em w:val="none"/>
    </w:rPr>
  </w:style>
  <w:style w:type="paragraph" w:styleId="a5">
    <w:name w:val="header"/>
    <w:basedOn w:val="a"/>
    <w:uiPriority w:val="99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a"/>
    <w:pPr>
      <w:spacing w:line="360" w:lineRule="auto"/>
      <w:jc w:val="both"/>
    </w:pPr>
    <w:rPr>
      <w:sz w:val="28"/>
      <w:lang w:val="ru-RU"/>
    </w:rPr>
  </w:style>
  <w:style w:type="paragraph" w:customStyle="1" w:styleId="a7">
    <w:name w:val="íåò"/>
    <w:basedOn w:val="a"/>
    <w:pPr>
      <w:spacing w:line="360" w:lineRule="atLeast"/>
      <w:jc w:val="center"/>
    </w:pPr>
    <w:rPr>
      <w:rFonts w:ascii="Times New Roman CYR" w:hAnsi="Times New Roman CYR"/>
      <w:sz w:val="24"/>
    </w:rPr>
  </w:style>
  <w:style w:type="paragraph" w:customStyle="1" w:styleId="BalloonText1">
    <w:name w:val="Balloon Text1"/>
    <w:basedOn w:val="a"/>
    <w:rPr>
      <w:rFonts w:ascii="Tahoma" w:hAnsi="Tahoma"/>
      <w:sz w:val="16"/>
    </w:rPr>
  </w:style>
  <w:style w:type="character" w:styleId="a8">
    <w:name w:val="page number"/>
    <w:basedOn w:val="a4"/>
    <w:rPr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Body Text Indent"/>
    <w:basedOn w:val="a"/>
    <w:pPr>
      <w:overflowPunct/>
      <w:autoSpaceDE/>
      <w:autoSpaceDN/>
      <w:adjustRightInd/>
      <w:spacing w:after="120"/>
      <w:ind w:left="283"/>
      <w:textAlignment w:val="auto"/>
    </w:pPr>
  </w:style>
  <w:style w:type="paragraph" w:customStyle="1" w:styleId="HTMLPreformatted1">
    <w:name w:val="HTML Preformatted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lang w:val="ru-RU"/>
    </w:rPr>
  </w:style>
  <w:style w:type="paragraph" w:customStyle="1" w:styleId="ad">
    <w:name w:val="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e">
    <w:name w:val="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">
    <w:name w:val="Normal (Web)"/>
    <w:basedOn w:val="a"/>
    <w:uiPriority w:val="99"/>
    <w:qFormat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customStyle="1" w:styleId="af0">
    <w:name w:val="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1">
    <w:name w:val="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f2">
    <w:name w:val="Body Text"/>
    <w:basedOn w:val="a"/>
    <w:pPr>
      <w:spacing w:after="120"/>
    </w:pPr>
  </w:style>
  <w:style w:type="character" w:customStyle="1" w:styleId="rvts23">
    <w:name w:val="rvts23"/>
    <w:basedOn w:val="a4"/>
    <w:rPr>
      <w:w w:val="100"/>
      <w:position w:val="-1"/>
      <w:effect w:val="none"/>
      <w:vertAlign w:val="baseline"/>
      <w:cs w:val="0"/>
      <w:em w:val="none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af3">
    <w:name w:val="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pPr>
      <w:widowControl w:val="0"/>
      <w:overflowPunct/>
      <w:autoSpaceDE/>
      <w:autoSpaceDN/>
      <w:adjustRightInd/>
      <w:ind w:firstLine="709"/>
      <w:jc w:val="both"/>
      <w:textAlignment w:val="auto"/>
    </w:pPr>
    <w:rPr>
      <w:sz w:val="28"/>
    </w:rPr>
  </w:style>
  <w:style w:type="paragraph" w:styleId="31">
    <w:name w:val="Body Text Indent 3"/>
    <w:basedOn w:val="a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  <w:lang w:val="ru-RU"/>
    </w:rPr>
  </w:style>
  <w:style w:type="paragraph" w:customStyle="1" w:styleId="af6">
    <w:name w:val="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0">
    <w:name w:val="Знак Знак1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uiPriority w:val="99"/>
    <w:rPr>
      <w:w w:val="100"/>
      <w:position w:val="-1"/>
      <w:effect w:val="none"/>
      <w:vertAlign w:val="baseline"/>
      <w:cs w:val="0"/>
      <w:em w:val="none"/>
    </w:rPr>
  </w:style>
  <w:style w:type="character" w:customStyle="1" w:styleId="af8">
    <w:name w:val="Назва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ий HTML Знак"/>
    <w:rPr>
      <w:rFonts w:ascii="Courier New" w:eastAsia="Calibri" w:hAnsi="Courier New" w:cs="Courier New"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character" w:customStyle="1" w:styleId="grame">
    <w:name w:val="grame"/>
    <w:rPr>
      <w:w w:val="100"/>
      <w:position w:val="-1"/>
      <w:effect w:val="none"/>
      <w:vertAlign w:val="baseline"/>
      <w:cs w:val="0"/>
      <w:em w:val="none"/>
    </w:rPr>
  </w:style>
  <w:style w:type="paragraph" w:customStyle="1" w:styleId="20">
    <w:name w:val="Знак Знак2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rvts0">
    <w:name w:val="rvts0"/>
    <w:rPr>
      <w:w w:val="100"/>
      <w:position w:val="-1"/>
      <w:effect w:val="none"/>
      <w:vertAlign w:val="baseline"/>
      <w:cs w:val="0"/>
      <w:em w:val="none"/>
    </w:rPr>
  </w:style>
  <w:style w:type="paragraph" w:customStyle="1" w:styleId="Normalnumbering">
    <w:name w:val="Normal numbering"/>
    <w:basedOn w:val="a"/>
    <w:pPr>
      <w:widowControl w:val="0"/>
      <w:tabs>
        <w:tab w:val="num" w:pos="2211"/>
      </w:tabs>
      <w:overflowPunct/>
      <w:autoSpaceDE/>
      <w:autoSpaceDN/>
      <w:adjustRightInd/>
      <w:spacing w:before="120" w:after="120"/>
      <w:ind w:firstLine="851"/>
      <w:jc w:val="both"/>
      <w:textAlignment w:val="auto"/>
    </w:pPr>
    <w:rPr>
      <w:sz w:val="28"/>
      <w:szCs w:val="28"/>
      <w:lang w:val="ru-RU"/>
    </w:rPr>
  </w:style>
  <w:style w:type="paragraph" w:customStyle="1" w:styleId="af9">
    <w:name w:val="Обычный буквенный список"/>
    <w:basedOn w:val="a"/>
    <w:pPr>
      <w:widowControl w:val="0"/>
      <w:tabs>
        <w:tab w:val="left" w:pos="1701"/>
      </w:tabs>
      <w:overflowPunct/>
      <w:autoSpaceDE/>
      <w:autoSpaceDN/>
      <w:adjustRightInd/>
      <w:ind w:firstLine="851"/>
      <w:jc w:val="both"/>
      <w:textAlignment w:val="auto"/>
      <w:outlineLvl w:val="2"/>
    </w:pPr>
    <w:rPr>
      <w:sz w:val="28"/>
      <w:szCs w:val="28"/>
      <w:lang w:val="ru-RU"/>
    </w:rPr>
  </w:style>
  <w:style w:type="character" w:customStyle="1" w:styleId="afa">
    <w:name w:val="Обычный буквенный список Знак"/>
    <w:rPr>
      <w:w w:val="100"/>
      <w:position w:val="-1"/>
      <w:sz w:val="28"/>
      <w:szCs w:val="28"/>
      <w:effect w:val="none"/>
      <w:vertAlign w:val="baseline"/>
      <w:cs w:val="0"/>
      <w:em w:val="none"/>
      <w:lang w:val="ru-RU" w:eastAsia="ru-RU"/>
    </w:rPr>
  </w:style>
  <w:style w:type="numbering" w:customStyle="1" w:styleId="newnumbering">
    <w:name w:val="new numbering"/>
  </w:style>
  <w:style w:type="paragraph" w:styleId="afb">
    <w:name w:val="List Paragraph"/>
    <w:basedOn w:val="a"/>
    <w:uiPriority w:val="34"/>
    <w:qFormat/>
    <w:pPr>
      <w:overflowPunct/>
      <w:autoSpaceDE/>
      <w:autoSpaceDN/>
      <w:adjustRightInd/>
      <w:ind w:left="720"/>
      <w:contextualSpacing/>
      <w:textAlignment w:val="auto"/>
    </w:pPr>
    <w:rPr>
      <w:sz w:val="28"/>
      <w:szCs w:val="28"/>
      <w:lang w:val="ru-RU"/>
    </w:rPr>
  </w:style>
  <w:style w:type="character" w:styleId="afc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d">
    <w:name w:val="annotation text"/>
    <w:basedOn w:val="a"/>
  </w:style>
  <w:style w:type="character" w:customStyle="1" w:styleId="afe">
    <w:name w:val="Текст примітки Знак"/>
    <w:rPr>
      <w:w w:val="100"/>
      <w:position w:val="-1"/>
      <w:effect w:val="none"/>
      <w:vertAlign w:val="baseline"/>
      <w:cs w:val="0"/>
      <w:em w:val="none"/>
      <w:lang w:eastAsia="ru-RU"/>
    </w:rPr>
  </w:style>
  <w:style w:type="paragraph" w:styleId="aff">
    <w:name w:val="annotation subject"/>
    <w:basedOn w:val="afd"/>
    <w:next w:val="afd"/>
    <w:rPr>
      <w:b/>
      <w:bCs/>
    </w:rPr>
  </w:style>
  <w:style w:type="character" w:customStyle="1" w:styleId="aff0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11">
    <w:name w:val="Заголовок 1 Знак"/>
    <w:rPr>
      <w:rFonts w:ascii="Arial" w:hAnsi="Arial" w:cs="Arial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ru-RU"/>
    </w:rPr>
  </w:style>
  <w:style w:type="character" w:customStyle="1" w:styleId="aff1">
    <w:name w:val="Верхній колонтитул Знак"/>
    <w:uiPriority w:val="99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FontStyle">
    <w:name w:val="Font Style"/>
    <w:rPr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ff2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ru-RU"/>
    </w:rPr>
  </w:style>
  <w:style w:type="paragraph" w:customStyle="1" w:styleId="aff3">
    <w:name w:val="а_звіт текст"/>
    <w:basedOn w:val="a"/>
    <w:pPr>
      <w:overflowPunct/>
      <w:autoSpaceDE/>
      <w:autoSpaceDN/>
      <w:adjustRightInd/>
      <w:ind w:firstLine="709"/>
      <w:jc w:val="both"/>
      <w:textAlignment w:val="auto"/>
    </w:pPr>
    <w:rPr>
      <w:rFonts w:ascii="Calibri" w:eastAsia="Calibri" w:hAnsi="Calibri"/>
      <w:sz w:val="24"/>
      <w:szCs w:val="24"/>
      <w:lang w:eastAsia="en-US"/>
    </w:rPr>
  </w:style>
  <w:style w:type="character" w:customStyle="1" w:styleId="aff4">
    <w:name w:val="а_звіт текст Знак"/>
    <w:rPr>
      <w:rFonts w:ascii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uk-UA" w:eastAsia="en-US"/>
    </w:rPr>
  </w:style>
  <w:style w:type="paragraph" w:styleId="af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rvps2">
    <w:name w:val="rvps2"/>
    <w:basedOn w:val="a"/>
    <w:rsid w:val="00E53E75"/>
    <w:pPr>
      <w:suppressAutoHyphens w:val="0"/>
      <w:overflowPunct/>
      <w:autoSpaceDE/>
      <w:autoSpaceDN/>
      <w:adjustRightInd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  <w:lang w:eastAsia="uk-UA"/>
    </w:rPr>
  </w:style>
  <w:style w:type="character" w:customStyle="1" w:styleId="fontstyle01">
    <w:name w:val="fontstyle01"/>
    <w:basedOn w:val="a0"/>
    <w:rsid w:val="00AC5660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rvts44">
    <w:name w:val="rvts44"/>
    <w:basedOn w:val="a0"/>
    <w:rsid w:val="00AC5660"/>
  </w:style>
  <w:style w:type="paragraph" w:customStyle="1" w:styleId="21">
    <w:name w:val="Знак Знак2 Знак"/>
    <w:basedOn w:val="a"/>
    <w:rsid w:val="009B0343"/>
    <w:pPr>
      <w:suppressAutoHyphens w:val="0"/>
      <w:overflowPunct/>
      <w:autoSpaceDE/>
      <w:autoSpaceDN/>
      <w:adjustRightInd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Verdana" w:hAnsi="Verdana" w:cs="Verdana"/>
      <w:positio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2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D5304-9E10-4255-AB2B-01C82D329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1861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2025-06-17T14:36:00Z</dcterms:created>
  <dcterms:modified xsi:type="dcterms:W3CDTF">2025-06-17T14:36:00Z</dcterms:modified>
</cp:coreProperties>
</file>