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C5FDF" w14:textId="77777777" w:rsidR="0013721F" w:rsidRPr="00DE6B3C" w:rsidRDefault="0013721F" w:rsidP="0013721F">
      <w:pPr>
        <w:jc w:val="center"/>
        <w:rPr>
          <w:i/>
          <w:sz w:val="28"/>
          <w:szCs w:val="28"/>
          <w:lang w:val="uk-UA"/>
        </w:rPr>
      </w:pPr>
      <w:r w:rsidRPr="00DE6B3C">
        <w:rPr>
          <w:noProof/>
          <w:lang w:val="uk-UA" w:eastAsia="uk-UA"/>
        </w:rPr>
        <w:drawing>
          <wp:inline distT="0" distB="0" distL="0" distR="0" wp14:anchorId="30E36CAE" wp14:editId="1FCD14F9">
            <wp:extent cx="45720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38175"/>
                    </a:xfrm>
                    <a:prstGeom prst="rect">
                      <a:avLst/>
                    </a:prstGeom>
                    <a:noFill/>
                    <a:ln>
                      <a:noFill/>
                    </a:ln>
                  </pic:spPr>
                </pic:pic>
              </a:graphicData>
            </a:graphic>
          </wp:inline>
        </w:drawing>
      </w:r>
    </w:p>
    <w:p w14:paraId="1056B499" w14:textId="77777777" w:rsidR="0013721F" w:rsidRPr="00DE6B3C" w:rsidRDefault="0013721F" w:rsidP="0013721F">
      <w:pPr>
        <w:jc w:val="center"/>
        <w:rPr>
          <w:rFonts w:ascii="Academy" w:hAnsi="Academy"/>
          <w:b/>
          <w:lang w:val="uk-UA"/>
        </w:rPr>
      </w:pPr>
    </w:p>
    <w:p w14:paraId="695B091A" w14:textId="77777777" w:rsidR="0013721F" w:rsidRPr="00DE6B3C" w:rsidRDefault="0013721F" w:rsidP="0013721F">
      <w:pPr>
        <w:jc w:val="center"/>
        <w:rPr>
          <w:b/>
          <w:sz w:val="28"/>
          <w:szCs w:val="28"/>
          <w:lang w:val="uk-UA"/>
        </w:rPr>
      </w:pPr>
      <w:r w:rsidRPr="00DE6B3C">
        <w:rPr>
          <w:b/>
          <w:sz w:val="28"/>
          <w:szCs w:val="28"/>
          <w:lang w:val="uk-UA"/>
        </w:rPr>
        <w:t>НАЦІОНАЛЬНА КОМІСІЯ, ЩО ЗДІЙСНЮЄ ДЕРЖАВНЕ</w:t>
      </w:r>
    </w:p>
    <w:p w14:paraId="64791B23" w14:textId="77777777" w:rsidR="0013721F" w:rsidRPr="00DE6B3C" w:rsidRDefault="0013721F" w:rsidP="0013721F">
      <w:pPr>
        <w:jc w:val="center"/>
        <w:rPr>
          <w:b/>
          <w:sz w:val="28"/>
          <w:szCs w:val="28"/>
          <w:lang w:val="uk-UA"/>
        </w:rPr>
      </w:pPr>
      <w:r w:rsidRPr="00DE6B3C">
        <w:rPr>
          <w:b/>
          <w:sz w:val="28"/>
          <w:szCs w:val="28"/>
          <w:lang w:val="uk-UA"/>
        </w:rPr>
        <w:t>РЕГУЛЮВАННЯ У СФЕРАХ ЕНЕРГЕТИКИ</w:t>
      </w:r>
    </w:p>
    <w:p w14:paraId="1512EEC0" w14:textId="77777777" w:rsidR="0013721F" w:rsidRPr="00DE6B3C" w:rsidRDefault="0013721F" w:rsidP="0013721F">
      <w:pPr>
        <w:jc w:val="center"/>
        <w:rPr>
          <w:b/>
          <w:sz w:val="28"/>
          <w:szCs w:val="28"/>
          <w:lang w:val="uk-UA"/>
        </w:rPr>
      </w:pPr>
      <w:r w:rsidRPr="00DE6B3C">
        <w:rPr>
          <w:b/>
          <w:sz w:val="28"/>
          <w:szCs w:val="28"/>
          <w:lang w:val="uk-UA"/>
        </w:rPr>
        <w:t>ТА КОМУНАЛЬНИХ ПОСЛУГ</w:t>
      </w:r>
    </w:p>
    <w:p w14:paraId="125DF7D8" w14:textId="77777777" w:rsidR="0013721F" w:rsidRPr="00DE6B3C" w:rsidRDefault="0013721F" w:rsidP="0013721F">
      <w:pPr>
        <w:jc w:val="center"/>
        <w:rPr>
          <w:b/>
          <w:sz w:val="28"/>
          <w:szCs w:val="28"/>
          <w:lang w:val="uk-UA"/>
        </w:rPr>
      </w:pPr>
      <w:r w:rsidRPr="00DE6B3C">
        <w:rPr>
          <w:b/>
          <w:sz w:val="28"/>
          <w:szCs w:val="28"/>
          <w:lang w:val="uk-UA"/>
        </w:rPr>
        <w:t>(НКРЕКП)</w:t>
      </w:r>
    </w:p>
    <w:p w14:paraId="39F9E6DF" w14:textId="77777777" w:rsidR="0013721F" w:rsidRPr="00DE6B3C" w:rsidRDefault="0013721F" w:rsidP="0013721F">
      <w:pPr>
        <w:jc w:val="center"/>
        <w:rPr>
          <w:sz w:val="28"/>
          <w:szCs w:val="28"/>
          <w:lang w:val="uk-UA"/>
        </w:rPr>
      </w:pPr>
    </w:p>
    <w:p w14:paraId="431AC4D7" w14:textId="77777777" w:rsidR="0013721F" w:rsidRPr="00DE6B3C" w:rsidRDefault="0013721F" w:rsidP="0013721F">
      <w:pPr>
        <w:pStyle w:val="a3"/>
        <w:jc w:val="center"/>
        <w:rPr>
          <w:b/>
          <w:bCs/>
          <w:sz w:val="32"/>
          <w:szCs w:val="32"/>
          <w:lang w:val="uk-UA"/>
        </w:rPr>
      </w:pPr>
      <w:r w:rsidRPr="00DE6B3C">
        <w:rPr>
          <w:b/>
          <w:bCs/>
          <w:sz w:val="32"/>
          <w:szCs w:val="32"/>
          <w:lang w:val="uk-UA"/>
        </w:rPr>
        <w:t>ПОСТАНОВА</w:t>
      </w:r>
    </w:p>
    <w:p w14:paraId="74FE3F0C" w14:textId="77777777" w:rsidR="0013721F" w:rsidRPr="00DE6B3C" w:rsidRDefault="0013721F" w:rsidP="0013721F">
      <w:pPr>
        <w:pStyle w:val="a3"/>
        <w:rPr>
          <w:b/>
          <w:bCs/>
          <w:sz w:val="28"/>
          <w:szCs w:val="28"/>
          <w:lang w:val="uk-UA"/>
        </w:rPr>
      </w:pPr>
    </w:p>
    <w:tbl>
      <w:tblPr>
        <w:tblW w:w="5000" w:type="pct"/>
        <w:jc w:val="center"/>
        <w:tblCellSpacing w:w="22" w:type="dxa"/>
        <w:tblCellMar>
          <w:top w:w="30" w:type="dxa"/>
          <w:left w:w="30" w:type="dxa"/>
          <w:bottom w:w="30" w:type="dxa"/>
          <w:right w:w="30" w:type="dxa"/>
        </w:tblCellMar>
        <w:tblLook w:val="0000" w:firstRow="0" w:lastRow="0" w:firstColumn="0" w:lastColumn="0" w:noHBand="0" w:noVBand="0"/>
      </w:tblPr>
      <w:tblGrid>
        <w:gridCol w:w="3282"/>
        <w:gridCol w:w="3167"/>
        <w:gridCol w:w="3189"/>
      </w:tblGrid>
      <w:tr w:rsidR="0013721F" w:rsidRPr="00DE6B3C" w14:paraId="540F351A" w14:textId="77777777" w:rsidTr="00A04A1F">
        <w:trPr>
          <w:tblCellSpacing w:w="22" w:type="dxa"/>
          <w:jc w:val="center"/>
        </w:trPr>
        <w:tc>
          <w:tcPr>
            <w:tcW w:w="1669" w:type="pct"/>
          </w:tcPr>
          <w:p w14:paraId="58C5B27C" w14:textId="77777777" w:rsidR="0013721F" w:rsidRPr="00DE6B3C" w:rsidRDefault="0013721F" w:rsidP="00A04A1F">
            <w:pPr>
              <w:pStyle w:val="a3"/>
              <w:jc w:val="center"/>
              <w:rPr>
                <w:lang w:val="uk-UA"/>
              </w:rPr>
            </w:pPr>
            <w:r w:rsidRPr="00DE6B3C">
              <w:rPr>
                <w:lang w:val="uk-UA"/>
              </w:rPr>
              <w:t>____________________</w:t>
            </w:r>
          </w:p>
        </w:tc>
        <w:tc>
          <w:tcPr>
            <w:tcW w:w="1621" w:type="pct"/>
          </w:tcPr>
          <w:p w14:paraId="335D1417" w14:textId="77777777" w:rsidR="0013721F" w:rsidRPr="00DE6B3C" w:rsidRDefault="0013721F" w:rsidP="00A04A1F">
            <w:pPr>
              <w:pStyle w:val="a3"/>
              <w:jc w:val="center"/>
              <w:rPr>
                <w:lang w:val="uk-UA"/>
              </w:rPr>
            </w:pPr>
            <w:r w:rsidRPr="00DE6B3C">
              <w:rPr>
                <w:lang w:val="uk-UA"/>
              </w:rPr>
              <w:t>Київ</w:t>
            </w:r>
          </w:p>
        </w:tc>
        <w:tc>
          <w:tcPr>
            <w:tcW w:w="1621" w:type="pct"/>
          </w:tcPr>
          <w:p w14:paraId="14D8966B" w14:textId="77777777" w:rsidR="0013721F" w:rsidRPr="00DE6B3C" w:rsidRDefault="0013721F" w:rsidP="00A04A1F">
            <w:pPr>
              <w:pStyle w:val="a3"/>
              <w:jc w:val="center"/>
              <w:rPr>
                <w:lang w:val="uk-UA"/>
              </w:rPr>
            </w:pPr>
            <w:r w:rsidRPr="00DE6B3C">
              <w:rPr>
                <w:lang w:val="uk-UA"/>
              </w:rPr>
              <w:t>№ _______________</w:t>
            </w:r>
          </w:p>
        </w:tc>
      </w:tr>
    </w:tbl>
    <w:p w14:paraId="6675030E" w14:textId="77777777" w:rsidR="0013721F" w:rsidRPr="00DE6B3C" w:rsidRDefault="0013721F" w:rsidP="0013721F">
      <w:pPr>
        <w:rPr>
          <w:lang w:val="uk-UA"/>
        </w:rPr>
      </w:pPr>
    </w:p>
    <w:p w14:paraId="32031D68" w14:textId="77777777" w:rsidR="0013721F" w:rsidRPr="00DE6B3C" w:rsidRDefault="0013721F" w:rsidP="0013721F">
      <w:pPr>
        <w:pStyle w:val="2"/>
        <w:widowControl w:val="0"/>
        <w:tabs>
          <w:tab w:val="left" w:pos="4680"/>
        </w:tabs>
        <w:spacing w:before="0" w:beforeAutospacing="0" w:after="0" w:afterAutospacing="0"/>
        <w:ind w:right="4957"/>
        <w:jc w:val="both"/>
        <w:rPr>
          <w:b w:val="0"/>
          <w:sz w:val="28"/>
          <w:szCs w:val="28"/>
          <w:lang w:val="uk-UA"/>
        </w:rPr>
      </w:pPr>
    </w:p>
    <w:p w14:paraId="3C8BF925" w14:textId="77777777" w:rsidR="0013721F" w:rsidRPr="00DE6B3C" w:rsidRDefault="0013721F" w:rsidP="0013721F">
      <w:pPr>
        <w:pStyle w:val="2"/>
        <w:widowControl w:val="0"/>
        <w:tabs>
          <w:tab w:val="left" w:pos="4680"/>
        </w:tabs>
        <w:spacing w:before="0" w:beforeAutospacing="0" w:after="0" w:afterAutospacing="0"/>
        <w:ind w:right="4957"/>
        <w:jc w:val="both"/>
        <w:rPr>
          <w:b w:val="0"/>
          <w:sz w:val="28"/>
          <w:szCs w:val="28"/>
          <w:lang w:val="uk-UA"/>
        </w:rPr>
      </w:pPr>
    </w:p>
    <w:p w14:paraId="60E1DC87" w14:textId="77777777" w:rsidR="00DC5863" w:rsidRPr="00D34EC4" w:rsidRDefault="0013721F" w:rsidP="00DB21A0">
      <w:pPr>
        <w:pStyle w:val="2"/>
        <w:widowControl w:val="0"/>
        <w:spacing w:before="0" w:beforeAutospacing="0" w:after="0" w:afterAutospacing="0"/>
        <w:ind w:right="5319"/>
        <w:jc w:val="both"/>
        <w:rPr>
          <w:b w:val="0"/>
          <w:sz w:val="28"/>
          <w:szCs w:val="28"/>
          <w:lang w:val="uk-UA"/>
        </w:rPr>
      </w:pPr>
      <w:r w:rsidRPr="00DE6B3C">
        <w:rPr>
          <w:b w:val="0"/>
          <w:sz w:val="28"/>
          <w:szCs w:val="28"/>
          <w:lang w:val="uk-UA"/>
        </w:rPr>
        <w:t xml:space="preserve">Про </w:t>
      </w:r>
      <w:r w:rsidR="00970F52">
        <w:rPr>
          <w:b w:val="0"/>
          <w:sz w:val="28"/>
          <w:szCs w:val="28"/>
          <w:lang w:val="uk-UA"/>
        </w:rPr>
        <w:t>затвердження</w:t>
      </w:r>
      <w:r w:rsidR="00970F52" w:rsidRPr="00DE6B3C">
        <w:rPr>
          <w:b w:val="0"/>
          <w:sz w:val="28"/>
          <w:szCs w:val="28"/>
          <w:lang w:val="uk-UA"/>
        </w:rPr>
        <w:t xml:space="preserve"> </w:t>
      </w:r>
      <w:r w:rsidR="00970F52">
        <w:rPr>
          <w:b w:val="0"/>
          <w:sz w:val="28"/>
          <w:szCs w:val="28"/>
          <w:lang w:val="uk-UA"/>
        </w:rPr>
        <w:t>З</w:t>
      </w:r>
      <w:r w:rsidR="00970F52" w:rsidRPr="00DE6B3C">
        <w:rPr>
          <w:b w:val="0"/>
          <w:sz w:val="28"/>
          <w:szCs w:val="28"/>
          <w:lang w:val="uk-UA"/>
        </w:rPr>
        <w:t xml:space="preserve">мін </w:t>
      </w:r>
      <w:r w:rsidR="00970F52">
        <w:rPr>
          <w:b w:val="0"/>
          <w:sz w:val="28"/>
          <w:szCs w:val="28"/>
          <w:lang w:val="uk-UA"/>
        </w:rPr>
        <w:t xml:space="preserve">до деяких постанов НКРЕКП та </w:t>
      </w:r>
      <w:r w:rsidR="00BD2C50">
        <w:rPr>
          <w:b w:val="0"/>
          <w:sz w:val="28"/>
          <w:szCs w:val="28"/>
          <w:lang w:val="uk-UA"/>
        </w:rPr>
        <w:t xml:space="preserve">внесення змін до </w:t>
      </w:r>
      <w:r w:rsidR="00970F52">
        <w:rPr>
          <w:b w:val="0"/>
          <w:sz w:val="28"/>
          <w:szCs w:val="28"/>
          <w:lang w:val="uk-UA"/>
        </w:rPr>
        <w:t>д</w:t>
      </w:r>
      <w:r w:rsidR="00BD2C50">
        <w:rPr>
          <w:b w:val="0"/>
          <w:sz w:val="28"/>
          <w:szCs w:val="28"/>
          <w:lang w:val="uk-UA"/>
        </w:rPr>
        <w:t>одатк</w:t>
      </w:r>
      <w:r w:rsidR="00970F52">
        <w:rPr>
          <w:b w:val="0"/>
          <w:sz w:val="28"/>
          <w:szCs w:val="28"/>
          <w:lang w:val="uk-UA"/>
        </w:rPr>
        <w:t>а</w:t>
      </w:r>
      <w:r w:rsidR="00BD2C50">
        <w:rPr>
          <w:b w:val="0"/>
          <w:sz w:val="28"/>
          <w:szCs w:val="28"/>
          <w:lang w:val="uk-UA"/>
        </w:rPr>
        <w:t xml:space="preserve"> 31 до </w:t>
      </w:r>
      <w:r w:rsidR="00BD2C50" w:rsidRPr="00F151F5">
        <w:rPr>
          <w:b w:val="0"/>
          <w:bCs w:val="0"/>
          <w:sz w:val="28"/>
          <w:szCs w:val="28"/>
          <w:lang w:val="uk-UA" w:eastAsia="uk-UA"/>
        </w:rPr>
        <w:t>Порядк</w:t>
      </w:r>
      <w:r w:rsidR="00BD2C50">
        <w:rPr>
          <w:b w:val="0"/>
          <w:bCs w:val="0"/>
          <w:sz w:val="28"/>
          <w:szCs w:val="28"/>
          <w:lang w:val="uk-UA" w:eastAsia="uk-UA"/>
        </w:rPr>
        <w:t>у</w:t>
      </w:r>
      <w:r w:rsidR="00BD2C50" w:rsidRPr="00F151F5">
        <w:rPr>
          <w:b w:val="0"/>
          <w:bCs w:val="0"/>
          <w:sz w:val="28"/>
          <w:szCs w:val="28"/>
          <w:lang w:val="uk-UA" w:eastAsia="uk-UA"/>
        </w:rPr>
        <w:t xml:space="preserve">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53D609F3" w14:textId="77777777" w:rsidR="0013721F" w:rsidRDefault="0013721F" w:rsidP="0013721F">
      <w:pPr>
        <w:pStyle w:val="2"/>
        <w:widowControl w:val="0"/>
        <w:spacing w:before="0" w:beforeAutospacing="0" w:after="0" w:afterAutospacing="0"/>
        <w:ind w:right="5319"/>
        <w:jc w:val="both"/>
        <w:rPr>
          <w:b w:val="0"/>
          <w:sz w:val="28"/>
          <w:szCs w:val="28"/>
          <w:lang w:val="uk-UA"/>
        </w:rPr>
      </w:pPr>
    </w:p>
    <w:p w14:paraId="55488020" w14:textId="77777777" w:rsidR="00C52B9A" w:rsidRPr="00DE6B3C" w:rsidRDefault="00C52B9A" w:rsidP="0013721F">
      <w:pPr>
        <w:pStyle w:val="2"/>
        <w:widowControl w:val="0"/>
        <w:spacing w:before="0" w:beforeAutospacing="0" w:after="0" w:afterAutospacing="0"/>
        <w:ind w:right="5319"/>
        <w:jc w:val="both"/>
        <w:rPr>
          <w:b w:val="0"/>
          <w:sz w:val="28"/>
          <w:szCs w:val="28"/>
          <w:lang w:val="uk-UA"/>
        </w:rPr>
      </w:pPr>
    </w:p>
    <w:p w14:paraId="59682517" w14:textId="77777777" w:rsidR="0013721F" w:rsidRPr="00DE6B3C" w:rsidRDefault="0013721F" w:rsidP="0013721F">
      <w:pPr>
        <w:ind w:firstLine="708"/>
        <w:jc w:val="both"/>
        <w:rPr>
          <w:bCs/>
          <w:sz w:val="28"/>
          <w:szCs w:val="28"/>
          <w:lang w:val="uk-UA"/>
        </w:rPr>
      </w:pPr>
      <w:r w:rsidRPr="00DE6B3C">
        <w:rPr>
          <w:bCs/>
          <w:sz w:val="28"/>
          <w:szCs w:val="28"/>
          <w:lang w:val="uk-UA"/>
        </w:rPr>
        <w:t>Відповідно до статті 4 Закону України «Про ринок природного газу»</w:t>
      </w:r>
      <w:r w:rsidRPr="00DE6B3C">
        <w:rPr>
          <w:lang w:val="uk-UA"/>
        </w:rPr>
        <w:t xml:space="preserve"> </w:t>
      </w:r>
      <w:r w:rsidRPr="00DE6B3C">
        <w:rPr>
          <w:bCs/>
          <w:sz w:val="28"/>
          <w:szCs w:val="28"/>
          <w:lang w:val="uk-UA"/>
        </w:rPr>
        <w:t xml:space="preserve">та статті 17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w:t>
      </w:r>
    </w:p>
    <w:p w14:paraId="0B63B88D" w14:textId="77777777" w:rsidR="0013721F" w:rsidRPr="00DE6B3C" w:rsidRDefault="0013721F" w:rsidP="0013721F">
      <w:pPr>
        <w:pStyle w:val="a3"/>
        <w:spacing w:before="0" w:beforeAutospacing="0" w:after="0" w:afterAutospacing="0"/>
        <w:jc w:val="both"/>
        <w:rPr>
          <w:sz w:val="28"/>
          <w:szCs w:val="28"/>
          <w:lang w:val="uk-UA"/>
        </w:rPr>
      </w:pPr>
    </w:p>
    <w:p w14:paraId="0BABC0DC" w14:textId="77777777" w:rsidR="0013721F" w:rsidRPr="00DE6B3C" w:rsidRDefault="0013721F" w:rsidP="00C526ED">
      <w:pPr>
        <w:pStyle w:val="a3"/>
        <w:spacing w:before="0" w:beforeAutospacing="0" w:after="0" w:afterAutospacing="0"/>
        <w:rPr>
          <w:b/>
          <w:bCs/>
          <w:sz w:val="28"/>
          <w:lang w:val="uk-UA"/>
        </w:rPr>
      </w:pPr>
      <w:r w:rsidRPr="00DE6B3C">
        <w:rPr>
          <w:b/>
          <w:sz w:val="28"/>
          <w:szCs w:val="28"/>
          <w:lang w:val="uk-UA"/>
        </w:rPr>
        <w:t>ПОСТАНОВЛЯЄ</w:t>
      </w:r>
      <w:r w:rsidRPr="00DE6B3C">
        <w:rPr>
          <w:sz w:val="28"/>
          <w:szCs w:val="28"/>
          <w:lang w:val="uk-UA"/>
        </w:rPr>
        <w:t>:</w:t>
      </w:r>
      <w:r w:rsidRPr="00DE6B3C">
        <w:rPr>
          <w:b/>
          <w:bCs/>
          <w:sz w:val="28"/>
          <w:lang w:val="uk-UA"/>
        </w:rPr>
        <w:t xml:space="preserve"> </w:t>
      </w:r>
    </w:p>
    <w:p w14:paraId="57125DE9" w14:textId="57DBBBF1" w:rsidR="001A0C6A" w:rsidRDefault="001A0C6A" w:rsidP="001A0C6A">
      <w:pPr>
        <w:pStyle w:val="2"/>
        <w:ind w:firstLine="709"/>
        <w:jc w:val="both"/>
        <w:rPr>
          <w:b w:val="0"/>
          <w:bCs w:val="0"/>
          <w:sz w:val="28"/>
          <w:szCs w:val="28"/>
          <w:lang w:val="uk-UA" w:eastAsia="uk-UA"/>
        </w:rPr>
      </w:pPr>
      <w:r>
        <w:rPr>
          <w:b w:val="0"/>
          <w:bCs w:val="0"/>
          <w:sz w:val="28"/>
          <w:szCs w:val="28"/>
          <w:lang w:val="uk-UA" w:eastAsia="uk-UA"/>
        </w:rPr>
        <w:t>1</w:t>
      </w:r>
      <w:r w:rsidRPr="00D34EC4">
        <w:rPr>
          <w:b w:val="0"/>
          <w:bCs w:val="0"/>
          <w:sz w:val="28"/>
          <w:szCs w:val="28"/>
          <w:lang w:val="uk-UA" w:eastAsia="uk-UA"/>
        </w:rPr>
        <w:t xml:space="preserve">. </w:t>
      </w:r>
      <w:r>
        <w:rPr>
          <w:b w:val="0"/>
          <w:bCs w:val="0"/>
          <w:sz w:val="28"/>
          <w:szCs w:val="28"/>
          <w:lang w:val="uk-UA" w:eastAsia="uk-UA"/>
        </w:rPr>
        <w:t xml:space="preserve">Затвердити Зміни </w:t>
      </w:r>
      <w:r w:rsidRPr="00546DA0">
        <w:rPr>
          <w:b w:val="0"/>
          <w:bCs w:val="0"/>
          <w:sz w:val="28"/>
          <w:szCs w:val="28"/>
          <w:lang w:val="uk-UA" w:eastAsia="uk-UA"/>
        </w:rPr>
        <w:t>до Методики визначення та розрахунку тарифу на послуги розподілу природного газу, затвердженої постановою Національної комісії, що здійснює державне регулювання у сферах енергетики та комунальних послуг, від 25 лютого 2016 року № 236, зареєстрованою в Міністерстві юстиції України 03 листопада 2016 року за № 1434/29564, що додаються.</w:t>
      </w:r>
    </w:p>
    <w:p w14:paraId="23C60377" w14:textId="77777777" w:rsidR="00701E18" w:rsidRDefault="00701E18" w:rsidP="001A0C6A">
      <w:pPr>
        <w:pStyle w:val="2"/>
        <w:ind w:firstLine="709"/>
        <w:jc w:val="both"/>
        <w:rPr>
          <w:b w:val="0"/>
          <w:bCs w:val="0"/>
          <w:sz w:val="28"/>
          <w:szCs w:val="28"/>
          <w:lang w:val="uk-UA" w:eastAsia="uk-UA"/>
        </w:rPr>
      </w:pPr>
    </w:p>
    <w:p w14:paraId="76A99101" w14:textId="77777777" w:rsidR="001A0C6A" w:rsidRDefault="001A0C6A" w:rsidP="00DC5863">
      <w:pPr>
        <w:pStyle w:val="2"/>
        <w:ind w:firstLine="709"/>
        <w:jc w:val="both"/>
        <w:rPr>
          <w:b w:val="0"/>
          <w:bCs w:val="0"/>
          <w:sz w:val="28"/>
          <w:szCs w:val="28"/>
          <w:lang w:val="uk-UA" w:eastAsia="uk-UA"/>
        </w:rPr>
      </w:pPr>
      <w:r>
        <w:rPr>
          <w:b w:val="0"/>
          <w:bCs w:val="0"/>
          <w:sz w:val="28"/>
          <w:szCs w:val="28"/>
          <w:lang w:val="uk-UA" w:eastAsia="uk-UA"/>
        </w:rPr>
        <w:t xml:space="preserve">2. </w:t>
      </w:r>
      <w:r w:rsidRPr="00D34EC4">
        <w:rPr>
          <w:b w:val="0"/>
          <w:bCs w:val="0"/>
          <w:sz w:val="28"/>
          <w:szCs w:val="28"/>
          <w:lang w:val="uk-UA" w:eastAsia="uk-UA"/>
        </w:rPr>
        <w:t>Затвердити Зміни до постанов</w:t>
      </w:r>
      <w:r>
        <w:rPr>
          <w:b w:val="0"/>
          <w:bCs w:val="0"/>
          <w:sz w:val="28"/>
          <w:szCs w:val="28"/>
          <w:lang w:val="uk-UA" w:eastAsia="uk-UA"/>
        </w:rPr>
        <w:t>и</w:t>
      </w:r>
      <w:r w:rsidRPr="00D34EC4">
        <w:rPr>
          <w:b w:val="0"/>
          <w:bCs w:val="0"/>
          <w:sz w:val="28"/>
          <w:szCs w:val="28"/>
          <w:lang w:val="uk-UA" w:eastAsia="uk-UA"/>
        </w:rPr>
        <w:t xml:space="preserve"> Національної комісії, що здійснює державне регулювання у сферах енергетики та комунальних послуг, від 07 липня </w:t>
      </w:r>
      <w:r w:rsidRPr="00D34EC4">
        <w:rPr>
          <w:b w:val="0"/>
          <w:bCs w:val="0"/>
          <w:sz w:val="28"/>
          <w:szCs w:val="28"/>
          <w:lang w:val="uk-UA" w:eastAsia="uk-UA"/>
        </w:rPr>
        <w:lastRenderedPageBreak/>
        <w:t>2016 року № 1234 «Про затвердження форм звітності НКРЕКП щодо здійснення моніторингу на ринку природного газу та інструкцій щодо їх заповнення», зареєстровано</w:t>
      </w:r>
      <w:r>
        <w:rPr>
          <w:b w:val="0"/>
          <w:bCs w:val="0"/>
          <w:sz w:val="28"/>
          <w:szCs w:val="28"/>
          <w:lang w:val="uk-UA" w:eastAsia="uk-UA"/>
        </w:rPr>
        <w:t>ї</w:t>
      </w:r>
      <w:r w:rsidRPr="00D34EC4">
        <w:rPr>
          <w:b w:val="0"/>
          <w:bCs w:val="0"/>
          <w:sz w:val="28"/>
          <w:szCs w:val="28"/>
          <w:lang w:val="uk-UA" w:eastAsia="uk-UA"/>
        </w:rPr>
        <w:t xml:space="preserve"> в Міністерстві юстиції України 05 серпня 2016 року за </w:t>
      </w:r>
      <w:r>
        <w:rPr>
          <w:b w:val="0"/>
          <w:bCs w:val="0"/>
          <w:sz w:val="28"/>
          <w:szCs w:val="28"/>
          <w:lang w:val="uk-UA" w:eastAsia="uk-UA"/>
        </w:rPr>
        <w:br/>
      </w:r>
      <w:r w:rsidRPr="00D34EC4">
        <w:rPr>
          <w:b w:val="0"/>
          <w:bCs w:val="0"/>
          <w:sz w:val="28"/>
          <w:szCs w:val="28"/>
          <w:lang w:val="uk-UA" w:eastAsia="uk-UA"/>
        </w:rPr>
        <w:t>№ 1090/29220, що додаються.</w:t>
      </w:r>
    </w:p>
    <w:p w14:paraId="622CB9A3" w14:textId="77777777" w:rsidR="00DC5863" w:rsidRDefault="001A0C6A" w:rsidP="00DC5863">
      <w:pPr>
        <w:pStyle w:val="2"/>
        <w:ind w:firstLine="709"/>
        <w:jc w:val="both"/>
        <w:rPr>
          <w:b w:val="0"/>
          <w:bCs w:val="0"/>
          <w:sz w:val="28"/>
          <w:szCs w:val="28"/>
          <w:lang w:val="uk-UA" w:eastAsia="uk-UA"/>
        </w:rPr>
      </w:pPr>
      <w:r>
        <w:rPr>
          <w:b w:val="0"/>
          <w:bCs w:val="0"/>
          <w:sz w:val="28"/>
          <w:szCs w:val="28"/>
          <w:lang w:val="uk-UA" w:eastAsia="uk-UA"/>
        </w:rPr>
        <w:t>3</w:t>
      </w:r>
      <w:r w:rsidR="007F01CD" w:rsidRPr="00DE6B3C">
        <w:rPr>
          <w:b w:val="0"/>
          <w:bCs w:val="0"/>
          <w:sz w:val="28"/>
          <w:szCs w:val="28"/>
          <w:lang w:val="uk-UA" w:eastAsia="uk-UA"/>
        </w:rPr>
        <w:t>. </w:t>
      </w:r>
      <w:proofErr w:type="spellStart"/>
      <w:r w:rsidR="00BD2C50">
        <w:rPr>
          <w:b w:val="0"/>
          <w:bCs w:val="0"/>
          <w:sz w:val="28"/>
          <w:szCs w:val="28"/>
          <w:lang w:val="uk-UA" w:eastAsia="uk-UA"/>
        </w:rPr>
        <w:t>Унести</w:t>
      </w:r>
      <w:proofErr w:type="spellEnd"/>
      <w:r w:rsidR="00BD2C50">
        <w:rPr>
          <w:b w:val="0"/>
          <w:bCs w:val="0"/>
          <w:sz w:val="28"/>
          <w:szCs w:val="28"/>
          <w:lang w:val="uk-UA" w:eastAsia="uk-UA"/>
        </w:rPr>
        <w:t xml:space="preserve"> </w:t>
      </w:r>
      <w:r w:rsidR="00F151F5" w:rsidRPr="00F151F5">
        <w:rPr>
          <w:b w:val="0"/>
          <w:bCs w:val="0"/>
          <w:sz w:val="28"/>
          <w:szCs w:val="28"/>
          <w:lang w:val="uk-UA" w:eastAsia="uk-UA"/>
        </w:rPr>
        <w:t>до</w:t>
      </w:r>
      <w:r w:rsidR="00546DA0">
        <w:rPr>
          <w:b w:val="0"/>
          <w:bCs w:val="0"/>
          <w:sz w:val="28"/>
          <w:szCs w:val="28"/>
          <w:lang w:val="uk-UA" w:eastAsia="uk-UA"/>
        </w:rPr>
        <w:t xml:space="preserve"> </w:t>
      </w:r>
      <w:r>
        <w:rPr>
          <w:b w:val="0"/>
          <w:bCs w:val="0"/>
          <w:sz w:val="28"/>
          <w:szCs w:val="28"/>
          <w:lang w:val="uk-UA" w:eastAsia="uk-UA"/>
        </w:rPr>
        <w:t>д</w:t>
      </w:r>
      <w:r w:rsidR="00546DA0">
        <w:rPr>
          <w:b w:val="0"/>
          <w:bCs w:val="0"/>
          <w:sz w:val="28"/>
          <w:szCs w:val="28"/>
          <w:lang w:val="uk-UA" w:eastAsia="uk-UA"/>
        </w:rPr>
        <w:t>одатк</w:t>
      </w:r>
      <w:r w:rsidR="00BD2C50">
        <w:rPr>
          <w:b w:val="0"/>
          <w:bCs w:val="0"/>
          <w:sz w:val="28"/>
          <w:szCs w:val="28"/>
          <w:lang w:val="uk-UA" w:eastAsia="uk-UA"/>
        </w:rPr>
        <w:t>а</w:t>
      </w:r>
      <w:r w:rsidR="00546DA0">
        <w:rPr>
          <w:b w:val="0"/>
          <w:bCs w:val="0"/>
          <w:sz w:val="28"/>
          <w:szCs w:val="28"/>
          <w:lang w:val="uk-UA" w:eastAsia="uk-UA"/>
        </w:rPr>
        <w:t xml:space="preserve"> 31</w:t>
      </w:r>
      <w:r w:rsidR="00F151F5" w:rsidRPr="00F151F5">
        <w:rPr>
          <w:b w:val="0"/>
          <w:bCs w:val="0"/>
          <w:sz w:val="28"/>
          <w:szCs w:val="28"/>
          <w:lang w:val="uk-UA" w:eastAsia="uk-UA"/>
        </w:rPr>
        <w:t xml:space="preserve"> </w:t>
      </w:r>
      <w:r w:rsidR="00BD2C50">
        <w:rPr>
          <w:b w:val="0"/>
          <w:bCs w:val="0"/>
          <w:sz w:val="28"/>
          <w:szCs w:val="28"/>
          <w:lang w:val="uk-UA" w:eastAsia="uk-UA"/>
        </w:rPr>
        <w:t xml:space="preserve">до </w:t>
      </w:r>
      <w:r w:rsidR="00F151F5" w:rsidRPr="00F151F5">
        <w:rPr>
          <w:b w:val="0"/>
          <w:bCs w:val="0"/>
          <w:sz w:val="28"/>
          <w:szCs w:val="28"/>
          <w:lang w:val="uk-UA" w:eastAsia="uk-UA"/>
        </w:rPr>
        <w:t>Порядк</w:t>
      </w:r>
      <w:r w:rsidR="005536C0">
        <w:rPr>
          <w:b w:val="0"/>
          <w:bCs w:val="0"/>
          <w:sz w:val="28"/>
          <w:szCs w:val="28"/>
          <w:lang w:val="uk-UA" w:eastAsia="uk-UA"/>
        </w:rPr>
        <w:t>у</w:t>
      </w:r>
      <w:r w:rsidR="00F151F5" w:rsidRPr="00F151F5">
        <w:rPr>
          <w:b w:val="0"/>
          <w:bCs w:val="0"/>
          <w:sz w:val="28"/>
          <w:szCs w:val="28"/>
          <w:lang w:val="uk-UA" w:eastAsia="uk-UA"/>
        </w:rPr>
        <w:t xml:space="preserve">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 428, </w:t>
      </w:r>
      <w:r w:rsidR="00BD2C50">
        <w:rPr>
          <w:b w:val="0"/>
          <w:bCs w:val="0"/>
          <w:sz w:val="28"/>
          <w:szCs w:val="28"/>
          <w:lang w:val="uk-UA" w:eastAsia="uk-UA"/>
        </w:rPr>
        <w:t>такі зміни:</w:t>
      </w:r>
    </w:p>
    <w:p w14:paraId="68DAA02B" w14:textId="77777777" w:rsidR="00BD2C50" w:rsidRDefault="00BD2C50" w:rsidP="00BD2C50">
      <w:pPr>
        <w:ind w:left="708"/>
        <w:jc w:val="both"/>
        <w:rPr>
          <w:sz w:val="28"/>
          <w:szCs w:val="28"/>
          <w:lang w:val="uk-UA" w:eastAsia="uk-UA"/>
        </w:rPr>
      </w:pPr>
      <w:r>
        <w:rPr>
          <w:sz w:val="28"/>
          <w:szCs w:val="28"/>
          <w:lang w:val="uk-UA" w:eastAsia="uk-UA"/>
        </w:rPr>
        <w:t>1) пункт 6 доповнити двома новими підпунктами такого змісту:</w:t>
      </w:r>
    </w:p>
    <w:p w14:paraId="263F786D" w14:textId="77777777" w:rsidR="00BD2C50" w:rsidRDefault="00BD2C50" w:rsidP="00BD2C50">
      <w:pPr>
        <w:ind w:firstLine="567"/>
        <w:jc w:val="both"/>
        <w:rPr>
          <w:sz w:val="28"/>
          <w:szCs w:val="28"/>
          <w:lang w:val="uk-UA" w:eastAsia="uk-UA"/>
        </w:rPr>
      </w:pPr>
      <w:r>
        <w:rPr>
          <w:sz w:val="28"/>
          <w:szCs w:val="28"/>
          <w:lang w:val="uk-UA" w:eastAsia="uk-UA"/>
        </w:rPr>
        <w:t>«22) дохід, отриманий у звітному році, як додаткова плата (компенсація) за недотримання суб’єктами ринку природного газу параметрів якості природного газу;</w:t>
      </w:r>
    </w:p>
    <w:p w14:paraId="6BFBA92A" w14:textId="77777777" w:rsidR="00D93D98" w:rsidRDefault="00D93D98" w:rsidP="00BD2C50">
      <w:pPr>
        <w:ind w:firstLine="567"/>
        <w:jc w:val="both"/>
        <w:rPr>
          <w:sz w:val="28"/>
          <w:szCs w:val="28"/>
          <w:lang w:val="uk-UA" w:eastAsia="uk-UA"/>
        </w:rPr>
      </w:pPr>
    </w:p>
    <w:p w14:paraId="3095999C" w14:textId="77777777" w:rsidR="00BD2C50" w:rsidRDefault="00BD2C50" w:rsidP="00BD2C50">
      <w:pPr>
        <w:ind w:firstLine="567"/>
        <w:jc w:val="both"/>
        <w:rPr>
          <w:sz w:val="28"/>
          <w:szCs w:val="28"/>
          <w:lang w:val="uk-UA" w:eastAsia="uk-UA"/>
        </w:rPr>
      </w:pPr>
      <w:r>
        <w:rPr>
          <w:sz w:val="28"/>
          <w:szCs w:val="28"/>
          <w:lang w:val="uk-UA" w:eastAsia="uk-UA"/>
        </w:rPr>
        <w:t>23) сума витрат, понесених у звітному році, як додаткова плата (компенсація) за недотримання Оператором ГРМ вимог щодо параметрів якості природного газу.»;</w:t>
      </w:r>
      <w:bookmarkStart w:id="0" w:name="_GoBack"/>
      <w:bookmarkEnd w:id="0"/>
    </w:p>
    <w:p w14:paraId="7632B821" w14:textId="77777777" w:rsidR="00BD2C50" w:rsidRDefault="00BD2C50" w:rsidP="00BD2C50">
      <w:pPr>
        <w:ind w:firstLine="567"/>
        <w:jc w:val="both"/>
        <w:rPr>
          <w:sz w:val="28"/>
          <w:szCs w:val="28"/>
          <w:lang w:val="uk-UA" w:eastAsia="uk-UA"/>
        </w:rPr>
      </w:pPr>
    </w:p>
    <w:p w14:paraId="12CECE9D" w14:textId="77777777" w:rsidR="00BD2C50" w:rsidRDefault="00BD2C50" w:rsidP="00BD2C50">
      <w:pPr>
        <w:ind w:firstLine="708"/>
        <w:jc w:val="both"/>
        <w:rPr>
          <w:sz w:val="28"/>
          <w:szCs w:val="28"/>
          <w:lang w:val="uk-UA" w:eastAsia="uk-UA"/>
        </w:rPr>
      </w:pPr>
      <w:r>
        <w:rPr>
          <w:sz w:val="28"/>
          <w:szCs w:val="28"/>
          <w:lang w:val="uk-UA" w:eastAsia="uk-UA"/>
        </w:rPr>
        <w:t>2) після пункту 8 доповнити новим пунктом 9 такого змісту:</w:t>
      </w:r>
    </w:p>
    <w:p w14:paraId="22D923FF" w14:textId="77777777" w:rsidR="00BD2C50" w:rsidRDefault="00BD2C50" w:rsidP="00BD2C50">
      <w:pPr>
        <w:ind w:firstLine="708"/>
        <w:jc w:val="both"/>
        <w:rPr>
          <w:sz w:val="28"/>
          <w:szCs w:val="28"/>
          <w:lang w:val="uk-UA" w:eastAsia="uk-UA"/>
        </w:rPr>
      </w:pPr>
      <w:r>
        <w:rPr>
          <w:sz w:val="28"/>
          <w:szCs w:val="28"/>
          <w:lang w:val="uk-UA" w:eastAsia="uk-UA"/>
        </w:rPr>
        <w:t>«9. Позитивна різниця між доходом, нарахованим Оператором ГРМ, як додаткова плата (компенсація) за недотримання параметрів якості природного газу та витратами, понесеними Оператором ГРМ, як додаткова плата (компенсація) за недотримання ним вимог щодо параметрів якості природного газу, за вирахуванням податків, визначених законодавством України, у звітному році, спрямовується на фінансування заходів, передбачених розділами  I</w:t>
      </w:r>
      <w:r w:rsidR="00D93D98">
        <w:rPr>
          <w:sz w:val="28"/>
          <w:szCs w:val="28"/>
          <w:lang w:val="uk-UA" w:eastAsia="uk-UA"/>
        </w:rPr>
        <w:t xml:space="preserve"> – </w:t>
      </w:r>
      <w:r>
        <w:rPr>
          <w:sz w:val="28"/>
          <w:szCs w:val="28"/>
          <w:lang w:val="uk-UA" w:eastAsia="uk-UA"/>
        </w:rPr>
        <w:t>VI, IX інвестиційної програми впродовж трьох років, наступних за звітним, але не менше 65 % зазначеної різниці враховується впродовж двох років, наступних за звітним, та/або для фінансування інших заходів за рішенням Регулятора.».</w:t>
      </w:r>
    </w:p>
    <w:p w14:paraId="7F46A1A2" w14:textId="77777777" w:rsidR="00BD2C50" w:rsidRDefault="00BD2C50" w:rsidP="00BD2C50">
      <w:pPr>
        <w:ind w:firstLine="708"/>
        <w:jc w:val="both"/>
        <w:rPr>
          <w:sz w:val="28"/>
          <w:szCs w:val="28"/>
          <w:lang w:val="uk-UA" w:eastAsia="uk-UA"/>
        </w:rPr>
      </w:pPr>
      <w:r>
        <w:rPr>
          <w:sz w:val="28"/>
          <w:szCs w:val="28"/>
          <w:lang w:val="uk-UA" w:eastAsia="uk-UA"/>
        </w:rPr>
        <w:t xml:space="preserve">У зв’язку з цим пункти 9 </w:t>
      </w:r>
      <w:r w:rsidR="00D93D98">
        <w:rPr>
          <w:sz w:val="28"/>
          <w:szCs w:val="28"/>
          <w:lang w:val="uk-UA" w:eastAsia="uk-UA"/>
        </w:rPr>
        <w:t>та</w:t>
      </w:r>
      <w:r>
        <w:rPr>
          <w:sz w:val="28"/>
          <w:szCs w:val="28"/>
          <w:lang w:val="uk-UA" w:eastAsia="uk-UA"/>
        </w:rPr>
        <w:t xml:space="preserve"> 10 вважати </w:t>
      </w:r>
      <w:r w:rsidR="000F35FF">
        <w:rPr>
          <w:sz w:val="28"/>
          <w:szCs w:val="28"/>
          <w:lang w:val="uk-UA" w:eastAsia="uk-UA"/>
        </w:rPr>
        <w:t xml:space="preserve">відповідно пунктами </w:t>
      </w:r>
      <w:r>
        <w:rPr>
          <w:sz w:val="28"/>
          <w:szCs w:val="28"/>
          <w:lang w:val="uk-UA" w:eastAsia="uk-UA"/>
        </w:rPr>
        <w:t xml:space="preserve">10 </w:t>
      </w:r>
      <w:r w:rsidR="00D93D98">
        <w:rPr>
          <w:sz w:val="28"/>
          <w:szCs w:val="28"/>
          <w:lang w:val="uk-UA" w:eastAsia="uk-UA"/>
        </w:rPr>
        <w:t>та</w:t>
      </w:r>
      <w:r>
        <w:rPr>
          <w:sz w:val="28"/>
          <w:szCs w:val="28"/>
          <w:lang w:val="uk-UA" w:eastAsia="uk-UA"/>
        </w:rPr>
        <w:t xml:space="preserve"> 11;</w:t>
      </w:r>
    </w:p>
    <w:p w14:paraId="53B3C64D" w14:textId="77777777" w:rsidR="00BD2C50" w:rsidRDefault="00BD2C50" w:rsidP="00BD2C50">
      <w:pPr>
        <w:pStyle w:val="2"/>
        <w:ind w:firstLine="709"/>
        <w:jc w:val="both"/>
        <w:rPr>
          <w:b w:val="0"/>
          <w:bCs w:val="0"/>
          <w:sz w:val="28"/>
          <w:szCs w:val="28"/>
          <w:lang w:val="uk-UA" w:eastAsia="uk-UA"/>
        </w:rPr>
      </w:pPr>
      <w:r w:rsidRPr="00BD2C50">
        <w:rPr>
          <w:b w:val="0"/>
          <w:bCs w:val="0"/>
          <w:sz w:val="28"/>
          <w:szCs w:val="28"/>
          <w:lang w:val="uk-UA" w:eastAsia="uk-UA"/>
        </w:rPr>
        <w:t>3</w:t>
      </w:r>
      <w:r>
        <w:rPr>
          <w:b w:val="0"/>
          <w:bCs w:val="0"/>
          <w:sz w:val="28"/>
          <w:szCs w:val="28"/>
          <w:lang w:val="uk-UA" w:eastAsia="uk-UA"/>
        </w:rPr>
        <w:t>)</w:t>
      </w:r>
      <w:r w:rsidRPr="00BD2C50">
        <w:rPr>
          <w:b w:val="0"/>
          <w:bCs w:val="0"/>
          <w:sz w:val="28"/>
          <w:szCs w:val="28"/>
          <w:lang w:val="uk-UA" w:eastAsia="uk-UA"/>
        </w:rPr>
        <w:t xml:space="preserve"> в абзаці другому пункту 11 цифру «9» замінити цифрою «10»</w:t>
      </w:r>
      <w:r>
        <w:rPr>
          <w:b w:val="0"/>
          <w:bCs w:val="0"/>
          <w:sz w:val="28"/>
          <w:szCs w:val="28"/>
          <w:lang w:val="uk-UA" w:eastAsia="uk-UA"/>
        </w:rPr>
        <w:t>.</w:t>
      </w:r>
    </w:p>
    <w:p w14:paraId="32CB5AF4" w14:textId="77777777" w:rsidR="00964084" w:rsidRPr="00DE6B3C" w:rsidRDefault="00546DA0" w:rsidP="00964084">
      <w:pPr>
        <w:shd w:val="clear" w:color="auto" w:fill="FFFFFF"/>
        <w:ind w:firstLine="709"/>
        <w:jc w:val="both"/>
        <w:rPr>
          <w:sz w:val="28"/>
          <w:szCs w:val="28"/>
          <w:lang w:val="uk-UA" w:eastAsia="uk-UA"/>
        </w:rPr>
      </w:pPr>
      <w:r>
        <w:rPr>
          <w:sz w:val="28"/>
          <w:szCs w:val="28"/>
          <w:lang w:val="uk-UA" w:eastAsia="uk-UA"/>
        </w:rPr>
        <w:t>4</w:t>
      </w:r>
      <w:r w:rsidR="0013721F" w:rsidRPr="00DE6B3C">
        <w:rPr>
          <w:sz w:val="28"/>
          <w:szCs w:val="28"/>
          <w:lang w:val="uk-UA" w:eastAsia="uk-UA"/>
        </w:rPr>
        <w:t xml:space="preserve">. </w:t>
      </w:r>
      <w:r w:rsidR="00964084" w:rsidRPr="00DE6B3C">
        <w:rPr>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E6D1A75" w14:textId="77777777" w:rsidR="00964084" w:rsidRPr="00DE6B3C" w:rsidRDefault="001F4AD0" w:rsidP="00964084">
      <w:pPr>
        <w:shd w:val="clear" w:color="auto" w:fill="FFFFFF"/>
        <w:ind w:firstLine="709"/>
        <w:jc w:val="both"/>
        <w:rPr>
          <w:sz w:val="28"/>
          <w:szCs w:val="28"/>
          <w:lang w:val="uk-UA" w:eastAsia="uk-UA"/>
        </w:rPr>
      </w:pPr>
      <w:r w:rsidRPr="00DE6B3C">
        <w:rPr>
          <w:sz w:val="28"/>
          <w:szCs w:val="28"/>
          <w:lang w:val="uk-UA" w:eastAsia="uk-UA"/>
        </w:rPr>
        <w:t xml:space="preserve"> </w:t>
      </w:r>
    </w:p>
    <w:p w14:paraId="7A9CCFD8" w14:textId="77777777" w:rsidR="007F01CD" w:rsidRPr="00DE6B3C" w:rsidRDefault="007F01CD" w:rsidP="0013721F">
      <w:pPr>
        <w:pStyle w:val="2"/>
        <w:spacing w:before="0" w:beforeAutospacing="0" w:after="0" w:afterAutospacing="0"/>
        <w:rPr>
          <w:b w:val="0"/>
          <w:bCs w:val="0"/>
          <w:sz w:val="28"/>
          <w:szCs w:val="28"/>
          <w:shd w:val="clear" w:color="auto" w:fill="FFFFFF"/>
          <w:lang w:val="uk-UA"/>
        </w:rPr>
      </w:pPr>
    </w:p>
    <w:p w14:paraId="6CDE8D66" w14:textId="77777777" w:rsidR="0013721F" w:rsidRPr="00DE6B3C" w:rsidRDefault="0013721F" w:rsidP="0013721F">
      <w:pPr>
        <w:pStyle w:val="2"/>
        <w:spacing w:before="0" w:beforeAutospacing="0" w:after="0" w:afterAutospacing="0"/>
        <w:rPr>
          <w:b w:val="0"/>
          <w:sz w:val="28"/>
          <w:szCs w:val="28"/>
          <w:lang w:val="uk-UA"/>
        </w:rPr>
      </w:pPr>
      <w:r w:rsidRPr="00DE6B3C">
        <w:rPr>
          <w:b w:val="0"/>
          <w:sz w:val="28"/>
          <w:szCs w:val="28"/>
          <w:lang w:val="uk-UA"/>
        </w:rPr>
        <w:t>Голова НКРЕКП</w:t>
      </w:r>
      <w:r w:rsidRPr="00DE6B3C">
        <w:rPr>
          <w:b w:val="0"/>
          <w:sz w:val="28"/>
          <w:szCs w:val="28"/>
          <w:lang w:val="uk-UA"/>
        </w:rPr>
        <w:tab/>
      </w:r>
      <w:r w:rsidRPr="00DE6B3C">
        <w:rPr>
          <w:b w:val="0"/>
          <w:sz w:val="28"/>
          <w:szCs w:val="28"/>
          <w:lang w:val="uk-UA"/>
        </w:rPr>
        <w:tab/>
      </w:r>
      <w:r w:rsidRPr="00DE6B3C">
        <w:rPr>
          <w:b w:val="0"/>
          <w:sz w:val="28"/>
          <w:szCs w:val="28"/>
          <w:lang w:val="uk-UA"/>
        </w:rPr>
        <w:tab/>
      </w:r>
      <w:r w:rsidRPr="00DE6B3C">
        <w:rPr>
          <w:b w:val="0"/>
          <w:sz w:val="28"/>
          <w:szCs w:val="28"/>
          <w:lang w:val="uk-UA"/>
        </w:rPr>
        <w:tab/>
      </w:r>
      <w:r w:rsidRPr="00DE6B3C">
        <w:rPr>
          <w:b w:val="0"/>
          <w:sz w:val="28"/>
          <w:szCs w:val="28"/>
          <w:lang w:val="uk-UA"/>
        </w:rPr>
        <w:tab/>
      </w:r>
      <w:r w:rsidRPr="00DE6B3C">
        <w:rPr>
          <w:b w:val="0"/>
          <w:sz w:val="28"/>
          <w:szCs w:val="28"/>
          <w:lang w:val="uk-UA"/>
        </w:rPr>
        <w:tab/>
        <w:t>     </w:t>
      </w:r>
      <w:r w:rsidR="000853FF" w:rsidRPr="00DE6B3C">
        <w:rPr>
          <w:b w:val="0"/>
          <w:sz w:val="28"/>
          <w:szCs w:val="28"/>
          <w:lang w:val="uk-UA"/>
        </w:rPr>
        <w:t xml:space="preserve">                 </w:t>
      </w:r>
      <w:r w:rsidR="00540EC2" w:rsidRPr="00DE6B3C">
        <w:rPr>
          <w:rFonts w:eastAsia="Times New Roman"/>
          <w:b w:val="0"/>
          <w:bCs w:val="0"/>
          <w:position w:val="-1"/>
          <w:sz w:val="28"/>
          <w:szCs w:val="28"/>
          <w:lang w:val="uk-UA"/>
        </w:rPr>
        <w:t>Юрій ВЛАСЕНКО</w:t>
      </w:r>
    </w:p>
    <w:sectPr w:rsidR="0013721F" w:rsidRPr="00DE6B3C" w:rsidSect="0036595C">
      <w:headerReference w:type="even" r:id="rId8"/>
      <w:headerReference w:type="default" r:id="rId9"/>
      <w:headerReference w:type="first" r:id="rId10"/>
      <w:pgSz w:w="11906" w:h="16838"/>
      <w:pgMar w:top="1134" w:right="567"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8771D" w14:textId="77777777" w:rsidR="006D0630" w:rsidRDefault="006D0630">
      <w:r>
        <w:separator/>
      </w:r>
    </w:p>
  </w:endnote>
  <w:endnote w:type="continuationSeparator" w:id="0">
    <w:p w14:paraId="4C868715" w14:textId="77777777" w:rsidR="006D0630" w:rsidRDefault="006D0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A4C0E" w14:textId="77777777" w:rsidR="006D0630" w:rsidRDefault="006D0630">
      <w:r>
        <w:separator/>
      </w:r>
    </w:p>
  </w:footnote>
  <w:footnote w:type="continuationSeparator" w:id="0">
    <w:p w14:paraId="3B143A83" w14:textId="77777777" w:rsidR="006D0630" w:rsidRDefault="006D0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0089C" w14:textId="77777777" w:rsidR="009A7826" w:rsidRDefault="00015565" w:rsidP="002F3D9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46B74A86" w14:textId="77777777" w:rsidR="0065372C" w:rsidRDefault="009E780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A1E36" w14:textId="77777777" w:rsidR="009A7826" w:rsidRDefault="00015565" w:rsidP="002F3D9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1E99">
      <w:rPr>
        <w:rStyle w:val="a6"/>
        <w:noProof/>
      </w:rPr>
      <w:t>2</w:t>
    </w:r>
    <w:r>
      <w:rPr>
        <w:rStyle w:val="a6"/>
      </w:rPr>
      <w:fldChar w:fldCharType="end"/>
    </w:r>
  </w:p>
  <w:p w14:paraId="3025F654" w14:textId="77777777" w:rsidR="009A7826" w:rsidRDefault="009E780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14FE8" w14:textId="77777777" w:rsidR="006E5A4C" w:rsidRPr="006E5A4C" w:rsidRDefault="006E5A4C" w:rsidP="006E5A4C">
    <w:pPr>
      <w:pStyle w:val="a4"/>
      <w:jc w:val="right"/>
      <w:rPr>
        <w:sz w:val="28"/>
        <w:lang w:val="uk-UA"/>
      </w:rPr>
    </w:pPr>
    <w:r w:rsidRPr="006E5A4C">
      <w:rPr>
        <w:sz w:val="28"/>
        <w:lang w:val="uk-UA"/>
      </w:rPr>
      <w:t>ПРОЄКТ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21F"/>
    <w:rsid w:val="00015565"/>
    <w:rsid w:val="00020D11"/>
    <w:rsid w:val="00077AB9"/>
    <w:rsid w:val="000853FF"/>
    <w:rsid w:val="000C5B03"/>
    <w:rsid w:val="000D19F1"/>
    <w:rsid w:val="000D6A8B"/>
    <w:rsid w:val="000F35FF"/>
    <w:rsid w:val="00123272"/>
    <w:rsid w:val="0013721F"/>
    <w:rsid w:val="00192AD6"/>
    <w:rsid w:val="00193798"/>
    <w:rsid w:val="001A0C6A"/>
    <w:rsid w:val="001F4AD0"/>
    <w:rsid w:val="00210D8E"/>
    <w:rsid w:val="00244527"/>
    <w:rsid w:val="00261DD3"/>
    <w:rsid w:val="00264085"/>
    <w:rsid w:val="00291748"/>
    <w:rsid w:val="002968CB"/>
    <w:rsid w:val="002A5539"/>
    <w:rsid w:val="002B04A2"/>
    <w:rsid w:val="002D53A9"/>
    <w:rsid w:val="002D64BD"/>
    <w:rsid w:val="002E2875"/>
    <w:rsid w:val="00301C3D"/>
    <w:rsid w:val="0036595C"/>
    <w:rsid w:val="003755A1"/>
    <w:rsid w:val="003A476C"/>
    <w:rsid w:val="00445AF6"/>
    <w:rsid w:val="00477FD4"/>
    <w:rsid w:val="004F4F17"/>
    <w:rsid w:val="004F5D9A"/>
    <w:rsid w:val="0051236C"/>
    <w:rsid w:val="00540EC2"/>
    <w:rsid w:val="00546DA0"/>
    <w:rsid w:val="005536C0"/>
    <w:rsid w:val="00563E8E"/>
    <w:rsid w:val="00640E50"/>
    <w:rsid w:val="00671A27"/>
    <w:rsid w:val="006B0B4F"/>
    <w:rsid w:val="006D0630"/>
    <w:rsid w:val="006E5A4C"/>
    <w:rsid w:val="006F3B05"/>
    <w:rsid w:val="00701E18"/>
    <w:rsid w:val="007257B6"/>
    <w:rsid w:val="00750259"/>
    <w:rsid w:val="007B7094"/>
    <w:rsid w:val="007C77C9"/>
    <w:rsid w:val="007E1E99"/>
    <w:rsid w:val="007E5702"/>
    <w:rsid w:val="007F01CD"/>
    <w:rsid w:val="00863371"/>
    <w:rsid w:val="008A2EEE"/>
    <w:rsid w:val="00906644"/>
    <w:rsid w:val="009067FD"/>
    <w:rsid w:val="00926A67"/>
    <w:rsid w:val="00930F4B"/>
    <w:rsid w:val="00964084"/>
    <w:rsid w:val="00970F52"/>
    <w:rsid w:val="009E780A"/>
    <w:rsid w:val="009F7B24"/>
    <w:rsid w:val="00A714DF"/>
    <w:rsid w:val="00A767D1"/>
    <w:rsid w:val="00AA4FD0"/>
    <w:rsid w:val="00AA508C"/>
    <w:rsid w:val="00B11E31"/>
    <w:rsid w:val="00B31DB8"/>
    <w:rsid w:val="00B37904"/>
    <w:rsid w:val="00B37DBD"/>
    <w:rsid w:val="00BC2926"/>
    <w:rsid w:val="00BD2C50"/>
    <w:rsid w:val="00C34BE3"/>
    <w:rsid w:val="00C51BD7"/>
    <w:rsid w:val="00C526ED"/>
    <w:rsid w:val="00C52B9A"/>
    <w:rsid w:val="00D34EC4"/>
    <w:rsid w:val="00D93D98"/>
    <w:rsid w:val="00DB21A0"/>
    <w:rsid w:val="00DC5863"/>
    <w:rsid w:val="00DC7C9C"/>
    <w:rsid w:val="00DE6B3C"/>
    <w:rsid w:val="00DF587B"/>
    <w:rsid w:val="00E9763C"/>
    <w:rsid w:val="00EC04B9"/>
    <w:rsid w:val="00F151F5"/>
    <w:rsid w:val="00FD7E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4E05F12"/>
  <w15:chartTrackingRefBased/>
  <w15:docId w15:val="{3497D019-F9E7-460D-AF4B-245378E07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721F"/>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3721F"/>
    <w:pPr>
      <w:spacing w:before="100" w:beforeAutospacing="1" w:after="100" w:afterAutospacing="1"/>
      <w:outlineLvl w:val="1"/>
    </w:pPr>
    <w:rPr>
      <w:b/>
      <w:bCs/>
      <w:sz w:val="36"/>
      <w:szCs w:val="3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3721F"/>
    <w:rPr>
      <w:rFonts w:ascii="Times New Roman" w:eastAsia="Calibri" w:hAnsi="Times New Roman" w:cs="Times New Roman"/>
      <w:b/>
      <w:bCs/>
      <w:sz w:val="36"/>
      <w:szCs w:val="36"/>
      <w:lang w:val="x-none" w:eastAsia="ru-RU"/>
    </w:rPr>
  </w:style>
  <w:style w:type="paragraph" w:styleId="a3">
    <w:name w:val="Normal (Web)"/>
    <w:basedOn w:val="a"/>
    <w:uiPriority w:val="99"/>
    <w:rsid w:val="0013721F"/>
    <w:pPr>
      <w:spacing w:before="100" w:beforeAutospacing="1" w:after="100" w:afterAutospacing="1"/>
    </w:pPr>
  </w:style>
  <w:style w:type="paragraph" w:customStyle="1" w:styleId="rvps2">
    <w:name w:val="rvps2"/>
    <w:basedOn w:val="a"/>
    <w:rsid w:val="0013721F"/>
    <w:pPr>
      <w:spacing w:before="100" w:beforeAutospacing="1" w:after="100" w:afterAutospacing="1"/>
    </w:pPr>
    <w:rPr>
      <w:lang w:val="uk-UA" w:eastAsia="uk-UA"/>
    </w:rPr>
  </w:style>
  <w:style w:type="paragraph" w:styleId="a4">
    <w:name w:val="header"/>
    <w:basedOn w:val="a"/>
    <w:link w:val="a5"/>
    <w:rsid w:val="0013721F"/>
    <w:pPr>
      <w:tabs>
        <w:tab w:val="center" w:pos="4677"/>
        <w:tab w:val="right" w:pos="9355"/>
      </w:tabs>
    </w:pPr>
    <w:rPr>
      <w:lang w:val="x-none"/>
    </w:rPr>
  </w:style>
  <w:style w:type="character" w:customStyle="1" w:styleId="a5">
    <w:name w:val="Верхній колонтитул Знак"/>
    <w:basedOn w:val="a0"/>
    <w:link w:val="a4"/>
    <w:rsid w:val="0013721F"/>
    <w:rPr>
      <w:rFonts w:ascii="Times New Roman" w:eastAsia="Calibri" w:hAnsi="Times New Roman" w:cs="Times New Roman"/>
      <w:sz w:val="24"/>
      <w:szCs w:val="24"/>
      <w:lang w:val="x-none" w:eastAsia="ru-RU"/>
    </w:rPr>
  </w:style>
  <w:style w:type="character" w:styleId="a6">
    <w:name w:val="page number"/>
    <w:basedOn w:val="a0"/>
    <w:rsid w:val="0013721F"/>
  </w:style>
  <w:style w:type="paragraph" w:styleId="a7">
    <w:name w:val="Balloon Text"/>
    <w:basedOn w:val="a"/>
    <w:link w:val="a8"/>
    <w:uiPriority w:val="99"/>
    <w:semiHidden/>
    <w:unhideWhenUsed/>
    <w:rsid w:val="007C77C9"/>
    <w:rPr>
      <w:rFonts w:ascii="Segoe UI" w:hAnsi="Segoe UI" w:cs="Segoe UI"/>
      <w:sz w:val="18"/>
      <w:szCs w:val="18"/>
    </w:rPr>
  </w:style>
  <w:style w:type="character" w:customStyle="1" w:styleId="a8">
    <w:name w:val="Текст у виносці Знак"/>
    <w:basedOn w:val="a0"/>
    <w:link w:val="a7"/>
    <w:uiPriority w:val="99"/>
    <w:semiHidden/>
    <w:rsid w:val="007C77C9"/>
    <w:rPr>
      <w:rFonts w:ascii="Segoe UI" w:eastAsia="Calibri" w:hAnsi="Segoe UI" w:cs="Segoe UI"/>
      <w:sz w:val="18"/>
      <w:szCs w:val="18"/>
      <w:lang w:val="ru-RU" w:eastAsia="ru-RU"/>
    </w:rPr>
  </w:style>
  <w:style w:type="paragraph" w:styleId="a9">
    <w:name w:val="footer"/>
    <w:basedOn w:val="a"/>
    <w:link w:val="aa"/>
    <w:uiPriority w:val="99"/>
    <w:unhideWhenUsed/>
    <w:rsid w:val="00640E50"/>
    <w:pPr>
      <w:tabs>
        <w:tab w:val="center" w:pos="4819"/>
        <w:tab w:val="right" w:pos="9639"/>
      </w:tabs>
    </w:pPr>
  </w:style>
  <w:style w:type="character" w:customStyle="1" w:styleId="aa">
    <w:name w:val="Нижній колонтитул Знак"/>
    <w:basedOn w:val="a0"/>
    <w:link w:val="a9"/>
    <w:uiPriority w:val="99"/>
    <w:rsid w:val="00640E50"/>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198550">
      <w:bodyDiv w:val="1"/>
      <w:marLeft w:val="0"/>
      <w:marRight w:val="0"/>
      <w:marTop w:val="0"/>
      <w:marBottom w:val="0"/>
      <w:divBdr>
        <w:top w:val="none" w:sz="0" w:space="0" w:color="auto"/>
        <w:left w:val="none" w:sz="0" w:space="0" w:color="auto"/>
        <w:bottom w:val="none" w:sz="0" w:space="0" w:color="auto"/>
        <w:right w:val="none" w:sz="0" w:space="0" w:color="auto"/>
      </w:divBdr>
    </w:div>
    <w:div w:id="1072117773">
      <w:bodyDiv w:val="1"/>
      <w:marLeft w:val="0"/>
      <w:marRight w:val="0"/>
      <w:marTop w:val="0"/>
      <w:marBottom w:val="0"/>
      <w:divBdr>
        <w:top w:val="none" w:sz="0" w:space="0" w:color="auto"/>
        <w:left w:val="none" w:sz="0" w:space="0" w:color="auto"/>
        <w:bottom w:val="none" w:sz="0" w:space="0" w:color="auto"/>
        <w:right w:val="none" w:sz="0" w:space="0" w:color="auto"/>
      </w:divBdr>
    </w:div>
    <w:div w:id="1089086509">
      <w:bodyDiv w:val="1"/>
      <w:marLeft w:val="0"/>
      <w:marRight w:val="0"/>
      <w:marTop w:val="0"/>
      <w:marBottom w:val="0"/>
      <w:divBdr>
        <w:top w:val="none" w:sz="0" w:space="0" w:color="auto"/>
        <w:left w:val="none" w:sz="0" w:space="0" w:color="auto"/>
        <w:bottom w:val="none" w:sz="0" w:space="0" w:color="auto"/>
        <w:right w:val="none" w:sz="0" w:space="0" w:color="auto"/>
      </w:divBdr>
    </w:div>
    <w:div w:id="210950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AAE43-213A-41DD-910B-FD863374D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2111</Words>
  <Characters>1204</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Галина Кулажина</cp:lastModifiedBy>
  <cp:revision>35</cp:revision>
  <cp:lastPrinted>2025-05-28T10:56:00Z</cp:lastPrinted>
  <dcterms:created xsi:type="dcterms:W3CDTF">2025-01-21T15:52:00Z</dcterms:created>
  <dcterms:modified xsi:type="dcterms:W3CDTF">2025-05-28T10:56:00Z</dcterms:modified>
</cp:coreProperties>
</file>