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19B6" w:rsidRPr="00D86447" w:rsidRDefault="00ED19B6" w:rsidP="00422F21">
      <w:pPr>
        <w:spacing w:after="0" w:line="216" w:lineRule="auto"/>
        <w:jc w:val="center"/>
        <w:rPr>
          <w:rFonts w:ascii="Times New Roman" w:eastAsia="Times New Roman" w:hAnsi="Times New Roman" w:cs="Times New Roman"/>
          <w:b/>
          <w:color w:val="000000"/>
          <w:sz w:val="24"/>
          <w:szCs w:val="24"/>
        </w:rPr>
      </w:pPr>
      <w:r w:rsidRPr="00D86447">
        <w:rPr>
          <w:rFonts w:ascii="Times New Roman" w:eastAsia="Times New Roman" w:hAnsi="Times New Roman" w:cs="Times New Roman"/>
          <w:b/>
          <w:color w:val="000000"/>
          <w:sz w:val="24"/>
          <w:szCs w:val="24"/>
        </w:rPr>
        <w:t xml:space="preserve">Порівняльна таблиця до </w:t>
      </w:r>
      <w:proofErr w:type="spellStart"/>
      <w:r w:rsidRPr="00D86447">
        <w:rPr>
          <w:rFonts w:ascii="Times New Roman" w:eastAsia="Times New Roman" w:hAnsi="Times New Roman" w:cs="Times New Roman"/>
          <w:b/>
          <w:color w:val="000000"/>
          <w:sz w:val="24"/>
          <w:szCs w:val="24"/>
        </w:rPr>
        <w:t>проєкту</w:t>
      </w:r>
      <w:proofErr w:type="spellEnd"/>
      <w:r w:rsidRPr="00D86447">
        <w:rPr>
          <w:rFonts w:ascii="Times New Roman" w:eastAsia="Times New Roman" w:hAnsi="Times New Roman" w:cs="Times New Roman"/>
          <w:b/>
          <w:color w:val="000000"/>
          <w:sz w:val="24"/>
          <w:szCs w:val="24"/>
        </w:rPr>
        <w:t xml:space="preserve"> постанови НКРЕКП «Про затвердження Змін до деяких постанов НКРЕКП», </w:t>
      </w:r>
    </w:p>
    <w:p w:rsidR="00ED19B6" w:rsidRPr="00D86447" w:rsidRDefault="00ED19B6" w:rsidP="00422F21">
      <w:pPr>
        <w:spacing w:after="0" w:line="216" w:lineRule="auto"/>
        <w:jc w:val="center"/>
        <w:rPr>
          <w:rFonts w:ascii="Times New Roman" w:eastAsia="Times New Roman" w:hAnsi="Times New Roman" w:cs="Times New Roman"/>
          <w:b/>
          <w:color w:val="000000"/>
          <w:sz w:val="24"/>
          <w:szCs w:val="24"/>
        </w:rPr>
      </w:pPr>
      <w:r w:rsidRPr="00D86447">
        <w:rPr>
          <w:rFonts w:ascii="Times New Roman" w:eastAsia="Times New Roman" w:hAnsi="Times New Roman" w:cs="Times New Roman"/>
          <w:b/>
          <w:color w:val="000000"/>
          <w:sz w:val="24"/>
          <w:szCs w:val="24"/>
        </w:rPr>
        <w:t>що має ознаки регуляторного акта</w:t>
      </w:r>
    </w:p>
    <w:p w:rsidR="00422F21" w:rsidRPr="00D86447" w:rsidRDefault="00422F21" w:rsidP="00422F21">
      <w:pPr>
        <w:spacing w:after="0" w:line="216" w:lineRule="auto"/>
        <w:jc w:val="center"/>
        <w:rPr>
          <w:rFonts w:ascii="Times New Roman" w:eastAsia="Times New Roman" w:hAnsi="Times New Roman" w:cs="Times New Roman"/>
          <w:b/>
          <w:color w:val="000000"/>
          <w:sz w:val="24"/>
          <w:szCs w:val="24"/>
        </w:rPr>
      </w:pPr>
    </w:p>
    <w:tbl>
      <w:tblPr>
        <w:tblStyle w:val="a3"/>
        <w:tblW w:w="0" w:type="auto"/>
        <w:tblLook w:val="04A0" w:firstRow="1" w:lastRow="0" w:firstColumn="1" w:lastColumn="0" w:noHBand="0" w:noVBand="1"/>
      </w:tblPr>
      <w:tblGrid>
        <w:gridCol w:w="7564"/>
        <w:gridCol w:w="7564"/>
      </w:tblGrid>
      <w:tr w:rsidR="00ED19B6" w:rsidRPr="00D86447" w:rsidTr="00ED19B6">
        <w:tc>
          <w:tcPr>
            <w:tcW w:w="7564" w:type="dxa"/>
          </w:tcPr>
          <w:p w:rsidR="00ED19B6" w:rsidRPr="00D86447" w:rsidRDefault="00ED19B6" w:rsidP="00422F21">
            <w:pPr>
              <w:spacing w:line="216" w:lineRule="auto"/>
              <w:jc w:val="center"/>
              <w:rPr>
                <w:rFonts w:ascii="Times New Roman" w:hAnsi="Times New Roman" w:cs="Times New Roman"/>
                <w:sz w:val="24"/>
                <w:szCs w:val="24"/>
              </w:rPr>
            </w:pPr>
            <w:r w:rsidRPr="00D86447">
              <w:rPr>
                <w:rFonts w:ascii="Times New Roman" w:eastAsia="Times New Roman" w:hAnsi="Times New Roman" w:cs="Times New Roman"/>
                <w:b/>
                <w:i/>
                <w:color w:val="000000"/>
                <w:sz w:val="24"/>
                <w:szCs w:val="24"/>
              </w:rPr>
              <w:t>КОДЕКС ГАЗОТРАНСПОРТНОЇ СИСТЕМИ</w:t>
            </w:r>
          </w:p>
        </w:tc>
        <w:tc>
          <w:tcPr>
            <w:tcW w:w="7564" w:type="dxa"/>
          </w:tcPr>
          <w:p w:rsidR="00ED19B6" w:rsidRPr="00D86447" w:rsidRDefault="00ED19B6" w:rsidP="00422F21">
            <w:pPr>
              <w:spacing w:line="216" w:lineRule="auto"/>
              <w:jc w:val="center"/>
              <w:rPr>
                <w:rFonts w:ascii="Times New Roman" w:eastAsia="Times New Roman" w:hAnsi="Times New Roman" w:cs="Times New Roman"/>
                <w:b/>
                <w:i/>
                <w:color w:val="000000"/>
                <w:sz w:val="24"/>
                <w:szCs w:val="24"/>
              </w:rPr>
            </w:pPr>
            <w:r w:rsidRPr="00D86447">
              <w:rPr>
                <w:rFonts w:ascii="Times New Roman" w:eastAsia="Times New Roman" w:hAnsi="Times New Roman" w:cs="Times New Roman"/>
                <w:b/>
                <w:i/>
                <w:color w:val="000000"/>
                <w:sz w:val="24"/>
                <w:szCs w:val="24"/>
              </w:rPr>
              <w:t>ЗМІНИ ДО КОДЕКСУ ГАЗОТРАНСПОРТНОЇ СИСТЕМИ</w:t>
            </w:r>
          </w:p>
        </w:tc>
      </w:tr>
      <w:tr w:rsidR="00ED19B6" w:rsidRPr="00D86447" w:rsidTr="00ED19B6">
        <w:tc>
          <w:tcPr>
            <w:tcW w:w="7564" w:type="dxa"/>
          </w:tcPr>
          <w:p w:rsidR="00ED19B6" w:rsidRPr="00D86447" w:rsidRDefault="00ED19B6" w:rsidP="00422F21">
            <w:pPr>
              <w:spacing w:line="216" w:lineRule="auto"/>
              <w:ind w:firstLine="709"/>
              <w:jc w:val="center"/>
              <w:rPr>
                <w:rFonts w:ascii="Times New Roman" w:hAnsi="Times New Roman" w:cs="Times New Roman"/>
                <w:b/>
                <w:color w:val="000000" w:themeColor="text1"/>
                <w:sz w:val="24"/>
                <w:szCs w:val="24"/>
              </w:rPr>
            </w:pPr>
            <w:r w:rsidRPr="00D86447">
              <w:rPr>
                <w:rFonts w:ascii="Times New Roman" w:hAnsi="Times New Roman" w:cs="Times New Roman"/>
                <w:b/>
                <w:color w:val="000000" w:themeColor="text1"/>
                <w:sz w:val="24"/>
                <w:szCs w:val="24"/>
              </w:rPr>
              <w:t>І. Загальні положення</w:t>
            </w:r>
          </w:p>
        </w:tc>
        <w:tc>
          <w:tcPr>
            <w:tcW w:w="7564" w:type="dxa"/>
          </w:tcPr>
          <w:p w:rsidR="00ED19B6" w:rsidRPr="00D86447" w:rsidRDefault="00ED19B6" w:rsidP="00422F21">
            <w:pPr>
              <w:spacing w:line="216" w:lineRule="auto"/>
              <w:ind w:firstLine="709"/>
              <w:jc w:val="center"/>
              <w:rPr>
                <w:rFonts w:ascii="Times New Roman" w:hAnsi="Times New Roman" w:cs="Times New Roman"/>
                <w:b/>
                <w:color w:val="000000" w:themeColor="text1"/>
                <w:sz w:val="24"/>
                <w:szCs w:val="24"/>
              </w:rPr>
            </w:pPr>
            <w:r w:rsidRPr="00D86447">
              <w:rPr>
                <w:rFonts w:ascii="Times New Roman" w:hAnsi="Times New Roman" w:cs="Times New Roman"/>
                <w:b/>
                <w:color w:val="000000" w:themeColor="text1"/>
                <w:sz w:val="24"/>
                <w:szCs w:val="24"/>
              </w:rPr>
              <w:t>І. Загальні положення</w:t>
            </w:r>
          </w:p>
        </w:tc>
      </w:tr>
      <w:tr w:rsidR="00ED19B6" w:rsidRPr="00D86447" w:rsidTr="00ED19B6">
        <w:tc>
          <w:tcPr>
            <w:tcW w:w="7564" w:type="dxa"/>
          </w:tcPr>
          <w:p w:rsidR="00ED19B6" w:rsidRPr="00D86447" w:rsidRDefault="00ED19B6" w:rsidP="00422F21">
            <w:pPr>
              <w:spacing w:line="216" w:lineRule="auto"/>
              <w:jc w:val="center"/>
              <w:rPr>
                <w:rFonts w:ascii="Times New Roman" w:hAnsi="Times New Roman" w:cs="Times New Roman"/>
                <w:sz w:val="24"/>
                <w:szCs w:val="24"/>
              </w:rPr>
            </w:pPr>
            <w:r w:rsidRPr="00D86447">
              <w:rPr>
                <w:rFonts w:ascii="Times New Roman" w:hAnsi="Times New Roman" w:cs="Times New Roman"/>
                <w:b/>
                <w:color w:val="000000" w:themeColor="text1"/>
                <w:sz w:val="24"/>
                <w:szCs w:val="24"/>
              </w:rPr>
              <w:t>1. Загальні засади, терміни та скорочення</w:t>
            </w:r>
          </w:p>
        </w:tc>
        <w:tc>
          <w:tcPr>
            <w:tcW w:w="7564" w:type="dxa"/>
          </w:tcPr>
          <w:p w:rsidR="00ED19B6" w:rsidRPr="00D86447" w:rsidRDefault="00ED19B6" w:rsidP="00422F21">
            <w:pPr>
              <w:spacing w:line="216" w:lineRule="auto"/>
              <w:jc w:val="center"/>
              <w:rPr>
                <w:rFonts w:ascii="Times New Roman" w:hAnsi="Times New Roman" w:cs="Times New Roman"/>
                <w:sz w:val="24"/>
                <w:szCs w:val="24"/>
              </w:rPr>
            </w:pPr>
            <w:r w:rsidRPr="00D86447">
              <w:rPr>
                <w:rFonts w:ascii="Times New Roman" w:hAnsi="Times New Roman" w:cs="Times New Roman"/>
                <w:b/>
                <w:color w:val="000000" w:themeColor="text1"/>
                <w:sz w:val="24"/>
                <w:szCs w:val="24"/>
              </w:rPr>
              <w:t>1. Загальні засади, терміни та скорочення</w:t>
            </w:r>
          </w:p>
        </w:tc>
      </w:tr>
      <w:tr w:rsidR="00ED19B6" w:rsidRPr="00D86447" w:rsidTr="00ED19B6">
        <w:tc>
          <w:tcPr>
            <w:tcW w:w="7564" w:type="dxa"/>
          </w:tcPr>
          <w:p w:rsidR="00AF2B6A" w:rsidRPr="00D86447" w:rsidRDefault="00AF2B6A" w:rsidP="0068294B">
            <w:pPr>
              <w:spacing w:line="216" w:lineRule="auto"/>
              <w:ind w:firstLine="709"/>
              <w:jc w:val="both"/>
              <w:rPr>
                <w:rFonts w:ascii="Times New Roman" w:hAnsi="Times New Roman" w:cs="Times New Roman"/>
                <w:color w:val="000000" w:themeColor="text1"/>
                <w:sz w:val="24"/>
                <w:szCs w:val="24"/>
              </w:rPr>
            </w:pPr>
            <w:r w:rsidRPr="00D86447">
              <w:rPr>
                <w:rFonts w:ascii="Times New Roman" w:hAnsi="Times New Roman" w:cs="Times New Roman"/>
                <w:color w:val="000000" w:themeColor="text1"/>
                <w:sz w:val="24"/>
                <w:szCs w:val="24"/>
              </w:rPr>
              <w:t>5. Терміни, що використовуються в цьому Кодексі, мають такі значення:</w:t>
            </w:r>
          </w:p>
          <w:p w:rsidR="00AF2B6A" w:rsidRPr="00D86447" w:rsidRDefault="00AF2B6A" w:rsidP="0068294B">
            <w:pPr>
              <w:spacing w:line="216" w:lineRule="auto"/>
              <w:ind w:firstLine="709"/>
              <w:jc w:val="both"/>
              <w:rPr>
                <w:rFonts w:ascii="Times New Roman" w:hAnsi="Times New Roman" w:cs="Times New Roman"/>
                <w:color w:val="000000" w:themeColor="text1"/>
                <w:sz w:val="24"/>
                <w:szCs w:val="24"/>
              </w:rPr>
            </w:pPr>
            <w:r w:rsidRPr="00D86447">
              <w:rPr>
                <w:rFonts w:ascii="Times New Roman" w:hAnsi="Times New Roman" w:cs="Times New Roman"/>
                <w:color w:val="000000" w:themeColor="text1"/>
                <w:sz w:val="24"/>
                <w:szCs w:val="24"/>
              </w:rPr>
              <w:t>…</w:t>
            </w:r>
          </w:p>
          <w:p w:rsidR="00ED19B6" w:rsidRPr="00D86447" w:rsidRDefault="0068294B" w:rsidP="0068294B">
            <w:pPr>
              <w:spacing w:after="75" w:line="216" w:lineRule="auto"/>
              <w:ind w:firstLine="709"/>
              <w:jc w:val="both"/>
              <w:rPr>
                <w:rFonts w:ascii="Times New Roman" w:hAnsi="Times New Roman" w:cs="Times New Roman"/>
                <w:color w:val="000000" w:themeColor="text1"/>
                <w:sz w:val="24"/>
                <w:szCs w:val="24"/>
              </w:rPr>
            </w:pPr>
            <w:bookmarkStart w:id="0" w:name="84"/>
            <w:r w:rsidRPr="00D86447">
              <w:rPr>
                <w:rFonts w:ascii="Times New Roman" w:hAnsi="Times New Roman" w:cs="Times New Roman"/>
                <w:color w:val="000000" w:themeColor="text1"/>
                <w:sz w:val="24"/>
                <w:szCs w:val="24"/>
              </w:rPr>
              <w:t>потужність - максимально допустиме перетікання обсягу природного газу, виражене в одиницях енергії до одиниці часу, що надається замовнику послуг транспортування відповідно до договору транспортування;</w:t>
            </w:r>
            <w:bookmarkEnd w:id="0"/>
          </w:p>
          <w:p w:rsidR="00ED19B6" w:rsidRDefault="00BC72BA" w:rsidP="0068294B">
            <w:pPr>
              <w:spacing w:line="216" w:lineRule="auto"/>
              <w:ind w:firstLine="709"/>
              <w:rPr>
                <w:rFonts w:ascii="Times New Roman" w:eastAsia="Times New Roman" w:hAnsi="Times New Roman" w:cs="Times New Roman"/>
                <w:b/>
                <w:color w:val="000000" w:themeColor="text1"/>
                <w:sz w:val="24"/>
                <w:szCs w:val="24"/>
                <w:lang w:val="en-US"/>
              </w:rPr>
            </w:pPr>
            <w:r w:rsidRPr="00D86447">
              <w:rPr>
                <w:rFonts w:ascii="Times New Roman" w:eastAsia="Times New Roman" w:hAnsi="Times New Roman" w:cs="Times New Roman"/>
                <w:b/>
                <w:color w:val="000000" w:themeColor="text1"/>
                <w:sz w:val="24"/>
                <w:szCs w:val="24"/>
              </w:rPr>
              <w:t>Н</w:t>
            </w:r>
            <w:r w:rsidR="00ED19B6" w:rsidRPr="00D86447">
              <w:rPr>
                <w:rFonts w:ascii="Times New Roman" w:eastAsia="Times New Roman" w:hAnsi="Times New Roman" w:cs="Times New Roman"/>
                <w:b/>
                <w:color w:val="000000" w:themeColor="text1"/>
                <w:sz w:val="24"/>
                <w:szCs w:val="24"/>
              </w:rPr>
              <w:t>орма відсутня</w:t>
            </w:r>
          </w:p>
          <w:p w:rsidR="00910165" w:rsidRDefault="00910165" w:rsidP="0068294B">
            <w:pPr>
              <w:spacing w:line="216" w:lineRule="auto"/>
              <w:ind w:firstLine="709"/>
              <w:rPr>
                <w:rFonts w:ascii="Times New Roman" w:eastAsia="Times New Roman" w:hAnsi="Times New Roman" w:cs="Times New Roman"/>
                <w:b/>
                <w:color w:val="000000" w:themeColor="text1"/>
                <w:sz w:val="24"/>
                <w:szCs w:val="24"/>
                <w:lang w:val="en-US"/>
              </w:rPr>
            </w:pPr>
          </w:p>
          <w:p w:rsidR="00910165" w:rsidRDefault="00910165" w:rsidP="0068294B">
            <w:pPr>
              <w:spacing w:line="216" w:lineRule="auto"/>
              <w:ind w:firstLine="709"/>
              <w:rPr>
                <w:rFonts w:ascii="Times New Roman" w:eastAsia="Times New Roman" w:hAnsi="Times New Roman" w:cs="Times New Roman"/>
                <w:b/>
                <w:color w:val="000000" w:themeColor="text1"/>
                <w:sz w:val="24"/>
                <w:szCs w:val="24"/>
                <w:lang w:val="en-US"/>
              </w:rPr>
            </w:pPr>
          </w:p>
          <w:p w:rsidR="00910165" w:rsidRPr="00910165" w:rsidRDefault="00910165" w:rsidP="0068294B">
            <w:pPr>
              <w:spacing w:line="216" w:lineRule="auto"/>
              <w:ind w:firstLine="709"/>
              <w:rPr>
                <w:rFonts w:ascii="Times New Roman" w:hAnsi="Times New Roman" w:cs="Times New Roman"/>
                <w:sz w:val="24"/>
                <w:szCs w:val="24"/>
              </w:rPr>
            </w:pPr>
            <w:r>
              <w:rPr>
                <w:rFonts w:ascii="Times New Roman" w:eastAsia="Times New Roman" w:hAnsi="Times New Roman" w:cs="Times New Roman"/>
                <w:b/>
                <w:color w:val="000000" w:themeColor="text1"/>
                <w:sz w:val="24"/>
                <w:szCs w:val="24"/>
              </w:rPr>
              <w:t>…</w:t>
            </w:r>
          </w:p>
        </w:tc>
        <w:tc>
          <w:tcPr>
            <w:tcW w:w="7564" w:type="dxa"/>
          </w:tcPr>
          <w:p w:rsidR="00AF2B6A" w:rsidRPr="00D86447" w:rsidRDefault="00AF2B6A" w:rsidP="0068294B">
            <w:pPr>
              <w:spacing w:line="216" w:lineRule="auto"/>
              <w:ind w:firstLine="709"/>
              <w:jc w:val="both"/>
              <w:rPr>
                <w:rFonts w:ascii="Times New Roman" w:hAnsi="Times New Roman" w:cs="Times New Roman"/>
                <w:color w:val="000000" w:themeColor="text1"/>
                <w:sz w:val="24"/>
                <w:szCs w:val="24"/>
              </w:rPr>
            </w:pPr>
            <w:r w:rsidRPr="00D86447">
              <w:rPr>
                <w:rFonts w:ascii="Times New Roman" w:hAnsi="Times New Roman" w:cs="Times New Roman"/>
                <w:color w:val="000000" w:themeColor="text1"/>
                <w:sz w:val="24"/>
                <w:szCs w:val="24"/>
              </w:rPr>
              <w:t>5. Терміни, що використовуються в цьому Кодексі, мають такі значення:</w:t>
            </w:r>
          </w:p>
          <w:p w:rsidR="00AF2B6A" w:rsidRPr="00D86447" w:rsidRDefault="00AF2B6A" w:rsidP="0068294B">
            <w:pPr>
              <w:spacing w:line="216" w:lineRule="auto"/>
              <w:ind w:firstLine="709"/>
              <w:jc w:val="both"/>
              <w:rPr>
                <w:rFonts w:ascii="Times New Roman" w:hAnsi="Times New Roman" w:cs="Times New Roman"/>
                <w:color w:val="000000" w:themeColor="text1"/>
                <w:sz w:val="24"/>
                <w:szCs w:val="24"/>
              </w:rPr>
            </w:pPr>
            <w:r w:rsidRPr="00D86447">
              <w:rPr>
                <w:rFonts w:ascii="Times New Roman" w:hAnsi="Times New Roman" w:cs="Times New Roman"/>
                <w:color w:val="000000" w:themeColor="text1"/>
                <w:sz w:val="24"/>
                <w:szCs w:val="24"/>
              </w:rPr>
              <w:t>…</w:t>
            </w:r>
          </w:p>
          <w:p w:rsidR="0068294B" w:rsidRPr="00D86447" w:rsidRDefault="0068294B" w:rsidP="0068294B">
            <w:pPr>
              <w:spacing w:after="75" w:line="216" w:lineRule="auto"/>
              <w:ind w:firstLine="709"/>
              <w:jc w:val="both"/>
              <w:rPr>
                <w:rFonts w:ascii="Times New Roman" w:hAnsi="Times New Roman" w:cs="Times New Roman"/>
                <w:color w:val="000000" w:themeColor="text1"/>
                <w:sz w:val="24"/>
                <w:szCs w:val="24"/>
              </w:rPr>
            </w:pPr>
            <w:r w:rsidRPr="00D86447">
              <w:rPr>
                <w:rFonts w:ascii="Times New Roman" w:hAnsi="Times New Roman" w:cs="Times New Roman"/>
                <w:color w:val="000000" w:themeColor="text1"/>
                <w:sz w:val="24"/>
                <w:szCs w:val="24"/>
              </w:rPr>
              <w:t>потужність - максимально допустиме перетікання обсягу природного газу, виражене в одиницях енергії до одиниці часу, що надається замовнику послуг транспортування відповідно до договору транспортування;</w:t>
            </w:r>
          </w:p>
          <w:p w:rsidR="0068294B" w:rsidRPr="00910165" w:rsidRDefault="0068294B" w:rsidP="0068294B">
            <w:pPr>
              <w:spacing w:line="216" w:lineRule="auto"/>
              <w:ind w:firstLine="709"/>
              <w:jc w:val="both"/>
              <w:rPr>
                <w:rFonts w:ascii="Times New Roman" w:hAnsi="Times New Roman" w:cs="Times New Roman"/>
                <w:b/>
                <w:color w:val="000000" w:themeColor="text1"/>
                <w:sz w:val="24"/>
                <w:szCs w:val="24"/>
              </w:rPr>
            </w:pPr>
            <w:r w:rsidRPr="00910165">
              <w:rPr>
                <w:rFonts w:ascii="Times New Roman" w:hAnsi="Times New Roman" w:cs="Times New Roman"/>
                <w:b/>
                <w:color w:val="000000" w:themeColor="text1"/>
                <w:sz w:val="24"/>
                <w:szCs w:val="24"/>
              </w:rPr>
              <w:t>потужність з обмеженнями для постачання видобутого природного газу – право одночасного користування потужністю таких двох віртуальних точок входу/виходу в межах однієї газорозподільної зони:</w:t>
            </w:r>
          </w:p>
          <w:p w:rsidR="0068294B" w:rsidRPr="00910165" w:rsidRDefault="0068294B" w:rsidP="0068294B">
            <w:pPr>
              <w:spacing w:line="216" w:lineRule="auto"/>
              <w:ind w:firstLine="709"/>
              <w:jc w:val="both"/>
              <w:rPr>
                <w:rFonts w:ascii="Times New Roman" w:hAnsi="Times New Roman" w:cs="Times New Roman"/>
                <w:b/>
                <w:color w:val="000000" w:themeColor="text1"/>
                <w:sz w:val="24"/>
                <w:szCs w:val="24"/>
              </w:rPr>
            </w:pPr>
            <w:r w:rsidRPr="00910165">
              <w:rPr>
                <w:rFonts w:ascii="Times New Roman" w:hAnsi="Times New Roman" w:cs="Times New Roman"/>
                <w:b/>
                <w:color w:val="000000" w:themeColor="text1"/>
                <w:sz w:val="24"/>
                <w:szCs w:val="24"/>
              </w:rPr>
              <w:t>віртуальної точки входу від суміжних газовидобувних підприємств (через мережі яких може передаватися природний газ іншого газовидобувного підприємства чи групи газовидобувних підприємств);</w:t>
            </w:r>
          </w:p>
          <w:p w:rsidR="00ED19B6" w:rsidRDefault="0068294B" w:rsidP="0068294B">
            <w:pPr>
              <w:spacing w:line="216" w:lineRule="auto"/>
              <w:ind w:firstLine="709"/>
              <w:jc w:val="both"/>
              <w:rPr>
                <w:rFonts w:ascii="Times New Roman" w:hAnsi="Times New Roman" w:cs="Times New Roman"/>
                <w:b/>
                <w:color w:val="000000" w:themeColor="text1"/>
                <w:sz w:val="24"/>
                <w:szCs w:val="24"/>
              </w:rPr>
            </w:pPr>
            <w:r w:rsidRPr="00910165">
              <w:rPr>
                <w:rFonts w:ascii="Times New Roman" w:hAnsi="Times New Roman" w:cs="Times New Roman"/>
                <w:b/>
                <w:color w:val="000000" w:themeColor="text1"/>
                <w:sz w:val="24"/>
                <w:szCs w:val="24"/>
              </w:rPr>
              <w:t>віртуальної точки виходу до газорозподільних систем та/або віртуальної точки виходу до суміжного газовидобувного підприємства;</w:t>
            </w:r>
          </w:p>
          <w:p w:rsidR="00910165" w:rsidRPr="00D86447" w:rsidRDefault="00910165" w:rsidP="0068294B">
            <w:pPr>
              <w:spacing w:line="216" w:lineRule="auto"/>
              <w:ind w:firstLine="709"/>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w:t>
            </w:r>
          </w:p>
        </w:tc>
      </w:tr>
      <w:tr w:rsidR="0047565F" w:rsidRPr="00D86447" w:rsidTr="00ED19B6">
        <w:tc>
          <w:tcPr>
            <w:tcW w:w="7564" w:type="dxa"/>
          </w:tcPr>
          <w:p w:rsidR="0047565F" w:rsidRPr="00D86447" w:rsidRDefault="00420C2B" w:rsidP="00422F21">
            <w:pPr>
              <w:spacing w:line="216" w:lineRule="auto"/>
              <w:jc w:val="center"/>
              <w:rPr>
                <w:rFonts w:ascii="Times New Roman" w:hAnsi="Times New Roman" w:cs="Times New Roman"/>
                <w:sz w:val="24"/>
                <w:szCs w:val="24"/>
              </w:rPr>
            </w:pPr>
            <w:r w:rsidRPr="00D86447">
              <w:rPr>
                <w:rFonts w:ascii="Times New Roman" w:hAnsi="Times New Roman" w:cs="Times New Roman"/>
                <w:b/>
                <w:bCs/>
                <w:sz w:val="24"/>
                <w:szCs w:val="24"/>
                <w:shd w:val="clear" w:color="auto" w:fill="FFFFFF"/>
              </w:rPr>
              <w:t>IX. Розподіл потужності</w:t>
            </w:r>
          </w:p>
        </w:tc>
        <w:tc>
          <w:tcPr>
            <w:tcW w:w="7564" w:type="dxa"/>
          </w:tcPr>
          <w:p w:rsidR="0047565F" w:rsidRPr="00D86447" w:rsidRDefault="00420C2B" w:rsidP="00910165">
            <w:pPr>
              <w:spacing w:line="216" w:lineRule="auto"/>
              <w:jc w:val="center"/>
              <w:rPr>
                <w:rFonts w:ascii="Times New Roman" w:hAnsi="Times New Roman" w:cs="Times New Roman"/>
                <w:sz w:val="24"/>
                <w:szCs w:val="24"/>
              </w:rPr>
            </w:pPr>
            <w:r w:rsidRPr="00D86447">
              <w:rPr>
                <w:rFonts w:ascii="Times New Roman" w:hAnsi="Times New Roman" w:cs="Times New Roman"/>
                <w:b/>
                <w:bCs/>
                <w:sz w:val="24"/>
                <w:szCs w:val="24"/>
                <w:shd w:val="clear" w:color="auto" w:fill="FFFFFF"/>
              </w:rPr>
              <w:t>IX. Розподіл потужності</w:t>
            </w:r>
          </w:p>
        </w:tc>
      </w:tr>
      <w:tr w:rsidR="0047565F" w:rsidRPr="00D86447" w:rsidTr="00316BA2">
        <w:tc>
          <w:tcPr>
            <w:tcW w:w="7564" w:type="dxa"/>
            <w:tcBorders>
              <w:bottom w:val="single" w:sz="4" w:space="0" w:color="auto"/>
            </w:tcBorders>
          </w:tcPr>
          <w:p w:rsidR="0047565F" w:rsidRPr="00D86447" w:rsidRDefault="00420C2B" w:rsidP="00422F21">
            <w:pPr>
              <w:spacing w:line="216" w:lineRule="auto"/>
              <w:jc w:val="center"/>
              <w:rPr>
                <w:rFonts w:ascii="Times New Roman" w:hAnsi="Times New Roman" w:cs="Times New Roman"/>
                <w:sz w:val="24"/>
                <w:szCs w:val="24"/>
              </w:rPr>
            </w:pPr>
            <w:r w:rsidRPr="00D86447">
              <w:rPr>
                <w:rFonts w:ascii="Times New Roman" w:hAnsi="Times New Roman" w:cs="Times New Roman"/>
                <w:b/>
                <w:bCs/>
                <w:sz w:val="24"/>
                <w:szCs w:val="24"/>
                <w:shd w:val="clear" w:color="auto" w:fill="FFFFFF"/>
              </w:rPr>
              <w:t>1. Загальні умови</w:t>
            </w:r>
          </w:p>
        </w:tc>
        <w:tc>
          <w:tcPr>
            <w:tcW w:w="7564" w:type="dxa"/>
            <w:tcBorders>
              <w:bottom w:val="single" w:sz="4" w:space="0" w:color="auto"/>
            </w:tcBorders>
          </w:tcPr>
          <w:p w:rsidR="0047565F" w:rsidRPr="00D86447" w:rsidRDefault="00420C2B" w:rsidP="00422F21">
            <w:pPr>
              <w:spacing w:line="216" w:lineRule="auto"/>
              <w:jc w:val="center"/>
              <w:rPr>
                <w:rFonts w:ascii="Times New Roman" w:hAnsi="Times New Roman" w:cs="Times New Roman"/>
                <w:sz w:val="24"/>
                <w:szCs w:val="24"/>
              </w:rPr>
            </w:pPr>
            <w:r w:rsidRPr="00D86447">
              <w:rPr>
                <w:rFonts w:ascii="Times New Roman" w:hAnsi="Times New Roman" w:cs="Times New Roman"/>
                <w:b/>
                <w:bCs/>
                <w:sz w:val="24"/>
                <w:szCs w:val="24"/>
                <w:shd w:val="clear" w:color="auto" w:fill="FFFFFF"/>
              </w:rPr>
              <w:t>1. Загальні умови</w:t>
            </w:r>
          </w:p>
        </w:tc>
      </w:tr>
      <w:tr w:rsidR="0047565F" w:rsidRPr="00D86447" w:rsidTr="00316BA2">
        <w:tc>
          <w:tcPr>
            <w:tcW w:w="7564" w:type="dxa"/>
            <w:tcBorders>
              <w:top w:val="single" w:sz="4" w:space="0" w:color="auto"/>
              <w:left w:val="single" w:sz="4" w:space="0" w:color="auto"/>
              <w:bottom w:val="single" w:sz="4" w:space="0" w:color="auto"/>
              <w:right w:val="single" w:sz="4" w:space="0" w:color="auto"/>
            </w:tcBorders>
          </w:tcPr>
          <w:p w:rsidR="0047565F" w:rsidRPr="00910165" w:rsidRDefault="0047565F" w:rsidP="00976C3B">
            <w:pPr>
              <w:spacing w:line="216" w:lineRule="auto"/>
              <w:ind w:firstLine="709"/>
              <w:jc w:val="both"/>
              <w:rPr>
                <w:rFonts w:ascii="Times New Roman" w:hAnsi="Times New Roman" w:cs="Times New Roman"/>
                <w:sz w:val="24"/>
                <w:szCs w:val="24"/>
              </w:rPr>
            </w:pPr>
            <w:r w:rsidRPr="00910165">
              <w:rPr>
                <w:rFonts w:ascii="Times New Roman" w:hAnsi="Times New Roman" w:cs="Times New Roman"/>
                <w:sz w:val="24"/>
                <w:szCs w:val="24"/>
              </w:rPr>
              <w:t>1</w:t>
            </w:r>
            <w:r w:rsidR="00C36233" w:rsidRPr="00910165">
              <w:rPr>
                <w:rFonts w:ascii="Times New Roman" w:hAnsi="Times New Roman" w:cs="Times New Roman"/>
                <w:sz w:val="24"/>
                <w:szCs w:val="24"/>
                <w:lang w:val="en-US"/>
              </w:rPr>
              <w:t>0</w:t>
            </w:r>
            <w:r w:rsidRPr="00910165">
              <w:rPr>
                <w:rFonts w:ascii="Times New Roman" w:hAnsi="Times New Roman" w:cs="Times New Roman"/>
                <w:sz w:val="24"/>
                <w:szCs w:val="24"/>
              </w:rPr>
              <w:t xml:space="preserve">. </w:t>
            </w:r>
            <w:r w:rsidR="00976C3B" w:rsidRPr="00910165">
              <w:rPr>
                <w:rFonts w:ascii="Times New Roman" w:hAnsi="Times New Roman" w:cs="Times New Roman"/>
                <w:sz w:val="24"/>
                <w:szCs w:val="24"/>
              </w:rPr>
              <w:t>…</w:t>
            </w:r>
          </w:p>
          <w:p w:rsidR="00C36233" w:rsidRPr="00910165" w:rsidRDefault="00C36233" w:rsidP="00770C34">
            <w:pPr>
              <w:shd w:val="clear" w:color="auto" w:fill="FFFFFF"/>
              <w:spacing w:line="240" w:lineRule="auto"/>
              <w:ind w:firstLine="709"/>
              <w:jc w:val="both"/>
              <w:rPr>
                <w:rFonts w:ascii="Times New Roman" w:eastAsia="Times New Roman" w:hAnsi="Times New Roman" w:cs="Times New Roman"/>
                <w:sz w:val="24"/>
                <w:szCs w:val="24"/>
              </w:rPr>
            </w:pPr>
            <w:bookmarkStart w:id="1" w:name="n3783"/>
            <w:bookmarkEnd w:id="1"/>
            <w:r w:rsidRPr="00910165">
              <w:rPr>
                <w:rFonts w:ascii="Times New Roman" w:eastAsia="Times New Roman" w:hAnsi="Times New Roman" w:cs="Times New Roman"/>
                <w:sz w:val="24"/>
                <w:szCs w:val="24"/>
              </w:rPr>
              <w:t>Оператори газорозподільних систем для забезпечення транспортування природного газу, необхідного для покриття власних виробничо-технологічних витрат та втрат, замовляють потужність віртуальної точки виходу до газорозподільної системи відповідно до вимог цього Кодексу.</w:t>
            </w:r>
          </w:p>
          <w:p w:rsidR="00C36233" w:rsidRPr="00910165" w:rsidRDefault="00C36233" w:rsidP="00770C34">
            <w:pPr>
              <w:shd w:val="clear" w:color="auto" w:fill="FFFFFF"/>
              <w:spacing w:line="240" w:lineRule="auto"/>
              <w:ind w:firstLine="709"/>
              <w:jc w:val="both"/>
              <w:rPr>
                <w:rFonts w:ascii="Times New Roman" w:eastAsia="Times New Roman" w:hAnsi="Times New Roman" w:cs="Times New Roman"/>
                <w:sz w:val="24"/>
                <w:szCs w:val="24"/>
              </w:rPr>
            </w:pPr>
            <w:bookmarkStart w:id="2" w:name="n2342"/>
            <w:bookmarkEnd w:id="2"/>
            <w:r w:rsidRPr="00910165">
              <w:rPr>
                <w:rFonts w:ascii="Times New Roman" w:eastAsia="Times New Roman" w:hAnsi="Times New Roman" w:cs="Times New Roman"/>
                <w:sz w:val="24"/>
                <w:szCs w:val="24"/>
              </w:rPr>
              <w:t>Загальна потужність кожної віртуальної точки виходу до газорозподільної системи дорівнює сумі технічних потужностей усіх фізичних точок виходу до газорозподільної системи, які вона об’єднує.</w:t>
            </w:r>
          </w:p>
          <w:p w:rsidR="0047565F" w:rsidRPr="00910165" w:rsidRDefault="00976C3B" w:rsidP="00770C34">
            <w:pPr>
              <w:shd w:val="clear" w:color="auto" w:fill="FFFFFF"/>
              <w:spacing w:line="216" w:lineRule="auto"/>
              <w:ind w:firstLine="709"/>
              <w:jc w:val="both"/>
              <w:rPr>
                <w:rFonts w:ascii="Times New Roman" w:eastAsia="Times New Roman" w:hAnsi="Times New Roman" w:cs="Times New Roman"/>
                <w:sz w:val="24"/>
                <w:szCs w:val="24"/>
              </w:rPr>
            </w:pPr>
            <w:r w:rsidRPr="00910165">
              <w:rPr>
                <w:rFonts w:ascii="Times New Roman" w:eastAsia="Times New Roman" w:hAnsi="Times New Roman" w:cs="Times New Roman"/>
                <w:sz w:val="24"/>
                <w:szCs w:val="24"/>
              </w:rPr>
              <w:t>…</w:t>
            </w:r>
          </w:p>
          <w:p w:rsidR="0047565F" w:rsidRPr="00910165" w:rsidRDefault="0047565F" w:rsidP="00976C3B">
            <w:pPr>
              <w:spacing w:line="216" w:lineRule="auto"/>
              <w:ind w:firstLine="709"/>
              <w:jc w:val="both"/>
              <w:rPr>
                <w:rFonts w:ascii="Times New Roman" w:eastAsia="Times New Roman" w:hAnsi="Times New Roman" w:cs="Times New Roman"/>
                <w:b/>
                <w:sz w:val="24"/>
                <w:szCs w:val="24"/>
              </w:rPr>
            </w:pPr>
          </w:p>
        </w:tc>
        <w:tc>
          <w:tcPr>
            <w:tcW w:w="7564" w:type="dxa"/>
            <w:tcBorders>
              <w:top w:val="single" w:sz="4" w:space="0" w:color="auto"/>
              <w:left w:val="single" w:sz="4" w:space="0" w:color="auto"/>
              <w:bottom w:val="single" w:sz="4" w:space="0" w:color="auto"/>
              <w:right w:val="single" w:sz="4" w:space="0" w:color="auto"/>
            </w:tcBorders>
          </w:tcPr>
          <w:p w:rsidR="0047565F" w:rsidRPr="00910165" w:rsidRDefault="0047565F" w:rsidP="00976C3B">
            <w:pPr>
              <w:spacing w:line="216" w:lineRule="auto"/>
              <w:ind w:firstLine="709"/>
              <w:jc w:val="both"/>
              <w:rPr>
                <w:rFonts w:ascii="Times New Roman" w:hAnsi="Times New Roman" w:cs="Times New Roman"/>
                <w:sz w:val="24"/>
                <w:szCs w:val="24"/>
              </w:rPr>
            </w:pPr>
            <w:r w:rsidRPr="00910165">
              <w:rPr>
                <w:rFonts w:ascii="Times New Roman" w:hAnsi="Times New Roman" w:cs="Times New Roman"/>
                <w:sz w:val="24"/>
                <w:szCs w:val="24"/>
              </w:rPr>
              <w:lastRenderedPageBreak/>
              <w:t>1</w:t>
            </w:r>
            <w:r w:rsidR="00770C34" w:rsidRPr="00910165">
              <w:rPr>
                <w:rFonts w:ascii="Times New Roman" w:hAnsi="Times New Roman" w:cs="Times New Roman"/>
                <w:sz w:val="24"/>
                <w:szCs w:val="24"/>
              </w:rPr>
              <w:t>0</w:t>
            </w:r>
            <w:r w:rsidRPr="00910165">
              <w:rPr>
                <w:rFonts w:ascii="Times New Roman" w:hAnsi="Times New Roman" w:cs="Times New Roman"/>
                <w:sz w:val="24"/>
                <w:szCs w:val="24"/>
              </w:rPr>
              <w:t xml:space="preserve">. </w:t>
            </w:r>
            <w:r w:rsidR="00976C3B" w:rsidRPr="00910165">
              <w:rPr>
                <w:rFonts w:ascii="Times New Roman" w:hAnsi="Times New Roman" w:cs="Times New Roman"/>
                <w:sz w:val="24"/>
                <w:szCs w:val="24"/>
              </w:rPr>
              <w:t>…</w:t>
            </w:r>
          </w:p>
          <w:p w:rsidR="00C36233" w:rsidRPr="00910165" w:rsidRDefault="00C36233" w:rsidP="00770C34">
            <w:pPr>
              <w:shd w:val="clear" w:color="auto" w:fill="FFFFFF"/>
              <w:spacing w:line="240" w:lineRule="auto"/>
              <w:ind w:firstLine="709"/>
              <w:jc w:val="both"/>
              <w:rPr>
                <w:rFonts w:ascii="Times New Roman" w:eastAsia="Times New Roman" w:hAnsi="Times New Roman" w:cs="Times New Roman"/>
                <w:sz w:val="24"/>
                <w:szCs w:val="24"/>
              </w:rPr>
            </w:pPr>
            <w:r w:rsidRPr="00910165">
              <w:rPr>
                <w:rFonts w:ascii="Times New Roman" w:eastAsia="Times New Roman" w:hAnsi="Times New Roman" w:cs="Times New Roman"/>
                <w:sz w:val="24"/>
                <w:szCs w:val="24"/>
              </w:rPr>
              <w:t>Оператори газорозподільних систем для забезпечення транспортування природного газу, необхідного для покриття власних виробничо-технологічних витрат та втрат, замовляють потужність віртуальної точки виходу до газорозподільної системи відповідно до вимог цього Кодексу.</w:t>
            </w:r>
          </w:p>
          <w:p w:rsidR="00C36233" w:rsidRPr="00910165" w:rsidRDefault="00C36233" w:rsidP="00770C34">
            <w:pPr>
              <w:shd w:val="clear" w:color="auto" w:fill="FFFFFF"/>
              <w:spacing w:line="240" w:lineRule="auto"/>
              <w:ind w:firstLine="709"/>
              <w:jc w:val="both"/>
              <w:rPr>
                <w:rFonts w:ascii="Times New Roman" w:eastAsia="Times New Roman" w:hAnsi="Times New Roman" w:cs="Times New Roman"/>
                <w:sz w:val="24"/>
                <w:szCs w:val="24"/>
              </w:rPr>
            </w:pPr>
            <w:r w:rsidRPr="00910165">
              <w:rPr>
                <w:rFonts w:ascii="Times New Roman" w:eastAsia="Times New Roman" w:hAnsi="Times New Roman" w:cs="Times New Roman"/>
                <w:b/>
                <w:strike/>
                <w:sz w:val="24"/>
                <w:szCs w:val="24"/>
              </w:rPr>
              <w:t>Загальна потужність кожної віртуальної точки виходу до газорозподільної системи дорівнює сумі технічних потужностей усіх фізичних точок виходу до газорозподільної</w:t>
            </w:r>
            <w:r w:rsidRPr="00910165">
              <w:rPr>
                <w:rFonts w:ascii="Times New Roman" w:eastAsia="Times New Roman" w:hAnsi="Times New Roman" w:cs="Times New Roman"/>
                <w:sz w:val="24"/>
                <w:szCs w:val="24"/>
              </w:rPr>
              <w:t xml:space="preserve"> системи, які вона </w:t>
            </w:r>
            <w:r w:rsidRPr="00910165">
              <w:rPr>
                <w:rFonts w:ascii="Times New Roman" w:eastAsia="Times New Roman" w:hAnsi="Times New Roman" w:cs="Times New Roman"/>
                <w:b/>
                <w:strike/>
                <w:sz w:val="24"/>
                <w:szCs w:val="24"/>
              </w:rPr>
              <w:t>об’єднує.</w:t>
            </w:r>
          </w:p>
          <w:p w:rsidR="0047565F" w:rsidRPr="00910165" w:rsidRDefault="00976C3B" w:rsidP="00422F21">
            <w:pPr>
              <w:shd w:val="clear" w:color="auto" w:fill="FFFFFF"/>
              <w:spacing w:line="216" w:lineRule="auto"/>
              <w:ind w:firstLine="709"/>
              <w:jc w:val="both"/>
              <w:rPr>
                <w:rFonts w:ascii="Times New Roman" w:eastAsia="Times New Roman" w:hAnsi="Times New Roman" w:cs="Times New Roman"/>
                <w:sz w:val="24"/>
                <w:szCs w:val="24"/>
              </w:rPr>
            </w:pPr>
            <w:r w:rsidRPr="00910165">
              <w:rPr>
                <w:rFonts w:ascii="Times New Roman" w:eastAsia="Times New Roman" w:hAnsi="Times New Roman" w:cs="Times New Roman"/>
                <w:sz w:val="24"/>
                <w:szCs w:val="24"/>
              </w:rPr>
              <w:lastRenderedPageBreak/>
              <w:t>…</w:t>
            </w:r>
          </w:p>
          <w:p w:rsidR="0047565F" w:rsidRPr="00910165" w:rsidRDefault="0047565F" w:rsidP="00976C3B">
            <w:pPr>
              <w:spacing w:line="216" w:lineRule="auto"/>
              <w:ind w:firstLine="709"/>
              <w:jc w:val="both"/>
              <w:rPr>
                <w:rFonts w:ascii="Times New Roman" w:eastAsia="Times New Roman" w:hAnsi="Times New Roman" w:cs="Times New Roman"/>
                <w:b/>
                <w:sz w:val="24"/>
                <w:szCs w:val="24"/>
              </w:rPr>
            </w:pPr>
          </w:p>
        </w:tc>
      </w:tr>
      <w:tr w:rsidR="00976C3B" w:rsidRPr="00D86447" w:rsidTr="00316BA2">
        <w:tc>
          <w:tcPr>
            <w:tcW w:w="7564" w:type="dxa"/>
            <w:tcBorders>
              <w:top w:val="single" w:sz="4" w:space="0" w:color="auto"/>
              <w:left w:val="single" w:sz="4" w:space="0" w:color="auto"/>
              <w:bottom w:val="single" w:sz="4" w:space="0" w:color="auto"/>
              <w:right w:val="single" w:sz="4" w:space="0" w:color="auto"/>
            </w:tcBorders>
          </w:tcPr>
          <w:p w:rsidR="00976C3B" w:rsidRPr="00910165" w:rsidRDefault="00316BA2" w:rsidP="00C50845">
            <w:pPr>
              <w:spacing w:line="216" w:lineRule="auto"/>
              <w:ind w:firstLine="709"/>
              <w:jc w:val="center"/>
              <w:rPr>
                <w:rFonts w:ascii="Times New Roman" w:hAnsi="Times New Roman" w:cs="Times New Roman"/>
                <w:sz w:val="24"/>
                <w:szCs w:val="24"/>
              </w:rPr>
            </w:pPr>
            <w:r w:rsidRPr="00910165">
              <w:rPr>
                <w:rFonts w:ascii="Times New Roman" w:hAnsi="Times New Roman" w:cs="Times New Roman"/>
                <w:b/>
                <w:bCs/>
                <w:sz w:val="24"/>
                <w:szCs w:val="24"/>
                <w:shd w:val="clear" w:color="auto" w:fill="FFFFFF"/>
              </w:rPr>
              <w:lastRenderedPageBreak/>
              <w:t>8. Потужність з обмеженнями</w:t>
            </w:r>
          </w:p>
        </w:tc>
        <w:tc>
          <w:tcPr>
            <w:tcW w:w="7564" w:type="dxa"/>
            <w:tcBorders>
              <w:top w:val="single" w:sz="4" w:space="0" w:color="auto"/>
              <w:left w:val="single" w:sz="4" w:space="0" w:color="auto"/>
              <w:bottom w:val="single" w:sz="4" w:space="0" w:color="auto"/>
              <w:right w:val="single" w:sz="4" w:space="0" w:color="auto"/>
            </w:tcBorders>
          </w:tcPr>
          <w:p w:rsidR="00976C3B" w:rsidRPr="00910165" w:rsidRDefault="00316BA2" w:rsidP="00C50845">
            <w:pPr>
              <w:spacing w:line="216" w:lineRule="auto"/>
              <w:ind w:firstLine="709"/>
              <w:jc w:val="center"/>
              <w:rPr>
                <w:rFonts w:ascii="Times New Roman" w:hAnsi="Times New Roman" w:cs="Times New Roman"/>
                <w:sz w:val="24"/>
                <w:szCs w:val="24"/>
              </w:rPr>
            </w:pPr>
            <w:r w:rsidRPr="00910165">
              <w:rPr>
                <w:rFonts w:ascii="Times New Roman" w:hAnsi="Times New Roman" w:cs="Times New Roman"/>
                <w:b/>
                <w:bCs/>
                <w:sz w:val="24"/>
                <w:szCs w:val="24"/>
                <w:shd w:val="clear" w:color="auto" w:fill="FFFFFF"/>
              </w:rPr>
              <w:t>8. Потужність з обмеженнями</w:t>
            </w:r>
          </w:p>
        </w:tc>
      </w:tr>
      <w:tr w:rsidR="0047565F" w:rsidRPr="00D86447" w:rsidTr="00C74DAB">
        <w:tc>
          <w:tcPr>
            <w:tcW w:w="7564" w:type="dxa"/>
            <w:tcBorders>
              <w:top w:val="single" w:sz="4" w:space="0" w:color="auto"/>
              <w:bottom w:val="nil"/>
            </w:tcBorders>
          </w:tcPr>
          <w:p w:rsidR="00976C3B" w:rsidRPr="00910165" w:rsidRDefault="004565D3" w:rsidP="00527563">
            <w:pPr>
              <w:shd w:val="clear" w:color="auto" w:fill="FFFFFF"/>
              <w:spacing w:line="240" w:lineRule="auto"/>
              <w:ind w:firstLine="709"/>
              <w:jc w:val="both"/>
              <w:rPr>
                <w:rFonts w:ascii="Times New Roman" w:eastAsia="Times New Roman" w:hAnsi="Times New Roman" w:cs="Times New Roman"/>
                <w:sz w:val="24"/>
                <w:szCs w:val="24"/>
              </w:rPr>
            </w:pPr>
            <w:r w:rsidRPr="00910165">
              <w:rPr>
                <w:rFonts w:ascii="Times New Roman" w:eastAsia="Times New Roman" w:hAnsi="Times New Roman" w:cs="Times New Roman"/>
                <w:sz w:val="24"/>
                <w:szCs w:val="24"/>
              </w:rPr>
              <w:t>1. …</w:t>
            </w:r>
          </w:p>
          <w:p w:rsidR="004565D3" w:rsidRPr="00910165" w:rsidRDefault="004565D3" w:rsidP="00527563">
            <w:pPr>
              <w:shd w:val="clear" w:color="auto" w:fill="FFFFFF"/>
              <w:spacing w:line="240" w:lineRule="auto"/>
              <w:ind w:firstLine="709"/>
              <w:jc w:val="both"/>
              <w:rPr>
                <w:rFonts w:ascii="Times New Roman" w:eastAsia="Times New Roman" w:hAnsi="Times New Roman" w:cs="Times New Roman"/>
                <w:sz w:val="24"/>
                <w:szCs w:val="24"/>
              </w:rPr>
            </w:pPr>
            <w:r w:rsidRPr="00910165">
              <w:rPr>
                <w:rFonts w:ascii="Times New Roman" w:eastAsia="Times New Roman" w:hAnsi="Times New Roman" w:cs="Times New Roman"/>
                <w:sz w:val="24"/>
                <w:szCs w:val="24"/>
              </w:rPr>
              <w:t>2) право одночасного користування потужністю точки входу/виходу на міждержавному з’єднанні та точки виходу/входу до/з газосховища чи групи газосховищ з урахуванням обмежень, встановлених цією главою. Право одночасного користування потужністю точки виходу на міждержавному з’єднанні та точки входу з газосховища чи групи газосховищ може бути надане замовнику послуг транспортування виключно на обсяги природного газу, які були подані на точку виходу до газосховища чи групи газосховищ на умовах користування потужністю з обмеженнями.</w:t>
            </w:r>
          </w:p>
          <w:p w:rsidR="00A6250F" w:rsidRPr="00910165" w:rsidRDefault="00A6250F" w:rsidP="00527563">
            <w:pPr>
              <w:shd w:val="clear" w:color="auto" w:fill="FFFFFF"/>
              <w:spacing w:line="240" w:lineRule="auto"/>
              <w:ind w:firstLine="709"/>
              <w:jc w:val="both"/>
              <w:rPr>
                <w:rFonts w:ascii="Times New Roman" w:eastAsia="Times New Roman" w:hAnsi="Times New Roman" w:cs="Times New Roman"/>
                <w:b/>
                <w:sz w:val="24"/>
                <w:szCs w:val="24"/>
              </w:rPr>
            </w:pPr>
          </w:p>
          <w:p w:rsidR="00527563" w:rsidRPr="00910165" w:rsidRDefault="00527563" w:rsidP="00527563">
            <w:pPr>
              <w:shd w:val="clear" w:color="auto" w:fill="FFFFFF"/>
              <w:spacing w:line="240" w:lineRule="auto"/>
              <w:ind w:firstLine="709"/>
              <w:jc w:val="both"/>
              <w:rPr>
                <w:rFonts w:ascii="Times New Roman" w:eastAsia="Times New Roman" w:hAnsi="Times New Roman" w:cs="Times New Roman"/>
                <w:b/>
                <w:sz w:val="24"/>
                <w:szCs w:val="24"/>
              </w:rPr>
            </w:pPr>
            <w:r w:rsidRPr="00910165">
              <w:rPr>
                <w:rFonts w:ascii="Times New Roman" w:eastAsia="Times New Roman" w:hAnsi="Times New Roman" w:cs="Times New Roman"/>
                <w:b/>
                <w:sz w:val="24"/>
                <w:szCs w:val="24"/>
              </w:rPr>
              <w:t xml:space="preserve">Норма відсутня </w:t>
            </w:r>
          </w:p>
          <w:p w:rsidR="00A6250F" w:rsidRPr="00910165" w:rsidRDefault="00A6250F" w:rsidP="00527563">
            <w:pPr>
              <w:shd w:val="clear" w:color="auto" w:fill="FFFFFF"/>
              <w:spacing w:line="240" w:lineRule="auto"/>
              <w:ind w:firstLine="709"/>
              <w:jc w:val="both"/>
              <w:rPr>
                <w:rFonts w:ascii="Times New Roman" w:eastAsia="Times New Roman" w:hAnsi="Times New Roman" w:cs="Times New Roman"/>
                <w:b/>
                <w:sz w:val="24"/>
                <w:szCs w:val="24"/>
              </w:rPr>
            </w:pPr>
          </w:p>
          <w:p w:rsidR="00A6250F" w:rsidRPr="00910165" w:rsidRDefault="00A6250F" w:rsidP="00527563">
            <w:pPr>
              <w:shd w:val="clear" w:color="auto" w:fill="FFFFFF"/>
              <w:spacing w:line="240" w:lineRule="auto"/>
              <w:ind w:firstLine="709"/>
              <w:jc w:val="both"/>
              <w:rPr>
                <w:rFonts w:ascii="Times New Roman" w:eastAsia="Times New Roman" w:hAnsi="Times New Roman" w:cs="Times New Roman"/>
                <w:b/>
                <w:sz w:val="24"/>
                <w:szCs w:val="24"/>
              </w:rPr>
            </w:pPr>
          </w:p>
          <w:p w:rsidR="00A6250F" w:rsidRPr="00910165" w:rsidRDefault="00A6250F" w:rsidP="00527563">
            <w:pPr>
              <w:shd w:val="clear" w:color="auto" w:fill="FFFFFF"/>
              <w:spacing w:line="240" w:lineRule="auto"/>
              <w:ind w:firstLine="709"/>
              <w:jc w:val="both"/>
              <w:rPr>
                <w:rFonts w:ascii="Times New Roman" w:eastAsia="Times New Roman" w:hAnsi="Times New Roman" w:cs="Times New Roman"/>
                <w:b/>
                <w:sz w:val="24"/>
                <w:szCs w:val="24"/>
              </w:rPr>
            </w:pPr>
          </w:p>
          <w:p w:rsidR="00A6250F" w:rsidRPr="00910165" w:rsidRDefault="00A6250F" w:rsidP="00527563">
            <w:pPr>
              <w:shd w:val="clear" w:color="auto" w:fill="FFFFFF"/>
              <w:spacing w:line="240" w:lineRule="auto"/>
              <w:ind w:firstLine="709"/>
              <w:jc w:val="both"/>
              <w:rPr>
                <w:rFonts w:ascii="Times New Roman" w:eastAsia="Times New Roman" w:hAnsi="Times New Roman" w:cs="Times New Roman"/>
                <w:b/>
                <w:sz w:val="24"/>
                <w:szCs w:val="24"/>
              </w:rPr>
            </w:pPr>
          </w:p>
          <w:p w:rsidR="00A6250F" w:rsidRPr="00910165" w:rsidRDefault="00A6250F" w:rsidP="00527563">
            <w:pPr>
              <w:shd w:val="clear" w:color="auto" w:fill="FFFFFF"/>
              <w:spacing w:line="240" w:lineRule="auto"/>
              <w:ind w:firstLine="709"/>
              <w:jc w:val="both"/>
              <w:rPr>
                <w:rFonts w:ascii="Times New Roman" w:eastAsia="Times New Roman" w:hAnsi="Times New Roman" w:cs="Times New Roman"/>
                <w:b/>
                <w:sz w:val="24"/>
                <w:szCs w:val="24"/>
              </w:rPr>
            </w:pPr>
          </w:p>
          <w:p w:rsidR="00A6250F" w:rsidRPr="00910165" w:rsidRDefault="00A6250F" w:rsidP="00527563">
            <w:pPr>
              <w:shd w:val="clear" w:color="auto" w:fill="FFFFFF"/>
              <w:spacing w:line="240" w:lineRule="auto"/>
              <w:ind w:firstLine="709"/>
              <w:jc w:val="both"/>
              <w:rPr>
                <w:rFonts w:ascii="Times New Roman" w:eastAsia="Times New Roman" w:hAnsi="Times New Roman" w:cs="Times New Roman"/>
                <w:b/>
                <w:sz w:val="24"/>
                <w:szCs w:val="24"/>
              </w:rPr>
            </w:pPr>
          </w:p>
          <w:p w:rsidR="00A6250F" w:rsidRPr="00910165" w:rsidRDefault="00A6250F" w:rsidP="00A6250F">
            <w:pPr>
              <w:shd w:val="clear" w:color="auto" w:fill="FFFFFF"/>
              <w:spacing w:line="240" w:lineRule="auto"/>
              <w:ind w:firstLine="709"/>
              <w:jc w:val="both"/>
              <w:rPr>
                <w:rFonts w:ascii="Times New Roman" w:eastAsia="Times New Roman" w:hAnsi="Times New Roman" w:cs="Times New Roman"/>
                <w:b/>
                <w:sz w:val="24"/>
                <w:szCs w:val="24"/>
              </w:rPr>
            </w:pPr>
          </w:p>
          <w:p w:rsidR="00A6250F" w:rsidRPr="00910165" w:rsidRDefault="00A6250F" w:rsidP="00A6250F">
            <w:pPr>
              <w:shd w:val="clear" w:color="auto" w:fill="FFFFFF"/>
              <w:spacing w:line="240" w:lineRule="auto"/>
              <w:jc w:val="both"/>
              <w:rPr>
                <w:rFonts w:ascii="Times New Roman" w:eastAsia="Times New Roman" w:hAnsi="Times New Roman" w:cs="Times New Roman"/>
                <w:b/>
                <w:sz w:val="24"/>
                <w:szCs w:val="24"/>
              </w:rPr>
            </w:pPr>
          </w:p>
        </w:tc>
        <w:tc>
          <w:tcPr>
            <w:tcW w:w="7564" w:type="dxa"/>
            <w:tcBorders>
              <w:top w:val="single" w:sz="4" w:space="0" w:color="auto"/>
              <w:bottom w:val="nil"/>
            </w:tcBorders>
          </w:tcPr>
          <w:p w:rsidR="00527563" w:rsidRPr="00910165" w:rsidRDefault="00527563" w:rsidP="00527563">
            <w:pPr>
              <w:shd w:val="clear" w:color="auto" w:fill="FFFFFF"/>
              <w:spacing w:line="240" w:lineRule="auto"/>
              <w:ind w:firstLine="709"/>
              <w:jc w:val="both"/>
              <w:rPr>
                <w:rFonts w:ascii="Times New Roman" w:eastAsia="Times New Roman" w:hAnsi="Times New Roman" w:cs="Times New Roman"/>
                <w:sz w:val="24"/>
                <w:szCs w:val="24"/>
              </w:rPr>
            </w:pPr>
            <w:r w:rsidRPr="00910165">
              <w:rPr>
                <w:rFonts w:ascii="Times New Roman" w:eastAsia="Times New Roman" w:hAnsi="Times New Roman" w:cs="Times New Roman"/>
                <w:sz w:val="24"/>
                <w:szCs w:val="24"/>
              </w:rPr>
              <w:t>1. …</w:t>
            </w:r>
          </w:p>
          <w:p w:rsidR="0047565F" w:rsidRPr="00910165" w:rsidRDefault="00527563" w:rsidP="00B203B3">
            <w:pPr>
              <w:spacing w:line="240" w:lineRule="auto"/>
              <w:ind w:firstLine="709"/>
              <w:jc w:val="both"/>
              <w:rPr>
                <w:rFonts w:ascii="Times New Roman" w:eastAsia="Times New Roman" w:hAnsi="Times New Roman" w:cs="Times New Roman"/>
                <w:sz w:val="24"/>
                <w:szCs w:val="24"/>
              </w:rPr>
            </w:pPr>
            <w:r w:rsidRPr="00910165">
              <w:rPr>
                <w:rFonts w:ascii="Times New Roman" w:eastAsia="Times New Roman" w:hAnsi="Times New Roman" w:cs="Times New Roman"/>
                <w:sz w:val="24"/>
                <w:szCs w:val="24"/>
              </w:rPr>
              <w:t>2) право одночасного користування потужністю точки входу/виходу на міждержавному з’єднанні та точки виходу/входу до/з газосховища чи групи газосховищ з урахуванням обмежень, встановлених цією главою. Право одночасного користування потужністю точки виходу на міждержавному з’єднанні та точки входу з газосховища чи групи газосховищ може бути надане замовнику послуг транспортування виключно на обсяги природного газу, які були подані на точку виходу до газосховища чи групи газосховищ на умовах користування потужністю з обмеженнями.</w:t>
            </w:r>
          </w:p>
          <w:p w:rsidR="00B203B3" w:rsidRPr="00910165" w:rsidRDefault="00B203B3" w:rsidP="00B203B3">
            <w:pPr>
              <w:spacing w:line="240" w:lineRule="auto"/>
              <w:ind w:firstLine="709"/>
              <w:jc w:val="both"/>
              <w:rPr>
                <w:rFonts w:ascii="Times New Roman" w:eastAsia="Times New Roman" w:hAnsi="Times New Roman" w:cs="Times New Roman"/>
                <w:b/>
                <w:sz w:val="24"/>
                <w:szCs w:val="24"/>
              </w:rPr>
            </w:pPr>
            <w:r w:rsidRPr="00910165">
              <w:rPr>
                <w:rFonts w:ascii="Times New Roman" w:hAnsi="Times New Roman" w:cs="Times New Roman"/>
                <w:b/>
                <w:sz w:val="24"/>
                <w:szCs w:val="24"/>
              </w:rPr>
              <w:t>3</w:t>
            </w:r>
            <w:r w:rsidRPr="00910165">
              <w:rPr>
                <w:rFonts w:ascii="Times New Roman" w:eastAsia="Times New Roman" w:hAnsi="Times New Roman" w:cs="Times New Roman"/>
                <w:b/>
                <w:sz w:val="24"/>
                <w:szCs w:val="24"/>
              </w:rPr>
              <w:t>) потужність з обмеженнями для постачання видобутого природного газу, що передбачає право одночасного користування потужністю таких двох віртуальних точок входу/виходу, приєднаних в межах однієї газорозподільної зони:</w:t>
            </w:r>
          </w:p>
          <w:p w:rsidR="00B203B3" w:rsidRPr="00910165" w:rsidRDefault="00B203B3" w:rsidP="00B203B3">
            <w:pPr>
              <w:spacing w:line="240" w:lineRule="auto"/>
              <w:ind w:firstLine="709"/>
              <w:jc w:val="both"/>
              <w:rPr>
                <w:rFonts w:ascii="Times New Roman" w:eastAsia="Times New Roman" w:hAnsi="Times New Roman" w:cs="Times New Roman"/>
                <w:b/>
                <w:sz w:val="24"/>
                <w:szCs w:val="24"/>
              </w:rPr>
            </w:pPr>
            <w:r w:rsidRPr="00910165">
              <w:rPr>
                <w:rFonts w:ascii="Times New Roman" w:eastAsia="Times New Roman" w:hAnsi="Times New Roman" w:cs="Times New Roman"/>
                <w:b/>
                <w:sz w:val="24"/>
                <w:szCs w:val="24"/>
              </w:rPr>
              <w:t>віртуальної точки входу від суміжних газовидобувних підприємств (через мережі яких може передаватися природний газ іншого газовидобувного підприємства чи групи газовидобувних підприємств);</w:t>
            </w:r>
          </w:p>
          <w:p w:rsidR="00A6250F" w:rsidRPr="00910165" w:rsidRDefault="00B203B3" w:rsidP="00C74DAB">
            <w:pPr>
              <w:spacing w:line="240" w:lineRule="auto"/>
              <w:ind w:firstLine="709"/>
              <w:jc w:val="both"/>
              <w:rPr>
                <w:rFonts w:ascii="Times New Roman" w:eastAsia="Times New Roman" w:hAnsi="Times New Roman" w:cs="Times New Roman"/>
                <w:b/>
                <w:sz w:val="24"/>
                <w:szCs w:val="24"/>
              </w:rPr>
            </w:pPr>
            <w:r w:rsidRPr="00910165">
              <w:rPr>
                <w:rFonts w:ascii="Times New Roman" w:eastAsia="Times New Roman" w:hAnsi="Times New Roman" w:cs="Times New Roman"/>
                <w:b/>
                <w:sz w:val="24"/>
                <w:szCs w:val="24"/>
              </w:rPr>
              <w:t>віртуальної точки виходу до газорозподільних систем та/або віртуальної точки виходу до суміжного газовидобувного підприємства.</w:t>
            </w:r>
          </w:p>
        </w:tc>
      </w:tr>
      <w:tr w:rsidR="00316BA2" w:rsidRPr="00D86447" w:rsidTr="00C74DAB">
        <w:tc>
          <w:tcPr>
            <w:tcW w:w="7564" w:type="dxa"/>
            <w:tcBorders>
              <w:top w:val="nil"/>
              <w:left w:val="single" w:sz="4" w:space="0" w:color="auto"/>
              <w:bottom w:val="single" w:sz="4" w:space="0" w:color="auto"/>
              <w:right w:val="single" w:sz="4" w:space="0" w:color="auto"/>
            </w:tcBorders>
          </w:tcPr>
          <w:p w:rsidR="00316BA2" w:rsidRPr="00D86447" w:rsidRDefault="00C74DAB" w:rsidP="00C74DAB">
            <w:pPr>
              <w:spacing w:line="240" w:lineRule="auto"/>
              <w:ind w:firstLine="709"/>
              <w:jc w:val="both"/>
              <w:rPr>
                <w:rFonts w:ascii="Times New Roman" w:hAnsi="Times New Roman" w:cs="Times New Roman"/>
                <w:color w:val="000000" w:themeColor="text1"/>
                <w:sz w:val="24"/>
                <w:szCs w:val="24"/>
                <w:shd w:val="clear" w:color="auto" w:fill="FFFFFF"/>
              </w:rPr>
            </w:pPr>
            <w:r w:rsidRPr="00D86447">
              <w:rPr>
                <w:rFonts w:ascii="Times New Roman" w:hAnsi="Times New Roman" w:cs="Times New Roman"/>
                <w:color w:val="000000" w:themeColor="text1"/>
                <w:sz w:val="24"/>
                <w:szCs w:val="24"/>
                <w:shd w:val="clear" w:color="auto" w:fill="FFFFFF"/>
              </w:rPr>
              <w:t>Доступ до потужності з обмеженнями пропонується на переривчастій основі на місячний період або на період однієї газової доби залежно від технічних можливостей оператора газотранспортної системи.</w:t>
            </w:r>
          </w:p>
          <w:p w:rsidR="00C74DAB" w:rsidRPr="00D86447" w:rsidRDefault="00C74DAB" w:rsidP="00C74DAB">
            <w:pPr>
              <w:shd w:val="clear" w:color="auto" w:fill="FFFFFF"/>
              <w:spacing w:line="240" w:lineRule="auto"/>
              <w:ind w:firstLine="709"/>
              <w:jc w:val="both"/>
              <w:rPr>
                <w:rFonts w:ascii="Times New Roman" w:eastAsia="Times New Roman" w:hAnsi="Times New Roman" w:cs="Times New Roman"/>
                <w:b/>
                <w:color w:val="000000" w:themeColor="text1"/>
                <w:sz w:val="24"/>
                <w:szCs w:val="24"/>
              </w:rPr>
            </w:pPr>
            <w:r w:rsidRPr="00D86447">
              <w:rPr>
                <w:rFonts w:ascii="Times New Roman" w:eastAsia="Times New Roman" w:hAnsi="Times New Roman" w:cs="Times New Roman"/>
                <w:b/>
                <w:color w:val="000000" w:themeColor="text1"/>
                <w:sz w:val="24"/>
                <w:szCs w:val="24"/>
              </w:rPr>
              <w:t xml:space="preserve">Норма відсутня </w:t>
            </w:r>
          </w:p>
          <w:p w:rsidR="00C74DAB" w:rsidRPr="00D86447" w:rsidRDefault="00C74DAB" w:rsidP="00C74DAB">
            <w:pPr>
              <w:spacing w:line="240" w:lineRule="auto"/>
              <w:ind w:firstLine="709"/>
              <w:jc w:val="both"/>
              <w:rPr>
                <w:rFonts w:ascii="Times New Roman" w:eastAsia="Times New Roman" w:hAnsi="Times New Roman" w:cs="Times New Roman"/>
                <w:b/>
                <w:color w:val="000000" w:themeColor="text1"/>
                <w:sz w:val="24"/>
                <w:szCs w:val="24"/>
              </w:rPr>
            </w:pPr>
          </w:p>
        </w:tc>
        <w:tc>
          <w:tcPr>
            <w:tcW w:w="7564" w:type="dxa"/>
            <w:tcBorders>
              <w:top w:val="nil"/>
              <w:left w:val="single" w:sz="4" w:space="0" w:color="auto"/>
              <w:bottom w:val="single" w:sz="4" w:space="0" w:color="auto"/>
              <w:right w:val="single" w:sz="4" w:space="0" w:color="auto"/>
            </w:tcBorders>
          </w:tcPr>
          <w:p w:rsidR="00316BA2" w:rsidRPr="00D86447" w:rsidRDefault="00C74DAB" w:rsidP="00C74DAB">
            <w:pPr>
              <w:spacing w:line="240" w:lineRule="auto"/>
              <w:ind w:firstLine="709"/>
              <w:jc w:val="both"/>
              <w:rPr>
                <w:rFonts w:ascii="Times New Roman" w:hAnsi="Times New Roman" w:cs="Times New Roman"/>
                <w:color w:val="000000" w:themeColor="text1"/>
                <w:sz w:val="24"/>
                <w:szCs w:val="24"/>
                <w:shd w:val="clear" w:color="auto" w:fill="FFFFFF"/>
              </w:rPr>
            </w:pPr>
            <w:r w:rsidRPr="00D86447">
              <w:rPr>
                <w:rFonts w:ascii="Times New Roman" w:hAnsi="Times New Roman" w:cs="Times New Roman"/>
                <w:color w:val="000000" w:themeColor="text1"/>
                <w:sz w:val="24"/>
                <w:szCs w:val="24"/>
                <w:shd w:val="clear" w:color="auto" w:fill="FFFFFF"/>
              </w:rPr>
              <w:t>Доступ до потужності з обмеженнями пропонується на переривчастій основі на місячний період або на період однієї газової доби залежно від технічних можливостей оператора газотранспортної системи.</w:t>
            </w:r>
          </w:p>
          <w:p w:rsidR="00C74DAB" w:rsidRPr="00D86447" w:rsidRDefault="00C74DAB" w:rsidP="00C74DAB">
            <w:pPr>
              <w:spacing w:line="240" w:lineRule="auto"/>
              <w:ind w:firstLine="709"/>
              <w:jc w:val="both"/>
              <w:rPr>
                <w:rFonts w:ascii="Times New Roman" w:eastAsia="Times New Roman" w:hAnsi="Times New Roman" w:cs="Times New Roman"/>
                <w:b/>
                <w:color w:val="000000" w:themeColor="text1"/>
                <w:sz w:val="24"/>
                <w:szCs w:val="24"/>
              </w:rPr>
            </w:pPr>
            <w:r w:rsidRPr="00D86447">
              <w:rPr>
                <w:rFonts w:ascii="Times New Roman" w:eastAsia="Times New Roman" w:hAnsi="Times New Roman" w:cs="Times New Roman"/>
                <w:b/>
                <w:color w:val="000000" w:themeColor="text1"/>
                <w:sz w:val="24"/>
                <w:szCs w:val="24"/>
              </w:rPr>
              <w:t>Доступ до потужності з обмеженнями для постачання видобутого природного газу споживачам в одній газорозподільній зоні надається постачальнику природного газу.</w:t>
            </w:r>
          </w:p>
        </w:tc>
      </w:tr>
      <w:tr w:rsidR="00316BA2" w:rsidRPr="00D86447" w:rsidTr="00C74DAB">
        <w:tc>
          <w:tcPr>
            <w:tcW w:w="7564" w:type="dxa"/>
            <w:tcBorders>
              <w:top w:val="single" w:sz="4" w:space="0" w:color="auto"/>
            </w:tcBorders>
          </w:tcPr>
          <w:p w:rsidR="00C50845" w:rsidRPr="00D86447" w:rsidRDefault="00C50845" w:rsidP="00910165">
            <w:pPr>
              <w:shd w:val="clear" w:color="auto" w:fill="FFFFFF"/>
              <w:spacing w:line="240" w:lineRule="auto"/>
              <w:ind w:firstLine="709"/>
              <w:jc w:val="both"/>
              <w:rPr>
                <w:rFonts w:ascii="Times New Roman" w:eastAsia="Times New Roman" w:hAnsi="Times New Roman" w:cs="Times New Roman"/>
                <w:b/>
                <w:color w:val="000000" w:themeColor="text1"/>
                <w:sz w:val="24"/>
                <w:szCs w:val="24"/>
              </w:rPr>
            </w:pPr>
            <w:r w:rsidRPr="00D86447">
              <w:rPr>
                <w:rFonts w:ascii="Times New Roman" w:eastAsia="Times New Roman" w:hAnsi="Times New Roman" w:cs="Times New Roman"/>
                <w:b/>
                <w:color w:val="000000" w:themeColor="text1"/>
                <w:sz w:val="24"/>
                <w:szCs w:val="24"/>
              </w:rPr>
              <w:t xml:space="preserve">Норма відсутня </w:t>
            </w:r>
          </w:p>
          <w:p w:rsidR="00316BA2" w:rsidRDefault="00316BA2" w:rsidP="00910165">
            <w:pPr>
              <w:spacing w:line="216" w:lineRule="auto"/>
              <w:ind w:firstLine="709"/>
              <w:jc w:val="both"/>
              <w:rPr>
                <w:rFonts w:ascii="Times New Roman" w:eastAsia="Times New Roman" w:hAnsi="Times New Roman" w:cs="Times New Roman"/>
                <w:b/>
                <w:color w:val="000000" w:themeColor="text1"/>
                <w:sz w:val="24"/>
                <w:szCs w:val="24"/>
              </w:rPr>
            </w:pPr>
          </w:p>
          <w:p w:rsidR="00910165" w:rsidRDefault="00910165" w:rsidP="00910165">
            <w:pPr>
              <w:spacing w:line="216" w:lineRule="auto"/>
              <w:ind w:firstLine="709"/>
              <w:jc w:val="both"/>
              <w:rPr>
                <w:rFonts w:ascii="Times New Roman" w:eastAsia="Times New Roman" w:hAnsi="Times New Roman" w:cs="Times New Roman"/>
                <w:b/>
                <w:color w:val="000000" w:themeColor="text1"/>
                <w:sz w:val="24"/>
                <w:szCs w:val="24"/>
              </w:rPr>
            </w:pPr>
          </w:p>
          <w:p w:rsidR="00910165" w:rsidRDefault="00910165" w:rsidP="00910165">
            <w:pPr>
              <w:spacing w:line="216" w:lineRule="auto"/>
              <w:ind w:firstLine="709"/>
              <w:jc w:val="both"/>
              <w:rPr>
                <w:rFonts w:ascii="Times New Roman" w:eastAsia="Times New Roman" w:hAnsi="Times New Roman" w:cs="Times New Roman"/>
                <w:b/>
                <w:color w:val="000000" w:themeColor="text1"/>
                <w:sz w:val="24"/>
                <w:szCs w:val="24"/>
              </w:rPr>
            </w:pPr>
          </w:p>
          <w:p w:rsidR="00910165" w:rsidRDefault="00910165" w:rsidP="00910165">
            <w:pPr>
              <w:spacing w:line="216" w:lineRule="auto"/>
              <w:ind w:firstLine="709"/>
              <w:jc w:val="both"/>
              <w:rPr>
                <w:rFonts w:ascii="Times New Roman" w:eastAsia="Times New Roman" w:hAnsi="Times New Roman" w:cs="Times New Roman"/>
                <w:b/>
                <w:color w:val="000000" w:themeColor="text1"/>
                <w:sz w:val="24"/>
                <w:szCs w:val="24"/>
              </w:rPr>
            </w:pPr>
          </w:p>
          <w:p w:rsidR="00910165" w:rsidRDefault="00910165" w:rsidP="00910165">
            <w:pPr>
              <w:spacing w:line="216" w:lineRule="auto"/>
              <w:ind w:firstLine="709"/>
              <w:jc w:val="both"/>
              <w:rPr>
                <w:rFonts w:ascii="Times New Roman" w:eastAsia="Times New Roman" w:hAnsi="Times New Roman" w:cs="Times New Roman"/>
                <w:b/>
                <w:color w:val="000000" w:themeColor="text1"/>
                <w:sz w:val="24"/>
                <w:szCs w:val="24"/>
              </w:rPr>
            </w:pPr>
          </w:p>
          <w:p w:rsidR="00910165" w:rsidRDefault="00910165" w:rsidP="00910165">
            <w:pPr>
              <w:spacing w:line="216" w:lineRule="auto"/>
              <w:ind w:firstLine="709"/>
              <w:jc w:val="both"/>
              <w:rPr>
                <w:rFonts w:ascii="Times New Roman" w:eastAsia="Times New Roman" w:hAnsi="Times New Roman" w:cs="Times New Roman"/>
                <w:b/>
                <w:color w:val="000000" w:themeColor="text1"/>
                <w:sz w:val="24"/>
                <w:szCs w:val="24"/>
              </w:rPr>
            </w:pPr>
          </w:p>
          <w:p w:rsidR="00910165" w:rsidRDefault="00910165" w:rsidP="00910165">
            <w:pPr>
              <w:spacing w:line="216" w:lineRule="auto"/>
              <w:ind w:firstLine="709"/>
              <w:jc w:val="both"/>
              <w:rPr>
                <w:rFonts w:ascii="Times New Roman" w:eastAsia="Times New Roman" w:hAnsi="Times New Roman" w:cs="Times New Roman"/>
                <w:b/>
                <w:color w:val="000000" w:themeColor="text1"/>
                <w:sz w:val="24"/>
                <w:szCs w:val="24"/>
              </w:rPr>
            </w:pPr>
          </w:p>
          <w:p w:rsidR="00910165" w:rsidRDefault="00910165" w:rsidP="00910165">
            <w:pPr>
              <w:spacing w:line="216" w:lineRule="auto"/>
              <w:ind w:firstLine="709"/>
              <w:jc w:val="both"/>
              <w:rPr>
                <w:rFonts w:ascii="Times New Roman" w:eastAsia="Times New Roman" w:hAnsi="Times New Roman" w:cs="Times New Roman"/>
                <w:b/>
                <w:color w:val="000000" w:themeColor="text1"/>
                <w:sz w:val="24"/>
                <w:szCs w:val="24"/>
              </w:rPr>
            </w:pPr>
          </w:p>
          <w:p w:rsidR="00910165" w:rsidRDefault="00910165" w:rsidP="00910165">
            <w:pPr>
              <w:spacing w:line="216" w:lineRule="auto"/>
              <w:ind w:firstLine="709"/>
              <w:jc w:val="both"/>
              <w:rPr>
                <w:rFonts w:ascii="Times New Roman" w:eastAsia="Times New Roman" w:hAnsi="Times New Roman" w:cs="Times New Roman"/>
                <w:b/>
                <w:color w:val="000000" w:themeColor="text1"/>
                <w:sz w:val="24"/>
                <w:szCs w:val="24"/>
              </w:rPr>
            </w:pPr>
          </w:p>
          <w:p w:rsidR="00910165" w:rsidRDefault="00910165" w:rsidP="00910165">
            <w:pPr>
              <w:spacing w:line="216" w:lineRule="auto"/>
              <w:ind w:firstLine="709"/>
              <w:jc w:val="both"/>
              <w:rPr>
                <w:rFonts w:ascii="Times New Roman" w:eastAsia="Times New Roman" w:hAnsi="Times New Roman" w:cs="Times New Roman"/>
                <w:b/>
                <w:color w:val="000000" w:themeColor="text1"/>
                <w:sz w:val="24"/>
                <w:szCs w:val="24"/>
              </w:rPr>
            </w:pPr>
          </w:p>
          <w:p w:rsidR="00910165" w:rsidRDefault="00910165" w:rsidP="00910165">
            <w:pPr>
              <w:spacing w:line="216" w:lineRule="auto"/>
              <w:ind w:firstLine="709"/>
              <w:jc w:val="both"/>
              <w:rPr>
                <w:rFonts w:ascii="Times New Roman" w:eastAsia="Times New Roman" w:hAnsi="Times New Roman" w:cs="Times New Roman"/>
                <w:b/>
                <w:color w:val="000000" w:themeColor="text1"/>
                <w:sz w:val="24"/>
                <w:szCs w:val="24"/>
              </w:rPr>
            </w:pPr>
          </w:p>
          <w:p w:rsidR="00910165" w:rsidRDefault="00910165" w:rsidP="00910165">
            <w:pPr>
              <w:spacing w:line="216" w:lineRule="auto"/>
              <w:ind w:firstLine="709"/>
              <w:jc w:val="both"/>
              <w:rPr>
                <w:rFonts w:ascii="Times New Roman" w:eastAsia="Times New Roman" w:hAnsi="Times New Roman" w:cs="Times New Roman"/>
                <w:b/>
                <w:color w:val="000000" w:themeColor="text1"/>
                <w:sz w:val="24"/>
                <w:szCs w:val="24"/>
              </w:rPr>
            </w:pPr>
          </w:p>
          <w:p w:rsidR="00910165" w:rsidRDefault="00910165" w:rsidP="00910165">
            <w:pPr>
              <w:spacing w:line="216" w:lineRule="auto"/>
              <w:ind w:firstLine="709"/>
              <w:jc w:val="both"/>
              <w:rPr>
                <w:rFonts w:ascii="Times New Roman" w:eastAsia="Times New Roman" w:hAnsi="Times New Roman" w:cs="Times New Roman"/>
                <w:b/>
                <w:color w:val="000000" w:themeColor="text1"/>
                <w:sz w:val="24"/>
                <w:szCs w:val="24"/>
              </w:rPr>
            </w:pPr>
          </w:p>
          <w:p w:rsidR="00910165" w:rsidRDefault="00910165" w:rsidP="00910165">
            <w:pPr>
              <w:spacing w:line="216" w:lineRule="auto"/>
              <w:ind w:firstLine="709"/>
              <w:jc w:val="both"/>
              <w:rPr>
                <w:rFonts w:ascii="Times New Roman" w:eastAsia="Times New Roman" w:hAnsi="Times New Roman" w:cs="Times New Roman"/>
                <w:b/>
                <w:color w:val="000000" w:themeColor="text1"/>
                <w:sz w:val="24"/>
                <w:szCs w:val="24"/>
              </w:rPr>
            </w:pPr>
          </w:p>
          <w:p w:rsidR="00910165" w:rsidRDefault="00910165" w:rsidP="00910165">
            <w:pPr>
              <w:spacing w:line="216" w:lineRule="auto"/>
              <w:ind w:firstLine="709"/>
              <w:jc w:val="both"/>
              <w:rPr>
                <w:rFonts w:ascii="Times New Roman" w:eastAsia="Times New Roman" w:hAnsi="Times New Roman" w:cs="Times New Roman"/>
                <w:b/>
                <w:color w:val="000000" w:themeColor="text1"/>
                <w:sz w:val="24"/>
                <w:szCs w:val="24"/>
              </w:rPr>
            </w:pPr>
          </w:p>
          <w:p w:rsidR="00910165" w:rsidRDefault="00910165" w:rsidP="00910165">
            <w:pPr>
              <w:spacing w:line="216" w:lineRule="auto"/>
              <w:ind w:firstLine="709"/>
              <w:jc w:val="both"/>
              <w:rPr>
                <w:rFonts w:ascii="Times New Roman" w:eastAsia="Times New Roman" w:hAnsi="Times New Roman" w:cs="Times New Roman"/>
                <w:b/>
                <w:color w:val="000000" w:themeColor="text1"/>
                <w:sz w:val="24"/>
                <w:szCs w:val="24"/>
              </w:rPr>
            </w:pPr>
          </w:p>
          <w:p w:rsidR="00910165" w:rsidRDefault="00910165" w:rsidP="00910165">
            <w:pPr>
              <w:spacing w:line="216" w:lineRule="auto"/>
              <w:ind w:firstLine="709"/>
              <w:jc w:val="both"/>
              <w:rPr>
                <w:rFonts w:ascii="Times New Roman" w:eastAsia="Times New Roman" w:hAnsi="Times New Roman" w:cs="Times New Roman"/>
                <w:b/>
                <w:color w:val="000000" w:themeColor="text1"/>
                <w:sz w:val="24"/>
                <w:szCs w:val="24"/>
              </w:rPr>
            </w:pPr>
          </w:p>
          <w:p w:rsidR="00910165" w:rsidRDefault="00910165" w:rsidP="00910165">
            <w:pPr>
              <w:spacing w:line="216" w:lineRule="auto"/>
              <w:ind w:firstLine="709"/>
              <w:jc w:val="both"/>
              <w:rPr>
                <w:rFonts w:ascii="Times New Roman" w:eastAsia="Times New Roman" w:hAnsi="Times New Roman" w:cs="Times New Roman"/>
                <w:b/>
                <w:color w:val="000000" w:themeColor="text1"/>
                <w:sz w:val="24"/>
                <w:szCs w:val="24"/>
              </w:rPr>
            </w:pPr>
          </w:p>
          <w:p w:rsidR="00910165" w:rsidRDefault="00910165" w:rsidP="00910165">
            <w:pPr>
              <w:spacing w:line="216" w:lineRule="auto"/>
              <w:ind w:firstLine="709"/>
              <w:jc w:val="both"/>
              <w:rPr>
                <w:rFonts w:ascii="Times New Roman" w:eastAsia="Times New Roman" w:hAnsi="Times New Roman" w:cs="Times New Roman"/>
                <w:b/>
                <w:color w:val="000000" w:themeColor="text1"/>
                <w:sz w:val="24"/>
                <w:szCs w:val="24"/>
              </w:rPr>
            </w:pPr>
          </w:p>
          <w:p w:rsidR="00910165" w:rsidRDefault="00910165" w:rsidP="00910165">
            <w:pPr>
              <w:spacing w:line="216" w:lineRule="auto"/>
              <w:ind w:firstLine="709"/>
              <w:jc w:val="both"/>
              <w:rPr>
                <w:rFonts w:ascii="Times New Roman" w:eastAsia="Times New Roman" w:hAnsi="Times New Roman" w:cs="Times New Roman"/>
                <w:b/>
                <w:color w:val="000000" w:themeColor="text1"/>
                <w:sz w:val="24"/>
                <w:szCs w:val="24"/>
              </w:rPr>
            </w:pPr>
          </w:p>
          <w:p w:rsidR="00910165" w:rsidRDefault="00910165" w:rsidP="00910165">
            <w:pPr>
              <w:spacing w:line="216" w:lineRule="auto"/>
              <w:ind w:firstLine="709"/>
              <w:jc w:val="both"/>
              <w:rPr>
                <w:rFonts w:ascii="Times New Roman" w:eastAsia="Times New Roman" w:hAnsi="Times New Roman" w:cs="Times New Roman"/>
                <w:b/>
                <w:color w:val="000000" w:themeColor="text1"/>
                <w:sz w:val="24"/>
                <w:szCs w:val="24"/>
              </w:rPr>
            </w:pPr>
          </w:p>
          <w:p w:rsidR="00910165" w:rsidRDefault="00910165" w:rsidP="00910165">
            <w:pPr>
              <w:spacing w:line="216" w:lineRule="auto"/>
              <w:ind w:firstLine="709"/>
              <w:jc w:val="both"/>
              <w:rPr>
                <w:rFonts w:ascii="Times New Roman" w:eastAsia="Times New Roman" w:hAnsi="Times New Roman" w:cs="Times New Roman"/>
                <w:b/>
                <w:color w:val="000000" w:themeColor="text1"/>
                <w:sz w:val="24"/>
                <w:szCs w:val="24"/>
              </w:rPr>
            </w:pPr>
          </w:p>
          <w:p w:rsidR="00910165" w:rsidRDefault="00910165" w:rsidP="00910165">
            <w:pPr>
              <w:spacing w:line="216" w:lineRule="auto"/>
              <w:ind w:firstLine="709"/>
              <w:jc w:val="both"/>
              <w:rPr>
                <w:rFonts w:ascii="Times New Roman" w:eastAsia="Times New Roman" w:hAnsi="Times New Roman" w:cs="Times New Roman"/>
                <w:b/>
                <w:color w:val="000000" w:themeColor="text1"/>
                <w:sz w:val="24"/>
                <w:szCs w:val="24"/>
              </w:rPr>
            </w:pPr>
          </w:p>
          <w:p w:rsidR="00910165" w:rsidRDefault="00910165" w:rsidP="00910165">
            <w:pPr>
              <w:spacing w:line="216" w:lineRule="auto"/>
              <w:ind w:firstLine="709"/>
              <w:jc w:val="both"/>
              <w:rPr>
                <w:rFonts w:ascii="Times New Roman" w:eastAsia="Times New Roman" w:hAnsi="Times New Roman" w:cs="Times New Roman"/>
                <w:b/>
                <w:color w:val="000000" w:themeColor="text1"/>
                <w:sz w:val="24"/>
                <w:szCs w:val="24"/>
              </w:rPr>
            </w:pPr>
          </w:p>
          <w:p w:rsidR="00910165" w:rsidRDefault="00910165" w:rsidP="00910165">
            <w:pPr>
              <w:spacing w:line="216" w:lineRule="auto"/>
              <w:ind w:firstLine="709"/>
              <w:jc w:val="both"/>
              <w:rPr>
                <w:rFonts w:ascii="Times New Roman" w:eastAsia="Times New Roman" w:hAnsi="Times New Roman" w:cs="Times New Roman"/>
                <w:b/>
                <w:color w:val="000000" w:themeColor="text1"/>
                <w:sz w:val="24"/>
                <w:szCs w:val="24"/>
              </w:rPr>
            </w:pPr>
          </w:p>
          <w:p w:rsidR="00910165" w:rsidRDefault="00910165" w:rsidP="00910165">
            <w:pPr>
              <w:spacing w:line="216" w:lineRule="auto"/>
              <w:ind w:firstLine="709"/>
              <w:jc w:val="both"/>
              <w:rPr>
                <w:rFonts w:ascii="Times New Roman" w:eastAsia="Times New Roman" w:hAnsi="Times New Roman" w:cs="Times New Roman"/>
                <w:b/>
                <w:color w:val="000000" w:themeColor="text1"/>
                <w:sz w:val="24"/>
                <w:szCs w:val="24"/>
              </w:rPr>
            </w:pPr>
          </w:p>
          <w:p w:rsidR="00910165" w:rsidRDefault="00910165" w:rsidP="00910165">
            <w:pPr>
              <w:spacing w:line="216" w:lineRule="auto"/>
              <w:ind w:firstLine="709"/>
              <w:jc w:val="both"/>
              <w:rPr>
                <w:rFonts w:ascii="Times New Roman" w:eastAsia="Times New Roman" w:hAnsi="Times New Roman" w:cs="Times New Roman"/>
                <w:b/>
                <w:color w:val="000000" w:themeColor="text1"/>
                <w:sz w:val="24"/>
                <w:szCs w:val="24"/>
              </w:rPr>
            </w:pPr>
          </w:p>
          <w:p w:rsidR="00910165" w:rsidRDefault="00910165" w:rsidP="00910165">
            <w:pPr>
              <w:spacing w:line="216" w:lineRule="auto"/>
              <w:ind w:firstLine="709"/>
              <w:jc w:val="both"/>
              <w:rPr>
                <w:rFonts w:ascii="Times New Roman" w:eastAsia="Times New Roman" w:hAnsi="Times New Roman" w:cs="Times New Roman"/>
                <w:b/>
                <w:color w:val="000000" w:themeColor="text1"/>
                <w:sz w:val="24"/>
                <w:szCs w:val="24"/>
              </w:rPr>
            </w:pPr>
          </w:p>
          <w:p w:rsidR="00910165" w:rsidRDefault="00910165" w:rsidP="00910165">
            <w:pPr>
              <w:spacing w:line="216" w:lineRule="auto"/>
              <w:ind w:firstLine="709"/>
              <w:jc w:val="both"/>
              <w:rPr>
                <w:rFonts w:ascii="Times New Roman" w:eastAsia="Times New Roman" w:hAnsi="Times New Roman" w:cs="Times New Roman"/>
                <w:b/>
                <w:color w:val="000000" w:themeColor="text1"/>
                <w:sz w:val="24"/>
                <w:szCs w:val="24"/>
              </w:rPr>
            </w:pPr>
          </w:p>
          <w:p w:rsidR="00910165" w:rsidRDefault="00910165" w:rsidP="00910165">
            <w:pPr>
              <w:spacing w:line="216" w:lineRule="auto"/>
              <w:ind w:firstLine="709"/>
              <w:jc w:val="both"/>
              <w:rPr>
                <w:rFonts w:ascii="Times New Roman" w:eastAsia="Times New Roman" w:hAnsi="Times New Roman" w:cs="Times New Roman"/>
                <w:b/>
                <w:color w:val="000000" w:themeColor="text1"/>
                <w:sz w:val="24"/>
                <w:szCs w:val="24"/>
              </w:rPr>
            </w:pPr>
          </w:p>
          <w:p w:rsidR="00910165" w:rsidRDefault="00910165" w:rsidP="00910165">
            <w:pPr>
              <w:spacing w:line="216" w:lineRule="auto"/>
              <w:ind w:firstLine="709"/>
              <w:jc w:val="both"/>
              <w:rPr>
                <w:rFonts w:ascii="Times New Roman" w:eastAsia="Times New Roman" w:hAnsi="Times New Roman" w:cs="Times New Roman"/>
                <w:b/>
                <w:color w:val="000000" w:themeColor="text1"/>
                <w:sz w:val="24"/>
                <w:szCs w:val="24"/>
              </w:rPr>
            </w:pPr>
          </w:p>
          <w:p w:rsidR="00910165" w:rsidRDefault="00910165" w:rsidP="00910165">
            <w:pPr>
              <w:spacing w:line="216" w:lineRule="auto"/>
              <w:ind w:firstLine="709"/>
              <w:jc w:val="both"/>
              <w:rPr>
                <w:rFonts w:ascii="Times New Roman" w:eastAsia="Times New Roman" w:hAnsi="Times New Roman" w:cs="Times New Roman"/>
                <w:b/>
                <w:color w:val="000000" w:themeColor="text1"/>
                <w:sz w:val="24"/>
                <w:szCs w:val="24"/>
              </w:rPr>
            </w:pPr>
          </w:p>
          <w:p w:rsidR="00910165" w:rsidRDefault="00910165" w:rsidP="00910165">
            <w:pPr>
              <w:spacing w:line="216" w:lineRule="auto"/>
              <w:ind w:firstLine="709"/>
              <w:jc w:val="both"/>
              <w:rPr>
                <w:rFonts w:ascii="Times New Roman" w:eastAsia="Times New Roman" w:hAnsi="Times New Roman" w:cs="Times New Roman"/>
                <w:b/>
                <w:color w:val="000000" w:themeColor="text1"/>
                <w:sz w:val="24"/>
                <w:szCs w:val="24"/>
              </w:rPr>
            </w:pPr>
          </w:p>
          <w:p w:rsidR="00910165" w:rsidRDefault="00910165" w:rsidP="00910165">
            <w:pPr>
              <w:spacing w:line="216" w:lineRule="auto"/>
              <w:ind w:firstLine="709"/>
              <w:jc w:val="both"/>
              <w:rPr>
                <w:rFonts w:ascii="Times New Roman" w:eastAsia="Times New Roman" w:hAnsi="Times New Roman" w:cs="Times New Roman"/>
                <w:b/>
                <w:color w:val="000000" w:themeColor="text1"/>
                <w:sz w:val="24"/>
                <w:szCs w:val="24"/>
              </w:rPr>
            </w:pPr>
          </w:p>
          <w:p w:rsidR="00910165" w:rsidRDefault="00910165" w:rsidP="00910165">
            <w:pPr>
              <w:spacing w:line="216" w:lineRule="auto"/>
              <w:ind w:firstLine="709"/>
              <w:jc w:val="both"/>
              <w:rPr>
                <w:rFonts w:ascii="Times New Roman" w:eastAsia="Times New Roman" w:hAnsi="Times New Roman" w:cs="Times New Roman"/>
                <w:b/>
                <w:color w:val="000000" w:themeColor="text1"/>
                <w:sz w:val="24"/>
                <w:szCs w:val="24"/>
              </w:rPr>
            </w:pPr>
          </w:p>
          <w:p w:rsidR="00910165" w:rsidRPr="00D86447" w:rsidRDefault="00910165" w:rsidP="00910165">
            <w:pPr>
              <w:spacing w:line="216" w:lineRule="auto"/>
              <w:ind w:firstLine="709"/>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w:t>
            </w:r>
          </w:p>
        </w:tc>
        <w:tc>
          <w:tcPr>
            <w:tcW w:w="7564" w:type="dxa"/>
            <w:tcBorders>
              <w:top w:val="single" w:sz="4" w:space="0" w:color="auto"/>
            </w:tcBorders>
          </w:tcPr>
          <w:p w:rsidR="00C50845" w:rsidRPr="00D86447" w:rsidRDefault="00C50845" w:rsidP="00910165">
            <w:pPr>
              <w:spacing w:line="216" w:lineRule="auto"/>
              <w:ind w:firstLine="709"/>
              <w:jc w:val="both"/>
              <w:rPr>
                <w:rFonts w:ascii="Times New Roman" w:hAnsi="Times New Roman" w:cs="Times New Roman"/>
                <w:b/>
                <w:color w:val="000000" w:themeColor="text1"/>
                <w:sz w:val="24"/>
                <w:szCs w:val="24"/>
              </w:rPr>
            </w:pPr>
            <w:r w:rsidRPr="00D86447">
              <w:rPr>
                <w:rFonts w:ascii="Times New Roman" w:hAnsi="Times New Roman" w:cs="Times New Roman"/>
                <w:b/>
                <w:color w:val="000000" w:themeColor="text1"/>
                <w:sz w:val="24"/>
                <w:szCs w:val="24"/>
              </w:rPr>
              <w:lastRenderedPageBreak/>
              <w:t>8. Потужність з обмеженнями, зазначена в підпункті 3 пункту 1 цієї глави, передбачає такі додаткові умови (обмеження):</w:t>
            </w:r>
          </w:p>
          <w:p w:rsidR="00C50845" w:rsidRPr="00D86447" w:rsidRDefault="00C50845" w:rsidP="00910165">
            <w:pPr>
              <w:spacing w:line="216" w:lineRule="auto"/>
              <w:ind w:firstLine="709"/>
              <w:jc w:val="both"/>
              <w:rPr>
                <w:rFonts w:ascii="Times New Roman" w:hAnsi="Times New Roman" w:cs="Times New Roman"/>
                <w:b/>
                <w:color w:val="000000" w:themeColor="text1"/>
                <w:sz w:val="24"/>
                <w:szCs w:val="24"/>
              </w:rPr>
            </w:pPr>
            <w:r w:rsidRPr="00D86447">
              <w:rPr>
                <w:rFonts w:ascii="Times New Roman" w:hAnsi="Times New Roman" w:cs="Times New Roman"/>
                <w:b/>
                <w:color w:val="000000" w:themeColor="text1"/>
                <w:sz w:val="24"/>
                <w:szCs w:val="24"/>
              </w:rPr>
              <w:t xml:space="preserve">1) потужність точок входу/виходу, визначена в підпункті 3 пункту 1 цієї глави в рамках потужності з обмеженнями для постачання видобутого природного газу, може використовуватися </w:t>
            </w:r>
            <w:r w:rsidRPr="00D86447">
              <w:rPr>
                <w:rFonts w:ascii="Times New Roman" w:hAnsi="Times New Roman" w:cs="Times New Roman"/>
                <w:b/>
                <w:color w:val="000000" w:themeColor="text1"/>
                <w:sz w:val="24"/>
                <w:szCs w:val="24"/>
              </w:rPr>
              <w:lastRenderedPageBreak/>
              <w:t>замовником послуг транспортування виключно для транспортування природного газу між такими точками і не може використовуватися для транспортування природного газу до/від інших точок входу/виходу до/з газотранспортної системи;</w:t>
            </w:r>
          </w:p>
          <w:p w:rsidR="00C50845" w:rsidRPr="00D86447" w:rsidRDefault="00C50845" w:rsidP="00910165">
            <w:pPr>
              <w:spacing w:line="216" w:lineRule="auto"/>
              <w:ind w:firstLine="709"/>
              <w:jc w:val="both"/>
              <w:rPr>
                <w:rFonts w:ascii="Times New Roman" w:hAnsi="Times New Roman" w:cs="Times New Roman"/>
                <w:b/>
                <w:color w:val="000000" w:themeColor="text1"/>
                <w:sz w:val="24"/>
                <w:szCs w:val="24"/>
              </w:rPr>
            </w:pPr>
            <w:r w:rsidRPr="00D86447">
              <w:rPr>
                <w:rFonts w:ascii="Times New Roman" w:hAnsi="Times New Roman" w:cs="Times New Roman"/>
                <w:b/>
                <w:color w:val="000000" w:themeColor="text1"/>
                <w:sz w:val="24"/>
                <w:szCs w:val="24"/>
              </w:rPr>
              <w:t>2) відсутність доступу до віртуальної торгової точки;</w:t>
            </w:r>
          </w:p>
          <w:p w:rsidR="00C50845" w:rsidRPr="00D86447" w:rsidRDefault="00C50845" w:rsidP="00910165">
            <w:pPr>
              <w:spacing w:line="216" w:lineRule="auto"/>
              <w:ind w:firstLine="709"/>
              <w:jc w:val="both"/>
              <w:rPr>
                <w:rFonts w:ascii="Times New Roman" w:hAnsi="Times New Roman" w:cs="Times New Roman"/>
                <w:b/>
                <w:color w:val="000000" w:themeColor="text1"/>
                <w:sz w:val="24"/>
                <w:szCs w:val="24"/>
              </w:rPr>
            </w:pPr>
            <w:r w:rsidRPr="00D86447">
              <w:rPr>
                <w:rFonts w:ascii="Times New Roman" w:hAnsi="Times New Roman" w:cs="Times New Roman"/>
                <w:b/>
                <w:color w:val="000000" w:themeColor="text1"/>
                <w:sz w:val="24"/>
                <w:szCs w:val="24"/>
              </w:rPr>
              <w:t>3) обсяг природного газу, поданий до газотранспортної системи у віртуальній точці входу від суміжних газовидобувних підприємств (через мережі яких може передаватися природний газ іншого газовидобувного підприємства чи групи газовидобувних підприємств) повинен дорівнювати обсягу природного газу, відібраному з газотранспортної системи у віртуальній точці виходу до газорозподільних систем та/або віртуальній точці виходу до суміжного газовидобувного підприємства протягом кожної газової доби;</w:t>
            </w:r>
          </w:p>
          <w:p w:rsidR="00C50845" w:rsidRPr="00D86447" w:rsidRDefault="00C50845" w:rsidP="00910165">
            <w:pPr>
              <w:spacing w:line="216" w:lineRule="auto"/>
              <w:ind w:firstLine="709"/>
              <w:jc w:val="both"/>
              <w:rPr>
                <w:rFonts w:ascii="Times New Roman" w:hAnsi="Times New Roman" w:cs="Times New Roman"/>
                <w:b/>
                <w:color w:val="000000" w:themeColor="text1"/>
                <w:sz w:val="24"/>
                <w:szCs w:val="24"/>
              </w:rPr>
            </w:pPr>
            <w:r w:rsidRPr="00D86447">
              <w:rPr>
                <w:rFonts w:ascii="Times New Roman" w:hAnsi="Times New Roman" w:cs="Times New Roman"/>
                <w:b/>
                <w:color w:val="000000" w:themeColor="text1"/>
                <w:sz w:val="24"/>
                <w:szCs w:val="24"/>
              </w:rPr>
              <w:t>4) обсяги транспортування природного газу, визначені в підтверджених номінаціях/</w:t>
            </w:r>
            <w:proofErr w:type="spellStart"/>
            <w:r w:rsidRPr="00D86447">
              <w:rPr>
                <w:rFonts w:ascii="Times New Roman" w:hAnsi="Times New Roman" w:cs="Times New Roman"/>
                <w:b/>
                <w:color w:val="000000" w:themeColor="text1"/>
                <w:sz w:val="24"/>
                <w:szCs w:val="24"/>
              </w:rPr>
              <w:t>реномінаціях</w:t>
            </w:r>
            <w:proofErr w:type="spellEnd"/>
            <w:r w:rsidRPr="00D86447">
              <w:rPr>
                <w:rFonts w:ascii="Times New Roman" w:hAnsi="Times New Roman" w:cs="Times New Roman"/>
                <w:b/>
                <w:color w:val="000000" w:themeColor="text1"/>
                <w:sz w:val="24"/>
                <w:szCs w:val="24"/>
              </w:rPr>
              <w:t xml:space="preserve"> замовників послуг транспортування природного газу, яким надано право користування потужністю з обмеженнями для постачання видобутку, можуть бути зменшені оператором газотранспортної системи в односторонньому порядку у випадку, коли відсутні вільні потужності для надання таких послуг або з метою недопущення виникнення небалансу у таких замовників послуг транспортування;</w:t>
            </w:r>
          </w:p>
          <w:p w:rsidR="00316BA2" w:rsidRDefault="00C50845" w:rsidP="00910165">
            <w:pPr>
              <w:spacing w:line="216" w:lineRule="auto"/>
              <w:ind w:firstLine="709"/>
              <w:jc w:val="both"/>
              <w:rPr>
                <w:rFonts w:ascii="Times New Roman" w:hAnsi="Times New Roman" w:cs="Times New Roman"/>
                <w:b/>
                <w:color w:val="000000" w:themeColor="text1"/>
                <w:sz w:val="24"/>
                <w:szCs w:val="24"/>
              </w:rPr>
            </w:pPr>
            <w:r w:rsidRPr="00D86447">
              <w:rPr>
                <w:rFonts w:ascii="Times New Roman" w:hAnsi="Times New Roman" w:cs="Times New Roman"/>
                <w:b/>
                <w:color w:val="000000" w:themeColor="text1"/>
                <w:sz w:val="24"/>
                <w:szCs w:val="24"/>
              </w:rPr>
              <w:t>5) обсяг природного газу, зазначений у номінації/</w:t>
            </w:r>
            <w:proofErr w:type="spellStart"/>
            <w:r w:rsidRPr="00D86447">
              <w:rPr>
                <w:rFonts w:ascii="Times New Roman" w:hAnsi="Times New Roman" w:cs="Times New Roman"/>
                <w:b/>
                <w:color w:val="000000" w:themeColor="text1"/>
                <w:sz w:val="24"/>
                <w:szCs w:val="24"/>
              </w:rPr>
              <w:t>реномінації</w:t>
            </w:r>
            <w:proofErr w:type="spellEnd"/>
            <w:r w:rsidRPr="00D86447">
              <w:rPr>
                <w:rFonts w:ascii="Times New Roman" w:hAnsi="Times New Roman" w:cs="Times New Roman"/>
                <w:b/>
                <w:color w:val="000000" w:themeColor="text1"/>
                <w:sz w:val="24"/>
                <w:szCs w:val="24"/>
              </w:rPr>
              <w:t xml:space="preserve"> для віртуальної точки входу від суміжних газовидобувних підприємств (через мережі яких може передаватися природний газ іншого газовидобувного підприємства чи групи газовидобувних підприємств) має відповідати обсягу природного газу, зазначеному для віртуальної точки виходу до газорозподільних систем та/або віртуальній точці виходу до суміжного газовидобувного підприємства, в іншому випадку оператор газотранспортної системи відхиляє таку номінацію/</w:t>
            </w:r>
            <w:proofErr w:type="spellStart"/>
            <w:r w:rsidRPr="00D86447">
              <w:rPr>
                <w:rFonts w:ascii="Times New Roman" w:hAnsi="Times New Roman" w:cs="Times New Roman"/>
                <w:b/>
                <w:color w:val="000000" w:themeColor="text1"/>
                <w:sz w:val="24"/>
                <w:szCs w:val="24"/>
              </w:rPr>
              <w:t>реномінацію</w:t>
            </w:r>
            <w:proofErr w:type="spellEnd"/>
            <w:r w:rsidRPr="00D86447">
              <w:rPr>
                <w:rFonts w:ascii="Times New Roman" w:hAnsi="Times New Roman" w:cs="Times New Roman"/>
                <w:b/>
                <w:color w:val="000000" w:themeColor="text1"/>
                <w:sz w:val="24"/>
                <w:szCs w:val="24"/>
              </w:rPr>
              <w:t>.</w:t>
            </w:r>
          </w:p>
          <w:p w:rsidR="00910165" w:rsidRPr="00D86447" w:rsidRDefault="00910165" w:rsidP="00910165">
            <w:pPr>
              <w:spacing w:line="216" w:lineRule="auto"/>
              <w:ind w:firstLine="709"/>
              <w:jc w:val="both"/>
              <w:rPr>
                <w:rFonts w:ascii="Times New Roman" w:eastAsia="Times New Roman" w:hAnsi="Times New Roman" w:cs="Times New Roman"/>
                <w:b/>
                <w:color w:val="000000" w:themeColor="text1"/>
                <w:sz w:val="24"/>
                <w:szCs w:val="24"/>
              </w:rPr>
            </w:pPr>
            <w:r>
              <w:rPr>
                <w:rFonts w:ascii="Times New Roman" w:hAnsi="Times New Roman" w:cs="Times New Roman"/>
                <w:b/>
                <w:color w:val="000000" w:themeColor="text1"/>
                <w:sz w:val="24"/>
                <w:szCs w:val="24"/>
              </w:rPr>
              <w:t>…</w:t>
            </w:r>
          </w:p>
        </w:tc>
      </w:tr>
      <w:tr w:rsidR="00316BA2" w:rsidRPr="00D86447" w:rsidTr="0056452B">
        <w:tc>
          <w:tcPr>
            <w:tcW w:w="7564" w:type="dxa"/>
            <w:tcBorders>
              <w:top w:val="single" w:sz="4" w:space="0" w:color="auto"/>
            </w:tcBorders>
          </w:tcPr>
          <w:p w:rsidR="00316BA2" w:rsidRPr="00910165" w:rsidRDefault="0053082B" w:rsidP="00910165">
            <w:pPr>
              <w:spacing w:line="216" w:lineRule="auto"/>
              <w:ind w:firstLine="709"/>
              <w:jc w:val="center"/>
              <w:rPr>
                <w:rFonts w:ascii="Times New Roman" w:eastAsia="Times New Roman" w:hAnsi="Times New Roman" w:cs="Times New Roman"/>
                <w:b/>
                <w:i/>
                <w:color w:val="000000" w:themeColor="text1"/>
                <w:sz w:val="24"/>
                <w:szCs w:val="24"/>
              </w:rPr>
            </w:pPr>
            <w:r w:rsidRPr="00910165">
              <w:rPr>
                <w:rFonts w:ascii="Times New Roman" w:hAnsi="Times New Roman" w:cs="Times New Roman"/>
                <w:b/>
                <w:i/>
                <w:sz w:val="24"/>
                <w:szCs w:val="24"/>
              </w:rPr>
              <w:lastRenderedPageBreak/>
              <w:t>МЕТОДИК</w:t>
            </w:r>
            <w:r w:rsidR="00910165" w:rsidRPr="00910165">
              <w:rPr>
                <w:rFonts w:ascii="Times New Roman" w:hAnsi="Times New Roman" w:cs="Times New Roman"/>
                <w:b/>
                <w:i/>
                <w:sz w:val="24"/>
                <w:szCs w:val="24"/>
              </w:rPr>
              <w:t>А</w:t>
            </w:r>
            <w:r w:rsidRPr="00910165">
              <w:rPr>
                <w:rFonts w:ascii="Times New Roman" w:hAnsi="Times New Roman" w:cs="Times New Roman"/>
                <w:b/>
                <w:i/>
                <w:sz w:val="24"/>
                <w:szCs w:val="24"/>
              </w:rPr>
              <w:t xml:space="preserve"> ВИЗНАЧЕННЯ ТА РОЗРАХУНКУ ТАРИФІВ НА ПОСЛУГИ ТРАНСПОРТУВАННЯ ПРИРОДНОГО ГАЗУ ДЛЯ ТОЧОК ВХОДУ І ТОЧОК ВИХОДУ НА ОСНОВІ БАГАТОРІЧНОГО СТИМУЛЮЮЧОГО РЕГУЛЮВАННЯ</w:t>
            </w:r>
          </w:p>
        </w:tc>
        <w:tc>
          <w:tcPr>
            <w:tcW w:w="7564" w:type="dxa"/>
            <w:tcBorders>
              <w:top w:val="single" w:sz="4" w:space="0" w:color="auto"/>
            </w:tcBorders>
          </w:tcPr>
          <w:p w:rsidR="00316BA2" w:rsidRPr="00910165" w:rsidRDefault="00910165" w:rsidP="0053082B">
            <w:pPr>
              <w:spacing w:line="216" w:lineRule="auto"/>
              <w:ind w:firstLine="709"/>
              <w:jc w:val="center"/>
              <w:rPr>
                <w:rFonts w:ascii="Times New Roman" w:eastAsia="Times New Roman" w:hAnsi="Times New Roman" w:cs="Times New Roman"/>
                <w:b/>
                <w:i/>
                <w:color w:val="000000" w:themeColor="text1"/>
                <w:sz w:val="24"/>
                <w:szCs w:val="24"/>
              </w:rPr>
            </w:pPr>
            <w:r w:rsidRPr="00910165">
              <w:rPr>
                <w:rFonts w:ascii="Times New Roman" w:hAnsi="Times New Roman" w:cs="Times New Roman"/>
                <w:b/>
                <w:i/>
                <w:sz w:val="24"/>
                <w:szCs w:val="24"/>
              </w:rPr>
              <w:t xml:space="preserve">ЗМІН ДО </w:t>
            </w:r>
            <w:r w:rsidR="0053082B" w:rsidRPr="00910165">
              <w:rPr>
                <w:rFonts w:ascii="Times New Roman" w:hAnsi="Times New Roman" w:cs="Times New Roman"/>
                <w:b/>
                <w:i/>
                <w:sz w:val="24"/>
                <w:szCs w:val="24"/>
              </w:rPr>
              <w:t>МЕТОДИКИ ВИЗНАЧЕННЯ ТА РОЗРАХУНКУ ТАРИФІВ НА ПОСЛУГИ ТРАНСПОРТУВАННЯ ПРИРОДНОГО ГАЗУ ДЛЯ ТОЧОК ВХОДУ І ТОЧОК ВИХОДУ НА ОСНОВІ БАГАТОРІЧНОГО СТИМУЛЮЮЧОГО РЕГУЛЮВАННЯ</w:t>
            </w:r>
          </w:p>
        </w:tc>
      </w:tr>
      <w:tr w:rsidR="00A02F89" w:rsidRPr="00D86447" w:rsidTr="0056452B">
        <w:tc>
          <w:tcPr>
            <w:tcW w:w="7564" w:type="dxa"/>
            <w:tcBorders>
              <w:top w:val="single" w:sz="4" w:space="0" w:color="auto"/>
            </w:tcBorders>
          </w:tcPr>
          <w:p w:rsidR="00A02F89" w:rsidRPr="00D86447" w:rsidRDefault="00E0217A" w:rsidP="00E0217A">
            <w:pPr>
              <w:spacing w:line="216" w:lineRule="auto"/>
              <w:ind w:firstLine="709"/>
              <w:jc w:val="center"/>
              <w:rPr>
                <w:rFonts w:ascii="Times New Roman" w:eastAsia="Times New Roman" w:hAnsi="Times New Roman" w:cs="Times New Roman"/>
                <w:b/>
                <w:color w:val="000000" w:themeColor="text1"/>
                <w:sz w:val="24"/>
                <w:szCs w:val="24"/>
              </w:rPr>
            </w:pPr>
            <w:r w:rsidRPr="00D86447">
              <w:rPr>
                <w:rFonts w:ascii="Times New Roman" w:hAnsi="Times New Roman" w:cs="Times New Roman"/>
                <w:b/>
                <w:bCs/>
                <w:color w:val="000000" w:themeColor="text1"/>
                <w:sz w:val="24"/>
                <w:szCs w:val="24"/>
                <w:shd w:val="clear" w:color="auto" w:fill="FFFFFF"/>
              </w:rPr>
              <w:t xml:space="preserve">VІI. Визначення та затвердження коефіцієнтів для потужності з обмеженнями до тарифів на послуги </w:t>
            </w:r>
            <w:r w:rsidRPr="00D86447">
              <w:rPr>
                <w:rFonts w:ascii="Times New Roman" w:hAnsi="Times New Roman" w:cs="Times New Roman"/>
                <w:b/>
                <w:bCs/>
                <w:color w:val="000000" w:themeColor="text1"/>
                <w:sz w:val="24"/>
                <w:szCs w:val="24"/>
                <w:shd w:val="clear" w:color="auto" w:fill="FFFFFF"/>
              </w:rPr>
              <w:lastRenderedPageBreak/>
              <w:t>транспортування природного газу для точок входу і виходу в/з газотранспортну(</w:t>
            </w:r>
            <w:proofErr w:type="spellStart"/>
            <w:r w:rsidRPr="00D86447">
              <w:rPr>
                <w:rFonts w:ascii="Times New Roman" w:hAnsi="Times New Roman" w:cs="Times New Roman"/>
                <w:b/>
                <w:bCs/>
                <w:color w:val="000000" w:themeColor="text1"/>
                <w:sz w:val="24"/>
                <w:szCs w:val="24"/>
                <w:shd w:val="clear" w:color="auto" w:fill="FFFFFF"/>
              </w:rPr>
              <w:t>ої</w:t>
            </w:r>
            <w:proofErr w:type="spellEnd"/>
            <w:r w:rsidRPr="00D86447">
              <w:rPr>
                <w:rFonts w:ascii="Times New Roman" w:hAnsi="Times New Roman" w:cs="Times New Roman"/>
                <w:b/>
                <w:bCs/>
                <w:color w:val="000000" w:themeColor="text1"/>
                <w:sz w:val="24"/>
                <w:szCs w:val="24"/>
                <w:shd w:val="clear" w:color="auto" w:fill="FFFFFF"/>
              </w:rPr>
              <w:t>) систему(и)</w:t>
            </w:r>
          </w:p>
        </w:tc>
        <w:tc>
          <w:tcPr>
            <w:tcW w:w="7564" w:type="dxa"/>
            <w:tcBorders>
              <w:top w:val="single" w:sz="4" w:space="0" w:color="auto"/>
            </w:tcBorders>
          </w:tcPr>
          <w:p w:rsidR="00A02F89" w:rsidRPr="00D86447" w:rsidRDefault="00E0217A" w:rsidP="00E0217A">
            <w:pPr>
              <w:spacing w:line="216" w:lineRule="auto"/>
              <w:ind w:firstLine="709"/>
              <w:jc w:val="center"/>
              <w:rPr>
                <w:rFonts w:ascii="Times New Roman" w:eastAsia="Times New Roman" w:hAnsi="Times New Roman" w:cs="Times New Roman"/>
                <w:b/>
                <w:color w:val="000000" w:themeColor="text1"/>
                <w:sz w:val="24"/>
                <w:szCs w:val="24"/>
              </w:rPr>
            </w:pPr>
            <w:r w:rsidRPr="00D86447">
              <w:rPr>
                <w:rFonts w:ascii="Times New Roman" w:hAnsi="Times New Roman" w:cs="Times New Roman"/>
                <w:b/>
                <w:bCs/>
                <w:color w:val="000000" w:themeColor="text1"/>
                <w:sz w:val="24"/>
                <w:szCs w:val="24"/>
                <w:shd w:val="clear" w:color="auto" w:fill="FFFFFF"/>
              </w:rPr>
              <w:lastRenderedPageBreak/>
              <w:t xml:space="preserve">VІI. Визначення та затвердження коефіцієнтів для потужності з обмеженнями до тарифів на послуги </w:t>
            </w:r>
            <w:r w:rsidRPr="00D86447">
              <w:rPr>
                <w:rFonts w:ascii="Times New Roman" w:hAnsi="Times New Roman" w:cs="Times New Roman"/>
                <w:b/>
                <w:bCs/>
                <w:color w:val="000000" w:themeColor="text1"/>
                <w:sz w:val="24"/>
                <w:szCs w:val="24"/>
                <w:shd w:val="clear" w:color="auto" w:fill="FFFFFF"/>
              </w:rPr>
              <w:lastRenderedPageBreak/>
              <w:t>транспортування природного газу для точок входу і виходу в/з газотранспортну(</w:t>
            </w:r>
            <w:proofErr w:type="spellStart"/>
            <w:r w:rsidRPr="00D86447">
              <w:rPr>
                <w:rFonts w:ascii="Times New Roman" w:hAnsi="Times New Roman" w:cs="Times New Roman"/>
                <w:b/>
                <w:bCs/>
                <w:color w:val="000000" w:themeColor="text1"/>
                <w:sz w:val="24"/>
                <w:szCs w:val="24"/>
                <w:shd w:val="clear" w:color="auto" w:fill="FFFFFF"/>
              </w:rPr>
              <w:t>ої</w:t>
            </w:r>
            <w:proofErr w:type="spellEnd"/>
            <w:r w:rsidRPr="00D86447">
              <w:rPr>
                <w:rFonts w:ascii="Times New Roman" w:hAnsi="Times New Roman" w:cs="Times New Roman"/>
                <w:b/>
                <w:bCs/>
                <w:color w:val="000000" w:themeColor="text1"/>
                <w:sz w:val="24"/>
                <w:szCs w:val="24"/>
                <w:shd w:val="clear" w:color="auto" w:fill="FFFFFF"/>
              </w:rPr>
              <w:t>) систему(и)</w:t>
            </w:r>
          </w:p>
        </w:tc>
      </w:tr>
      <w:tr w:rsidR="00A02F89" w:rsidRPr="00D86447" w:rsidTr="0056452B">
        <w:tc>
          <w:tcPr>
            <w:tcW w:w="7564" w:type="dxa"/>
            <w:tcBorders>
              <w:top w:val="single" w:sz="4" w:space="0" w:color="auto"/>
            </w:tcBorders>
          </w:tcPr>
          <w:p w:rsidR="00A02F89" w:rsidRPr="00910165" w:rsidRDefault="00E0217A" w:rsidP="00422F21">
            <w:pPr>
              <w:spacing w:line="216" w:lineRule="auto"/>
              <w:ind w:firstLine="709"/>
              <w:jc w:val="both"/>
              <w:rPr>
                <w:rFonts w:ascii="Times New Roman" w:hAnsi="Times New Roman" w:cs="Times New Roman"/>
                <w:sz w:val="24"/>
                <w:szCs w:val="24"/>
                <w:shd w:val="clear" w:color="auto" w:fill="FFFFFF"/>
              </w:rPr>
            </w:pPr>
            <w:r w:rsidRPr="00910165">
              <w:rPr>
                <w:rFonts w:ascii="Times New Roman" w:hAnsi="Times New Roman" w:cs="Times New Roman"/>
                <w:sz w:val="24"/>
                <w:szCs w:val="24"/>
                <w:shd w:val="clear" w:color="auto" w:fill="FFFFFF"/>
              </w:rPr>
              <w:lastRenderedPageBreak/>
              <w:t>2. Знижувальні коефіцієнти розраховуються за формулами</w:t>
            </w:r>
          </w:p>
          <w:p w:rsidR="00E0217A" w:rsidRPr="00910165" w:rsidRDefault="00E0217A" w:rsidP="00422F21">
            <w:pPr>
              <w:spacing w:line="216" w:lineRule="auto"/>
              <w:ind w:firstLine="709"/>
              <w:jc w:val="both"/>
              <w:rPr>
                <w:rFonts w:ascii="Times New Roman" w:eastAsia="Times New Roman" w:hAnsi="Times New Roman" w:cs="Times New Roman"/>
                <w:sz w:val="24"/>
                <w:szCs w:val="24"/>
              </w:rPr>
            </w:pPr>
            <w:r w:rsidRPr="00910165">
              <w:rPr>
                <w:rFonts w:ascii="Times New Roman" w:eastAsia="Times New Roman" w:hAnsi="Times New Roman" w:cs="Times New Roman"/>
                <w:sz w:val="24"/>
                <w:szCs w:val="24"/>
              </w:rPr>
              <w:t>…</w:t>
            </w:r>
          </w:p>
        </w:tc>
        <w:tc>
          <w:tcPr>
            <w:tcW w:w="7564" w:type="dxa"/>
            <w:tcBorders>
              <w:top w:val="single" w:sz="4" w:space="0" w:color="auto"/>
            </w:tcBorders>
          </w:tcPr>
          <w:p w:rsidR="00A02F89" w:rsidRPr="00910165" w:rsidRDefault="00E0217A" w:rsidP="00422F21">
            <w:pPr>
              <w:spacing w:line="216" w:lineRule="auto"/>
              <w:ind w:firstLine="709"/>
              <w:jc w:val="both"/>
              <w:rPr>
                <w:rFonts w:ascii="Times New Roman" w:hAnsi="Times New Roman" w:cs="Times New Roman"/>
                <w:sz w:val="24"/>
                <w:szCs w:val="24"/>
                <w:shd w:val="clear" w:color="auto" w:fill="FFFFFF"/>
              </w:rPr>
            </w:pPr>
            <w:r w:rsidRPr="00910165">
              <w:rPr>
                <w:rFonts w:ascii="Times New Roman" w:hAnsi="Times New Roman" w:cs="Times New Roman"/>
                <w:sz w:val="24"/>
                <w:szCs w:val="24"/>
                <w:shd w:val="clear" w:color="auto" w:fill="FFFFFF"/>
              </w:rPr>
              <w:t xml:space="preserve">2. Знижувальні коефіцієнти </w:t>
            </w:r>
            <w:r w:rsidRPr="00910165">
              <w:rPr>
                <w:rFonts w:ascii="Times New Roman" w:hAnsi="Times New Roman" w:cs="Times New Roman"/>
                <w:b/>
                <w:sz w:val="24"/>
                <w:szCs w:val="24"/>
              </w:rPr>
              <w:t>для потужності з обмеженнями до тарифів на послуги транспортування природного газу для точок входу і точок виходу в/з газотранспортну(</w:t>
            </w:r>
            <w:proofErr w:type="spellStart"/>
            <w:r w:rsidRPr="00910165">
              <w:rPr>
                <w:rFonts w:ascii="Times New Roman" w:hAnsi="Times New Roman" w:cs="Times New Roman"/>
                <w:b/>
                <w:sz w:val="24"/>
                <w:szCs w:val="24"/>
              </w:rPr>
              <w:t>ої</w:t>
            </w:r>
            <w:proofErr w:type="spellEnd"/>
            <w:r w:rsidRPr="00910165">
              <w:rPr>
                <w:rFonts w:ascii="Times New Roman" w:hAnsi="Times New Roman" w:cs="Times New Roman"/>
                <w:b/>
                <w:sz w:val="24"/>
                <w:szCs w:val="24"/>
              </w:rPr>
              <w:t>) систему(и) на міждержавних з’єднаннях</w:t>
            </w:r>
            <w:r w:rsidRPr="00910165">
              <w:rPr>
                <w:rFonts w:ascii="Times New Roman" w:hAnsi="Times New Roman" w:cs="Times New Roman"/>
                <w:sz w:val="24"/>
                <w:szCs w:val="24"/>
                <w:shd w:val="clear" w:color="auto" w:fill="FFFFFF"/>
              </w:rPr>
              <w:t xml:space="preserve"> розраховуються за формулами</w:t>
            </w:r>
          </w:p>
          <w:p w:rsidR="00E0217A" w:rsidRPr="00910165" w:rsidRDefault="00E0217A" w:rsidP="00422F21">
            <w:pPr>
              <w:spacing w:line="216" w:lineRule="auto"/>
              <w:ind w:firstLine="709"/>
              <w:jc w:val="both"/>
              <w:rPr>
                <w:rFonts w:ascii="Times New Roman" w:eastAsia="Times New Roman" w:hAnsi="Times New Roman" w:cs="Times New Roman"/>
                <w:sz w:val="24"/>
                <w:szCs w:val="24"/>
              </w:rPr>
            </w:pPr>
            <w:r w:rsidRPr="00910165">
              <w:rPr>
                <w:rFonts w:ascii="Times New Roman" w:eastAsia="Times New Roman" w:hAnsi="Times New Roman" w:cs="Times New Roman"/>
                <w:sz w:val="24"/>
                <w:szCs w:val="24"/>
              </w:rPr>
              <w:t>…</w:t>
            </w:r>
          </w:p>
        </w:tc>
      </w:tr>
      <w:tr w:rsidR="00A02F89" w:rsidRPr="00D86447" w:rsidTr="0056452B">
        <w:tc>
          <w:tcPr>
            <w:tcW w:w="7564" w:type="dxa"/>
            <w:tcBorders>
              <w:top w:val="single" w:sz="4" w:space="0" w:color="auto"/>
            </w:tcBorders>
          </w:tcPr>
          <w:p w:rsidR="00D86447" w:rsidRPr="00D86447" w:rsidRDefault="00D86447" w:rsidP="00D86447">
            <w:pPr>
              <w:shd w:val="clear" w:color="auto" w:fill="FFFFFF"/>
              <w:spacing w:line="240" w:lineRule="auto"/>
              <w:ind w:firstLine="709"/>
              <w:jc w:val="both"/>
              <w:rPr>
                <w:rFonts w:ascii="Times New Roman" w:eastAsia="Times New Roman" w:hAnsi="Times New Roman" w:cs="Times New Roman"/>
                <w:b/>
                <w:color w:val="000000" w:themeColor="text1"/>
                <w:sz w:val="24"/>
                <w:szCs w:val="24"/>
              </w:rPr>
            </w:pPr>
            <w:r w:rsidRPr="00D86447">
              <w:rPr>
                <w:rFonts w:ascii="Times New Roman" w:eastAsia="Times New Roman" w:hAnsi="Times New Roman" w:cs="Times New Roman"/>
                <w:b/>
                <w:color w:val="000000" w:themeColor="text1"/>
                <w:sz w:val="24"/>
                <w:szCs w:val="24"/>
              </w:rPr>
              <w:t xml:space="preserve">Норма відсутня </w:t>
            </w:r>
          </w:p>
          <w:p w:rsidR="00A02F89" w:rsidRDefault="00A02F89" w:rsidP="00422F21">
            <w:pPr>
              <w:spacing w:line="216" w:lineRule="auto"/>
              <w:ind w:firstLine="709"/>
              <w:jc w:val="both"/>
              <w:rPr>
                <w:rFonts w:ascii="Times New Roman" w:eastAsia="Times New Roman" w:hAnsi="Times New Roman" w:cs="Times New Roman"/>
                <w:b/>
                <w:color w:val="000000" w:themeColor="text1"/>
                <w:sz w:val="24"/>
                <w:szCs w:val="24"/>
              </w:rPr>
            </w:pPr>
          </w:p>
          <w:p w:rsidR="00910165" w:rsidRDefault="00910165" w:rsidP="00422F21">
            <w:pPr>
              <w:spacing w:line="216" w:lineRule="auto"/>
              <w:ind w:firstLine="709"/>
              <w:jc w:val="both"/>
              <w:rPr>
                <w:rFonts w:ascii="Times New Roman" w:eastAsia="Times New Roman" w:hAnsi="Times New Roman" w:cs="Times New Roman"/>
                <w:b/>
                <w:color w:val="000000" w:themeColor="text1"/>
                <w:sz w:val="24"/>
                <w:szCs w:val="24"/>
              </w:rPr>
            </w:pPr>
          </w:p>
          <w:p w:rsidR="00910165" w:rsidRDefault="00910165" w:rsidP="00422F21">
            <w:pPr>
              <w:spacing w:line="216" w:lineRule="auto"/>
              <w:ind w:firstLine="709"/>
              <w:jc w:val="both"/>
              <w:rPr>
                <w:rFonts w:ascii="Times New Roman" w:eastAsia="Times New Roman" w:hAnsi="Times New Roman" w:cs="Times New Roman"/>
                <w:b/>
                <w:color w:val="000000" w:themeColor="text1"/>
                <w:sz w:val="24"/>
                <w:szCs w:val="24"/>
              </w:rPr>
            </w:pPr>
          </w:p>
          <w:p w:rsidR="00910165" w:rsidRDefault="00910165" w:rsidP="00422F21">
            <w:pPr>
              <w:spacing w:line="216" w:lineRule="auto"/>
              <w:ind w:firstLine="709"/>
              <w:jc w:val="both"/>
              <w:rPr>
                <w:rFonts w:ascii="Times New Roman" w:eastAsia="Times New Roman" w:hAnsi="Times New Roman" w:cs="Times New Roman"/>
                <w:b/>
                <w:color w:val="000000" w:themeColor="text1"/>
                <w:sz w:val="24"/>
                <w:szCs w:val="24"/>
              </w:rPr>
            </w:pPr>
          </w:p>
          <w:p w:rsidR="00910165" w:rsidRPr="00D86447" w:rsidRDefault="00910165" w:rsidP="00422F21">
            <w:pPr>
              <w:spacing w:line="216" w:lineRule="auto"/>
              <w:ind w:firstLine="709"/>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w:t>
            </w:r>
          </w:p>
        </w:tc>
        <w:tc>
          <w:tcPr>
            <w:tcW w:w="7564" w:type="dxa"/>
            <w:tcBorders>
              <w:top w:val="single" w:sz="4" w:space="0" w:color="auto"/>
            </w:tcBorders>
          </w:tcPr>
          <w:p w:rsidR="00D86447" w:rsidRPr="00D86447" w:rsidRDefault="00D86447" w:rsidP="00D86447">
            <w:pPr>
              <w:ind w:firstLine="709"/>
              <w:jc w:val="both"/>
              <w:rPr>
                <w:rFonts w:ascii="Times New Roman" w:hAnsi="Times New Roman" w:cs="Times New Roman"/>
                <w:b/>
                <w:bCs/>
                <w:sz w:val="24"/>
                <w:szCs w:val="24"/>
              </w:rPr>
            </w:pPr>
            <w:r w:rsidRPr="00D86447">
              <w:rPr>
                <w:rFonts w:ascii="Times New Roman" w:hAnsi="Times New Roman" w:cs="Times New Roman"/>
                <w:b/>
                <w:bCs/>
                <w:sz w:val="24"/>
                <w:szCs w:val="24"/>
              </w:rPr>
              <w:t>3. Знижувальні коефіцієнти для потужності з обмеженнями для постачання видобутого природного газу можуть приймати значення від 0 до 0,5.</w:t>
            </w:r>
          </w:p>
          <w:p w:rsidR="00A02F89" w:rsidRDefault="00D86447" w:rsidP="00D86447">
            <w:pPr>
              <w:spacing w:line="216" w:lineRule="auto"/>
              <w:ind w:firstLine="709"/>
              <w:jc w:val="both"/>
              <w:rPr>
                <w:rFonts w:ascii="Times New Roman" w:hAnsi="Times New Roman" w:cs="Times New Roman"/>
                <w:b/>
                <w:bCs/>
                <w:sz w:val="24"/>
                <w:szCs w:val="24"/>
              </w:rPr>
            </w:pPr>
            <w:r w:rsidRPr="00D86447">
              <w:rPr>
                <w:rFonts w:ascii="Times New Roman" w:hAnsi="Times New Roman" w:cs="Times New Roman"/>
                <w:b/>
                <w:bCs/>
                <w:sz w:val="24"/>
                <w:szCs w:val="24"/>
              </w:rPr>
              <w:t>Оператор газотранспортної системи надає НКРЕКП розрахунки та  обґрунтування застосування таких коефіцієнтів.</w:t>
            </w:r>
          </w:p>
          <w:p w:rsidR="00910165" w:rsidRPr="00D86447" w:rsidRDefault="00910165" w:rsidP="00D86447">
            <w:pPr>
              <w:spacing w:line="216" w:lineRule="auto"/>
              <w:ind w:firstLine="709"/>
              <w:jc w:val="both"/>
              <w:rPr>
                <w:rFonts w:ascii="Times New Roman" w:eastAsia="Times New Roman" w:hAnsi="Times New Roman" w:cs="Times New Roman"/>
                <w:b/>
                <w:color w:val="000000" w:themeColor="text1"/>
                <w:sz w:val="24"/>
                <w:szCs w:val="24"/>
              </w:rPr>
            </w:pPr>
            <w:r>
              <w:rPr>
                <w:rFonts w:ascii="Times New Roman" w:hAnsi="Times New Roman" w:cs="Times New Roman"/>
                <w:b/>
                <w:bCs/>
                <w:sz w:val="24"/>
                <w:szCs w:val="24"/>
              </w:rPr>
              <w:t>…</w:t>
            </w:r>
          </w:p>
        </w:tc>
      </w:tr>
    </w:tbl>
    <w:p w:rsidR="00EB0495" w:rsidRDefault="00EB0495" w:rsidP="00422F21">
      <w:pPr>
        <w:spacing w:after="0" w:line="216" w:lineRule="auto"/>
        <w:rPr>
          <w:rFonts w:ascii="Times New Roman" w:eastAsia="Times New Roman" w:hAnsi="Times New Roman" w:cs="Times New Roman"/>
          <w:b/>
          <w:bCs/>
          <w:color w:val="000000"/>
          <w:sz w:val="24"/>
          <w:szCs w:val="24"/>
        </w:rPr>
      </w:pPr>
    </w:p>
    <w:p w:rsidR="00910165" w:rsidRDefault="00910165" w:rsidP="00422F21">
      <w:pPr>
        <w:spacing w:after="0" w:line="216" w:lineRule="auto"/>
        <w:rPr>
          <w:rFonts w:ascii="Times New Roman" w:eastAsia="Times New Roman" w:hAnsi="Times New Roman" w:cs="Times New Roman"/>
          <w:b/>
          <w:bCs/>
          <w:color w:val="000000"/>
          <w:sz w:val="24"/>
          <w:szCs w:val="24"/>
        </w:rPr>
      </w:pPr>
    </w:p>
    <w:p w:rsidR="00910165" w:rsidRDefault="00910165" w:rsidP="00422F21">
      <w:pPr>
        <w:spacing w:after="0" w:line="216" w:lineRule="auto"/>
        <w:rPr>
          <w:rFonts w:ascii="Times New Roman" w:eastAsia="Times New Roman" w:hAnsi="Times New Roman" w:cs="Times New Roman"/>
          <w:b/>
          <w:bCs/>
          <w:color w:val="000000"/>
          <w:sz w:val="24"/>
          <w:szCs w:val="24"/>
        </w:rPr>
      </w:pPr>
    </w:p>
    <w:p w:rsidR="002E498B" w:rsidRDefault="002E498B" w:rsidP="002E498B">
      <w:pPr>
        <w:spacing w:after="0" w:line="216" w:lineRule="auto"/>
        <w:rPr>
          <w:rFonts w:ascii="Times New Roman" w:eastAsia="Times New Roman" w:hAnsi="Times New Roman" w:cs="Times New Roman"/>
          <w:b/>
          <w:bCs/>
          <w:color w:val="000000" w:themeColor="text1"/>
          <w:sz w:val="27"/>
          <w:szCs w:val="27"/>
        </w:rPr>
      </w:pPr>
      <w:r>
        <w:rPr>
          <w:rFonts w:ascii="Times New Roman" w:eastAsia="Times New Roman" w:hAnsi="Times New Roman" w:cs="Times New Roman"/>
          <w:b/>
          <w:bCs/>
          <w:color w:val="000000" w:themeColor="text1"/>
          <w:sz w:val="27"/>
          <w:szCs w:val="27"/>
        </w:rPr>
        <w:t>Заступник директора Департаменту</w:t>
      </w:r>
    </w:p>
    <w:p w:rsidR="002E498B" w:rsidRDefault="002E498B" w:rsidP="002E498B">
      <w:pPr>
        <w:spacing w:after="0" w:line="216" w:lineRule="auto"/>
        <w:rPr>
          <w:rFonts w:ascii="Times New Roman" w:eastAsia="Times New Roman" w:hAnsi="Times New Roman" w:cs="Times New Roman"/>
          <w:b/>
          <w:bCs/>
          <w:color w:val="000000" w:themeColor="text1"/>
          <w:sz w:val="27"/>
          <w:szCs w:val="27"/>
        </w:rPr>
      </w:pPr>
      <w:r>
        <w:rPr>
          <w:rFonts w:ascii="Times New Roman" w:eastAsia="Times New Roman" w:hAnsi="Times New Roman" w:cs="Times New Roman"/>
          <w:b/>
          <w:bCs/>
          <w:color w:val="000000" w:themeColor="text1"/>
          <w:sz w:val="27"/>
          <w:szCs w:val="27"/>
        </w:rPr>
        <w:t xml:space="preserve">із регулювання відносин у нафтогазовій сфері </w:t>
      </w:r>
      <w:r>
        <w:rPr>
          <w:rFonts w:ascii="Times New Roman" w:eastAsia="Times New Roman" w:hAnsi="Times New Roman" w:cs="Times New Roman"/>
          <w:b/>
          <w:bCs/>
          <w:color w:val="000000" w:themeColor="text1"/>
          <w:sz w:val="27"/>
          <w:szCs w:val="27"/>
        </w:rPr>
        <w:tab/>
      </w:r>
      <w:r>
        <w:rPr>
          <w:rFonts w:ascii="Times New Roman" w:eastAsia="Times New Roman" w:hAnsi="Times New Roman" w:cs="Times New Roman"/>
          <w:b/>
          <w:bCs/>
          <w:color w:val="000000" w:themeColor="text1"/>
          <w:sz w:val="27"/>
          <w:szCs w:val="27"/>
        </w:rPr>
        <w:tab/>
      </w:r>
      <w:r>
        <w:rPr>
          <w:rFonts w:ascii="Times New Roman" w:eastAsia="Times New Roman" w:hAnsi="Times New Roman" w:cs="Times New Roman"/>
          <w:b/>
          <w:bCs/>
          <w:color w:val="000000" w:themeColor="text1"/>
          <w:sz w:val="27"/>
          <w:szCs w:val="27"/>
        </w:rPr>
        <w:tab/>
      </w:r>
      <w:r>
        <w:rPr>
          <w:rFonts w:ascii="Times New Roman" w:eastAsia="Times New Roman" w:hAnsi="Times New Roman" w:cs="Times New Roman"/>
          <w:b/>
          <w:bCs/>
          <w:color w:val="000000" w:themeColor="text1"/>
          <w:sz w:val="27"/>
          <w:szCs w:val="27"/>
        </w:rPr>
        <w:tab/>
      </w:r>
      <w:r>
        <w:rPr>
          <w:rFonts w:ascii="Times New Roman" w:eastAsia="Times New Roman" w:hAnsi="Times New Roman" w:cs="Times New Roman"/>
          <w:b/>
          <w:bCs/>
          <w:color w:val="000000" w:themeColor="text1"/>
          <w:sz w:val="27"/>
          <w:szCs w:val="27"/>
        </w:rPr>
        <w:tab/>
      </w:r>
      <w:r>
        <w:rPr>
          <w:rFonts w:ascii="Times New Roman" w:eastAsia="Times New Roman" w:hAnsi="Times New Roman" w:cs="Times New Roman"/>
          <w:b/>
          <w:bCs/>
          <w:color w:val="000000" w:themeColor="text1"/>
          <w:sz w:val="27"/>
          <w:szCs w:val="27"/>
        </w:rPr>
        <w:tab/>
      </w:r>
      <w:r>
        <w:rPr>
          <w:rFonts w:ascii="Times New Roman" w:eastAsia="Times New Roman" w:hAnsi="Times New Roman" w:cs="Times New Roman"/>
          <w:b/>
          <w:bCs/>
          <w:color w:val="000000" w:themeColor="text1"/>
          <w:sz w:val="27"/>
          <w:szCs w:val="27"/>
        </w:rPr>
        <w:tab/>
      </w:r>
      <w:r>
        <w:rPr>
          <w:rFonts w:ascii="Times New Roman" w:eastAsia="Times New Roman" w:hAnsi="Times New Roman" w:cs="Times New Roman"/>
          <w:b/>
          <w:bCs/>
          <w:color w:val="000000" w:themeColor="text1"/>
          <w:sz w:val="27"/>
          <w:szCs w:val="27"/>
        </w:rPr>
        <w:tab/>
      </w:r>
      <w:r>
        <w:rPr>
          <w:rFonts w:ascii="Times New Roman" w:eastAsia="Times New Roman" w:hAnsi="Times New Roman" w:cs="Times New Roman"/>
          <w:b/>
          <w:bCs/>
          <w:color w:val="000000" w:themeColor="text1"/>
          <w:sz w:val="27"/>
          <w:szCs w:val="27"/>
        </w:rPr>
        <w:tab/>
        <w:t xml:space="preserve">            Олена САФ’ЯНЦ </w:t>
      </w:r>
    </w:p>
    <w:p w:rsidR="00910165" w:rsidRPr="00910165" w:rsidRDefault="00910165" w:rsidP="002E498B">
      <w:pPr>
        <w:spacing w:after="0" w:line="216" w:lineRule="auto"/>
        <w:rPr>
          <w:rFonts w:ascii="Times New Roman" w:eastAsia="Times New Roman" w:hAnsi="Times New Roman" w:cs="Times New Roman"/>
          <w:b/>
          <w:bCs/>
          <w:color w:val="000000"/>
          <w:sz w:val="28"/>
          <w:szCs w:val="28"/>
        </w:rPr>
      </w:pPr>
      <w:bookmarkStart w:id="3" w:name="_GoBack"/>
      <w:bookmarkEnd w:id="3"/>
    </w:p>
    <w:sectPr w:rsidR="00910165" w:rsidRPr="00910165" w:rsidSect="00ED19B6">
      <w:footerReference w:type="default" r:id="rId6"/>
      <w:pgSz w:w="16838" w:h="11906" w:orient="landscape"/>
      <w:pgMar w:top="851" w:right="850" w:bottom="850" w:left="85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48EB" w:rsidRDefault="00CD48EB" w:rsidP="00C24EEB">
      <w:pPr>
        <w:spacing w:after="0" w:line="240" w:lineRule="auto"/>
      </w:pPr>
      <w:r>
        <w:separator/>
      </w:r>
    </w:p>
  </w:endnote>
  <w:endnote w:type="continuationSeparator" w:id="0">
    <w:p w:rsidR="00CD48EB" w:rsidRDefault="00CD48EB" w:rsidP="00C24E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72505"/>
      <w:docPartObj>
        <w:docPartGallery w:val="Page Numbers (Bottom of Page)"/>
        <w:docPartUnique/>
      </w:docPartObj>
    </w:sdtPr>
    <w:sdtEndPr/>
    <w:sdtContent>
      <w:p w:rsidR="00C24EEB" w:rsidRDefault="00414566">
        <w:pPr>
          <w:pStyle w:val="a7"/>
          <w:jc w:val="right"/>
        </w:pPr>
        <w:r>
          <w:fldChar w:fldCharType="begin"/>
        </w:r>
        <w:r w:rsidR="00C24EEB">
          <w:instrText>PAGE   \* MERGEFORMAT</w:instrText>
        </w:r>
        <w:r>
          <w:fldChar w:fldCharType="separate"/>
        </w:r>
        <w:r w:rsidR="00910165">
          <w:rPr>
            <w:noProof/>
          </w:rPr>
          <w:t>4</w:t>
        </w:r>
        <w:r>
          <w:fldChar w:fldCharType="end"/>
        </w:r>
      </w:p>
    </w:sdtContent>
  </w:sdt>
  <w:p w:rsidR="00C24EEB" w:rsidRDefault="00C24EE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48EB" w:rsidRDefault="00CD48EB" w:rsidP="00C24EEB">
      <w:pPr>
        <w:spacing w:after="0" w:line="240" w:lineRule="auto"/>
      </w:pPr>
      <w:r>
        <w:separator/>
      </w:r>
    </w:p>
  </w:footnote>
  <w:footnote w:type="continuationSeparator" w:id="0">
    <w:p w:rsidR="00CD48EB" w:rsidRDefault="00CD48EB" w:rsidP="00C24EE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C04DE"/>
    <w:rsid w:val="00036AA4"/>
    <w:rsid w:val="00047134"/>
    <w:rsid w:val="00063088"/>
    <w:rsid w:val="000A36AE"/>
    <w:rsid w:val="000A512C"/>
    <w:rsid w:val="000C04DE"/>
    <w:rsid w:val="001016BD"/>
    <w:rsid w:val="00125869"/>
    <w:rsid w:val="00147EC0"/>
    <w:rsid w:val="001A3639"/>
    <w:rsid w:val="001C0914"/>
    <w:rsid w:val="00211F06"/>
    <w:rsid w:val="00212480"/>
    <w:rsid w:val="00231724"/>
    <w:rsid w:val="002522C5"/>
    <w:rsid w:val="00260DFD"/>
    <w:rsid w:val="00272BD8"/>
    <w:rsid w:val="00283D58"/>
    <w:rsid w:val="002E498B"/>
    <w:rsid w:val="0030166B"/>
    <w:rsid w:val="00316BA2"/>
    <w:rsid w:val="00356F27"/>
    <w:rsid w:val="00357AE4"/>
    <w:rsid w:val="003B1F75"/>
    <w:rsid w:val="00405984"/>
    <w:rsid w:val="00414566"/>
    <w:rsid w:val="00420C2B"/>
    <w:rsid w:val="00422F21"/>
    <w:rsid w:val="004565D3"/>
    <w:rsid w:val="0047565F"/>
    <w:rsid w:val="004824DF"/>
    <w:rsid w:val="004A0E03"/>
    <w:rsid w:val="004F37B6"/>
    <w:rsid w:val="00503489"/>
    <w:rsid w:val="00527563"/>
    <w:rsid w:val="0053082B"/>
    <w:rsid w:val="0056452B"/>
    <w:rsid w:val="005A2ECE"/>
    <w:rsid w:val="00600105"/>
    <w:rsid w:val="006528D2"/>
    <w:rsid w:val="0068294B"/>
    <w:rsid w:val="00770C34"/>
    <w:rsid w:val="0078296D"/>
    <w:rsid w:val="007C2486"/>
    <w:rsid w:val="00836BB9"/>
    <w:rsid w:val="008B5F29"/>
    <w:rsid w:val="008D7E0F"/>
    <w:rsid w:val="00910165"/>
    <w:rsid w:val="009372D8"/>
    <w:rsid w:val="00976C3B"/>
    <w:rsid w:val="009D4461"/>
    <w:rsid w:val="00A02F89"/>
    <w:rsid w:val="00A51DD6"/>
    <w:rsid w:val="00A6250F"/>
    <w:rsid w:val="00A96938"/>
    <w:rsid w:val="00AE67F1"/>
    <w:rsid w:val="00AF2B6A"/>
    <w:rsid w:val="00B203B3"/>
    <w:rsid w:val="00BC110C"/>
    <w:rsid w:val="00BC72BA"/>
    <w:rsid w:val="00BD6FCF"/>
    <w:rsid w:val="00C24EEB"/>
    <w:rsid w:val="00C36233"/>
    <w:rsid w:val="00C50845"/>
    <w:rsid w:val="00C63FDD"/>
    <w:rsid w:val="00C74DAB"/>
    <w:rsid w:val="00CD48EB"/>
    <w:rsid w:val="00CF083D"/>
    <w:rsid w:val="00CF17AC"/>
    <w:rsid w:val="00D30967"/>
    <w:rsid w:val="00D34802"/>
    <w:rsid w:val="00D4635D"/>
    <w:rsid w:val="00D63653"/>
    <w:rsid w:val="00D86447"/>
    <w:rsid w:val="00DB716D"/>
    <w:rsid w:val="00E0217A"/>
    <w:rsid w:val="00E57B04"/>
    <w:rsid w:val="00EB0495"/>
    <w:rsid w:val="00ED19B6"/>
    <w:rsid w:val="00F516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D7BC8B-D7B4-43F3-878F-75BB34C95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D19B6"/>
    <w:pPr>
      <w:spacing w:line="256" w:lineRule="auto"/>
    </w:pPr>
    <w:rPr>
      <w:rFonts w:ascii="Calibri" w:eastAsia="Calibri" w:hAnsi="Calibri" w:cs="Calibri"/>
      <w:lang w:eastAsia="uk-UA"/>
    </w:rPr>
  </w:style>
  <w:style w:type="paragraph" w:styleId="3">
    <w:name w:val="heading 3"/>
    <w:basedOn w:val="a"/>
    <w:next w:val="a"/>
    <w:link w:val="30"/>
    <w:uiPriority w:val="9"/>
    <w:semiHidden/>
    <w:unhideWhenUsed/>
    <w:qFormat/>
    <w:rsid w:val="00A96938"/>
    <w:pPr>
      <w:keepNext/>
      <w:keepLines/>
      <w:spacing w:before="160" w:after="80" w:line="276" w:lineRule="auto"/>
      <w:outlineLvl w:val="2"/>
    </w:pPr>
    <w:rPr>
      <w:rFonts w:eastAsiaTheme="majorEastAsia" w:cstheme="majorBidi"/>
      <w:color w:val="2F5496" w:themeColor="accent1" w:themeShade="BF"/>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D19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47565F"/>
    <w:rPr>
      <w:color w:val="0563C1" w:themeColor="hyperlink"/>
      <w:u w:val="single"/>
    </w:rPr>
  </w:style>
  <w:style w:type="paragraph" w:customStyle="1" w:styleId="rvps2">
    <w:name w:val="rvps2"/>
    <w:basedOn w:val="a"/>
    <w:rsid w:val="00D34802"/>
    <w:pPr>
      <w:spacing w:before="100" w:beforeAutospacing="1" w:after="100" w:afterAutospacing="1" w:line="240" w:lineRule="auto"/>
    </w:pPr>
    <w:rPr>
      <w:rFonts w:ascii="Times New Roman" w:hAnsi="Times New Roman" w:cs="Times New Roman"/>
      <w:sz w:val="24"/>
      <w:szCs w:val="24"/>
    </w:rPr>
  </w:style>
  <w:style w:type="character" w:customStyle="1" w:styleId="30">
    <w:name w:val="Заголовок 3 Знак"/>
    <w:basedOn w:val="a0"/>
    <w:link w:val="3"/>
    <w:uiPriority w:val="9"/>
    <w:semiHidden/>
    <w:rsid w:val="00A96938"/>
    <w:rPr>
      <w:rFonts w:ascii="Calibri" w:eastAsiaTheme="majorEastAsia" w:hAnsi="Calibri" w:cstheme="majorBidi"/>
      <w:color w:val="2F5496" w:themeColor="accent1" w:themeShade="BF"/>
      <w:sz w:val="28"/>
      <w:szCs w:val="28"/>
    </w:rPr>
  </w:style>
  <w:style w:type="paragraph" w:styleId="a5">
    <w:name w:val="header"/>
    <w:basedOn w:val="a"/>
    <w:link w:val="a6"/>
    <w:uiPriority w:val="99"/>
    <w:unhideWhenUsed/>
    <w:rsid w:val="00C24EEB"/>
    <w:pPr>
      <w:tabs>
        <w:tab w:val="center" w:pos="4819"/>
        <w:tab w:val="right" w:pos="9639"/>
      </w:tabs>
      <w:spacing w:after="0" w:line="240" w:lineRule="auto"/>
    </w:pPr>
  </w:style>
  <w:style w:type="character" w:customStyle="1" w:styleId="a6">
    <w:name w:val="Верхній колонтитул Знак"/>
    <w:basedOn w:val="a0"/>
    <w:link w:val="a5"/>
    <w:uiPriority w:val="99"/>
    <w:rsid w:val="00C24EEB"/>
    <w:rPr>
      <w:rFonts w:ascii="Calibri" w:eastAsia="Calibri" w:hAnsi="Calibri" w:cs="Calibri"/>
      <w:lang w:eastAsia="uk-UA"/>
    </w:rPr>
  </w:style>
  <w:style w:type="paragraph" w:styleId="a7">
    <w:name w:val="footer"/>
    <w:basedOn w:val="a"/>
    <w:link w:val="a8"/>
    <w:uiPriority w:val="99"/>
    <w:unhideWhenUsed/>
    <w:rsid w:val="00C24EEB"/>
    <w:pPr>
      <w:tabs>
        <w:tab w:val="center" w:pos="4819"/>
        <w:tab w:val="right" w:pos="9639"/>
      </w:tabs>
      <w:spacing w:after="0" w:line="240" w:lineRule="auto"/>
    </w:pPr>
  </w:style>
  <w:style w:type="character" w:customStyle="1" w:styleId="a8">
    <w:name w:val="Нижній колонтитул Знак"/>
    <w:basedOn w:val="a0"/>
    <w:link w:val="a7"/>
    <w:uiPriority w:val="99"/>
    <w:rsid w:val="00C24EEB"/>
    <w:rPr>
      <w:rFonts w:ascii="Calibri" w:eastAsia="Calibri" w:hAnsi="Calibri" w:cs="Calibri"/>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377">
      <w:bodyDiv w:val="1"/>
      <w:marLeft w:val="0"/>
      <w:marRight w:val="0"/>
      <w:marTop w:val="0"/>
      <w:marBottom w:val="0"/>
      <w:divBdr>
        <w:top w:val="none" w:sz="0" w:space="0" w:color="auto"/>
        <w:left w:val="none" w:sz="0" w:space="0" w:color="auto"/>
        <w:bottom w:val="none" w:sz="0" w:space="0" w:color="auto"/>
        <w:right w:val="none" w:sz="0" w:space="0" w:color="auto"/>
      </w:divBdr>
    </w:div>
    <w:div w:id="85197465">
      <w:bodyDiv w:val="1"/>
      <w:marLeft w:val="0"/>
      <w:marRight w:val="0"/>
      <w:marTop w:val="0"/>
      <w:marBottom w:val="0"/>
      <w:divBdr>
        <w:top w:val="none" w:sz="0" w:space="0" w:color="auto"/>
        <w:left w:val="none" w:sz="0" w:space="0" w:color="auto"/>
        <w:bottom w:val="none" w:sz="0" w:space="0" w:color="auto"/>
        <w:right w:val="none" w:sz="0" w:space="0" w:color="auto"/>
      </w:divBdr>
    </w:div>
    <w:div w:id="287513260">
      <w:bodyDiv w:val="1"/>
      <w:marLeft w:val="0"/>
      <w:marRight w:val="0"/>
      <w:marTop w:val="0"/>
      <w:marBottom w:val="0"/>
      <w:divBdr>
        <w:top w:val="none" w:sz="0" w:space="0" w:color="auto"/>
        <w:left w:val="none" w:sz="0" w:space="0" w:color="auto"/>
        <w:bottom w:val="none" w:sz="0" w:space="0" w:color="auto"/>
        <w:right w:val="none" w:sz="0" w:space="0" w:color="auto"/>
      </w:divBdr>
    </w:div>
    <w:div w:id="488250880">
      <w:bodyDiv w:val="1"/>
      <w:marLeft w:val="0"/>
      <w:marRight w:val="0"/>
      <w:marTop w:val="0"/>
      <w:marBottom w:val="0"/>
      <w:divBdr>
        <w:top w:val="none" w:sz="0" w:space="0" w:color="auto"/>
        <w:left w:val="none" w:sz="0" w:space="0" w:color="auto"/>
        <w:bottom w:val="none" w:sz="0" w:space="0" w:color="auto"/>
        <w:right w:val="none" w:sz="0" w:space="0" w:color="auto"/>
      </w:divBdr>
    </w:div>
    <w:div w:id="493109483">
      <w:bodyDiv w:val="1"/>
      <w:marLeft w:val="0"/>
      <w:marRight w:val="0"/>
      <w:marTop w:val="0"/>
      <w:marBottom w:val="0"/>
      <w:divBdr>
        <w:top w:val="none" w:sz="0" w:space="0" w:color="auto"/>
        <w:left w:val="none" w:sz="0" w:space="0" w:color="auto"/>
        <w:bottom w:val="none" w:sz="0" w:space="0" w:color="auto"/>
        <w:right w:val="none" w:sz="0" w:space="0" w:color="auto"/>
      </w:divBdr>
    </w:div>
    <w:div w:id="594827627">
      <w:bodyDiv w:val="1"/>
      <w:marLeft w:val="0"/>
      <w:marRight w:val="0"/>
      <w:marTop w:val="0"/>
      <w:marBottom w:val="0"/>
      <w:divBdr>
        <w:top w:val="none" w:sz="0" w:space="0" w:color="auto"/>
        <w:left w:val="none" w:sz="0" w:space="0" w:color="auto"/>
        <w:bottom w:val="none" w:sz="0" w:space="0" w:color="auto"/>
        <w:right w:val="none" w:sz="0" w:space="0" w:color="auto"/>
      </w:divBdr>
    </w:div>
    <w:div w:id="796026392">
      <w:bodyDiv w:val="1"/>
      <w:marLeft w:val="0"/>
      <w:marRight w:val="0"/>
      <w:marTop w:val="0"/>
      <w:marBottom w:val="0"/>
      <w:divBdr>
        <w:top w:val="none" w:sz="0" w:space="0" w:color="auto"/>
        <w:left w:val="none" w:sz="0" w:space="0" w:color="auto"/>
        <w:bottom w:val="none" w:sz="0" w:space="0" w:color="auto"/>
        <w:right w:val="none" w:sz="0" w:space="0" w:color="auto"/>
      </w:divBdr>
    </w:div>
    <w:div w:id="862674469">
      <w:bodyDiv w:val="1"/>
      <w:marLeft w:val="0"/>
      <w:marRight w:val="0"/>
      <w:marTop w:val="0"/>
      <w:marBottom w:val="0"/>
      <w:divBdr>
        <w:top w:val="none" w:sz="0" w:space="0" w:color="auto"/>
        <w:left w:val="none" w:sz="0" w:space="0" w:color="auto"/>
        <w:bottom w:val="none" w:sz="0" w:space="0" w:color="auto"/>
        <w:right w:val="none" w:sz="0" w:space="0" w:color="auto"/>
      </w:divBdr>
    </w:div>
    <w:div w:id="877469618">
      <w:bodyDiv w:val="1"/>
      <w:marLeft w:val="0"/>
      <w:marRight w:val="0"/>
      <w:marTop w:val="0"/>
      <w:marBottom w:val="0"/>
      <w:divBdr>
        <w:top w:val="none" w:sz="0" w:space="0" w:color="auto"/>
        <w:left w:val="none" w:sz="0" w:space="0" w:color="auto"/>
        <w:bottom w:val="none" w:sz="0" w:space="0" w:color="auto"/>
        <w:right w:val="none" w:sz="0" w:space="0" w:color="auto"/>
      </w:divBdr>
    </w:div>
    <w:div w:id="948124544">
      <w:bodyDiv w:val="1"/>
      <w:marLeft w:val="0"/>
      <w:marRight w:val="0"/>
      <w:marTop w:val="0"/>
      <w:marBottom w:val="0"/>
      <w:divBdr>
        <w:top w:val="none" w:sz="0" w:space="0" w:color="auto"/>
        <w:left w:val="none" w:sz="0" w:space="0" w:color="auto"/>
        <w:bottom w:val="none" w:sz="0" w:space="0" w:color="auto"/>
        <w:right w:val="none" w:sz="0" w:space="0" w:color="auto"/>
      </w:divBdr>
    </w:div>
    <w:div w:id="1164783194">
      <w:bodyDiv w:val="1"/>
      <w:marLeft w:val="0"/>
      <w:marRight w:val="0"/>
      <w:marTop w:val="0"/>
      <w:marBottom w:val="0"/>
      <w:divBdr>
        <w:top w:val="none" w:sz="0" w:space="0" w:color="auto"/>
        <w:left w:val="none" w:sz="0" w:space="0" w:color="auto"/>
        <w:bottom w:val="none" w:sz="0" w:space="0" w:color="auto"/>
        <w:right w:val="none" w:sz="0" w:space="0" w:color="auto"/>
      </w:divBdr>
    </w:div>
    <w:div w:id="1306280662">
      <w:bodyDiv w:val="1"/>
      <w:marLeft w:val="0"/>
      <w:marRight w:val="0"/>
      <w:marTop w:val="0"/>
      <w:marBottom w:val="0"/>
      <w:divBdr>
        <w:top w:val="none" w:sz="0" w:space="0" w:color="auto"/>
        <w:left w:val="none" w:sz="0" w:space="0" w:color="auto"/>
        <w:bottom w:val="none" w:sz="0" w:space="0" w:color="auto"/>
        <w:right w:val="none" w:sz="0" w:space="0" w:color="auto"/>
      </w:divBdr>
    </w:div>
    <w:div w:id="1542551205">
      <w:bodyDiv w:val="1"/>
      <w:marLeft w:val="0"/>
      <w:marRight w:val="0"/>
      <w:marTop w:val="0"/>
      <w:marBottom w:val="0"/>
      <w:divBdr>
        <w:top w:val="none" w:sz="0" w:space="0" w:color="auto"/>
        <w:left w:val="none" w:sz="0" w:space="0" w:color="auto"/>
        <w:bottom w:val="none" w:sz="0" w:space="0" w:color="auto"/>
        <w:right w:val="none" w:sz="0" w:space="0" w:color="auto"/>
      </w:divBdr>
    </w:div>
    <w:div w:id="1879464020">
      <w:bodyDiv w:val="1"/>
      <w:marLeft w:val="0"/>
      <w:marRight w:val="0"/>
      <w:marTop w:val="0"/>
      <w:marBottom w:val="0"/>
      <w:divBdr>
        <w:top w:val="none" w:sz="0" w:space="0" w:color="auto"/>
        <w:left w:val="none" w:sz="0" w:space="0" w:color="auto"/>
        <w:bottom w:val="none" w:sz="0" w:space="0" w:color="auto"/>
        <w:right w:val="none" w:sz="0" w:space="0" w:color="auto"/>
      </w:divBdr>
    </w:div>
    <w:div w:id="1956866280">
      <w:bodyDiv w:val="1"/>
      <w:marLeft w:val="0"/>
      <w:marRight w:val="0"/>
      <w:marTop w:val="0"/>
      <w:marBottom w:val="0"/>
      <w:divBdr>
        <w:top w:val="none" w:sz="0" w:space="0" w:color="auto"/>
        <w:left w:val="none" w:sz="0" w:space="0" w:color="auto"/>
        <w:bottom w:val="none" w:sz="0" w:space="0" w:color="auto"/>
        <w:right w:val="none" w:sz="0" w:space="0" w:color="auto"/>
      </w:divBdr>
    </w:div>
    <w:div w:id="2122071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Pages>
  <Words>5229</Words>
  <Characters>2981</Characters>
  <Application>Microsoft Office Word</Application>
  <DocSecurity>0</DocSecurity>
  <Lines>24</Lines>
  <Paragraphs>16</Paragraphs>
  <ScaleCrop>false</ScaleCrop>
  <HeadingPairs>
    <vt:vector size="2" baseType="variant">
      <vt:variant>
        <vt:lpstr>Назва</vt:lpstr>
      </vt:variant>
      <vt:variant>
        <vt:i4>1</vt:i4>
      </vt:variant>
    </vt:vector>
  </HeadingPairs>
  <TitlesOfParts>
    <vt:vector size="1" baseType="lpstr">
      <vt:lpstr/>
    </vt:vector>
  </TitlesOfParts>
  <Company>NERC</Company>
  <LinksUpToDate>false</LinksUpToDate>
  <CharactersWithSpaces>8194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Людмила Кулаковська</dc:creator>
  <cp:lastModifiedBy>Людмила Кулаковська</cp:lastModifiedBy>
  <cp:revision>3</cp:revision>
  <dcterms:created xsi:type="dcterms:W3CDTF">2025-06-02T07:30:00Z</dcterms:created>
  <dcterms:modified xsi:type="dcterms:W3CDTF">2025-06-03T10:12:00Z</dcterms:modified>
</cp:coreProperties>
</file>