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BAF" w:rsidRPr="00D81151" w:rsidRDefault="00971BAF" w:rsidP="00D81151">
      <w:pPr>
        <w:spacing w:after="0" w:line="240" w:lineRule="auto"/>
        <w:jc w:val="center"/>
        <w:rPr>
          <w:b/>
          <w:bCs/>
        </w:rPr>
      </w:pPr>
      <w:r w:rsidRPr="00D81151">
        <w:rPr>
          <w:b/>
          <w:bCs/>
        </w:rPr>
        <w:t>Обґрунтування</w:t>
      </w:r>
      <w:r w:rsidRPr="00D81151">
        <w:rPr>
          <w:b/>
          <w:bCs/>
        </w:rPr>
        <w:br/>
        <w:t xml:space="preserve">до питання про схвалення </w:t>
      </w:r>
      <w:proofErr w:type="spellStart"/>
      <w:r w:rsidRPr="00D81151">
        <w:rPr>
          <w:b/>
          <w:bCs/>
        </w:rPr>
        <w:t>проєкта</w:t>
      </w:r>
      <w:proofErr w:type="spellEnd"/>
      <w:r w:rsidRPr="00D81151">
        <w:rPr>
          <w:b/>
          <w:bCs/>
        </w:rPr>
        <w:t xml:space="preserve"> постанови НКРЕКП</w:t>
      </w:r>
      <w:r w:rsidR="0078605C" w:rsidRPr="00D81151">
        <w:rPr>
          <w:b/>
          <w:bCs/>
        </w:rPr>
        <w:br/>
      </w:r>
      <w:r w:rsidRPr="00D81151">
        <w:rPr>
          <w:b/>
          <w:bCs/>
        </w:rPr>
        <w:t>«</w:t>
      </w:r>
      <w:r w:rsidR="0078605C" w:rsidRPr="00D81151">
        <w:rPr>
          <w:b/>
          <w:bCs/>
        </w:rPr>
        <w:t>Про затвердження</w:t>
      </w:r>
      <w:r w:rsidR="004D05D6" w:rsidRPr="00D81151">
        <w:rPr>
          <w:b/>
          <w:bCs/>
          <w:lang w:val="ru-RU"/>
        </w:rPr>
        <w:t xml:space="preserve"> </w:t>
      </w:r>
      <w:r w:rsidR="004D05D6" w:rsidRPr="00D81151">
        <w:rPr>
          <w:b/>
          <w:bCs/>
        </w:rPr>
        <w:t>та внесення</w:t>
      </w:r>
      <w:r w:rsidR="0078605C" w:rsidRPr="00D81151">
        <w:rPr>
          <w:b/>
          <w:bCs/>
        </w:rPr>
        <w:t xml:space="preserve"> змін до деяких постанов НКРЕКП</w:t>
      </w:r>
      <w:r w:rsidRPr="00D81151">
        <w:rPr>
          <w:b/>
          <w:bCs/>
        </w:rPr>
        <w:t>»</w:t>
      </w:r>
    </w:p>
    <w:p w:rsidR="00D81151" w:rsidRPr="00F53B1A" w:rsidRDefault="00D81151" w:rsidP="00BA0EFE">
      <w:pPr>
        <w:spacing w:line="240" w:lineRule="auto"/>
        <w:jc w:val="center"/>
        <w:rPr>
          <w:b/>
          <w:bCs/>
        </w:rPr>
      </w:pPr>
      <w:r w:rsidRPr="00D81151">
        <w:t>(</w:t>
      </w:r>
      <w:r w:rsidRPr="00D81151">
        <w:rPr>
          <w:rFonts w:eastAsia="Times New Roman"/>
          <w:i/>
        </w:rPr>
        <w:t xml:space="preserve">внесення змін до </w:t>
      </w:r>
      <w:r w:rsidRPr="00D81151">
        <w:rPr>
          <w:i/>
        </w:rPr>
        <w:t>Кодексу газотранспортної системи, Правил постачання природного газу, Типового договору постачання природного газу побутовим споживачам, Типового договору транспортування</w:t>
      </w:r>
      <w:r>
        <w:rPr>
          <w:i/>
        </w:rPr>
        <w:t xml:space="preserve"> природного газу, Методики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регулювання)</w:t>
      </w:r>
    </w:p>
    <w:p w:rsidR="002E3ACD" w:rsidRDefault="00AC7F9B" w:rsidP="00971BAF">
      <w:pPr>
        <w:spacing w:after="0" w:line="240" w:lineRule="auto"/>
        <w:ind w:firstLine="709"/>
        <w:jc w:val="both"/>
      </w:pPr>
      <w:r w:rsidRPr="00AC7F9B">
        <w:t xml:space="preserve">Відповідно до положень частини </w:t>
      </w:r>
      <w:r w:rsidR="002E3ACD">
        <w:t>третьої</w:t>
      </w:r>
      <w:r w:rsidRPr="00AC7F9B">
        <w:t xml:space="preserve"> статті </w:t>
      </w:r>
      <w:r w:rsidR="002E3ACD">
        <w:t>3</w:t>
      </w:r>
      <w:r w:rsidRPr="00AC7F9B">
        <w:t xml:space="preserve"> Закону України «</w:t>
      </w:r>
      <w:r w:rsidR="002E3ACD" w:rsidRPr="002E3ACD">
        <w:t>Про Національну комісію, що здійснює державне регулювання у сферах енергетики та комунальних послуг</w:t>
      </w:r>
      <w:r w:rsidRPr="00AC7F9B">
        <w:t xml:space="preserve">» (далі – Закон про </w:t>
      </w:r>
      <w:r w:rsidR="002E3ACD">
        <w:t>НКРЕКП</w:t>
      </w:r>
      <w:r w:rsidRPr="00AC7F9B">
        <w:t xml:space="preserve">), до основних завдань </w:t>
      </w:r>
      <w:r w:rsidR="002E3ACD">
        <w:t xml:space="preserve">Регулятора належить забезпечення </w:t>
      </w:r>
      <w:r w:rsidR="002E3ACD" w:rsidRPr="002E3ACD">
        <w:t>ефективного функціонування та розвитку ринк</w:t>
      </w:r>
      <w:r w:rsidR="002E3ACD">
        <w:t xml:space="preserve">у природного газу та сприяння його інтеграції </w:t>
      </w:r>
      <w:r w:rsidR="001D68D9" w:rsidRPr="001D68D9">
        <w:t>з відповідними ринками інших держав, зокрема в рамках Енергетичного Співтовариства</w:t>
      </w:r>
      <w:r w:rsidR="001D68D9">
        <w:t>.</w:t>
      </w:r>
    </w:p>
    <w:p w:rsidR="00971BAF" w:rsidRDefault="00F40831" w:rsidP="00971BAF">
      <w:pPr>
        <w:spacing w:after="0" w:line="240" w:lineRule="auto"/>
        <w:ind w:firstLine="709"/>
        <w:jc w:val="both"/>
      </w:pPr>
      <w:r>
        <w:t>Н</w:t>
      </w:r>
      <w:r w:rsidRPr="00F40831">
        <w:t>а виконання доручення Віце-прем’єр</w:t>
      </w:r>
      <w:r>
        <w:t>-</w:t>
      </w:r>
      <w:r w:rsidRPr="00F40831">
        <w:t xml:space="preserve">міністра з питань європейської та євроатлантичної інтеграції – Міністра юстиції України О. </w:t>
      </w:r>
      <w:proofErr w:type="spellStart"/>
      <w:r w:rsidRPr="00F40831">
        <w:t>Стефанішиної</w:t>
      </w:r>
      <w:proofErr w:type="spellEnd"/>
      <w:r w:rsidRPr="00F40831">
        <w:t xml:space="preserve"> від</w:t>
      </w:r>
      <w:r>
        <w:t> </w:t>
      </w:r>
      <w:r w:rsidRPr="00F40831">
        <w:t>13</w:t>
      </w:r>
      <w:r>
        <w:t> </w:t>
      </w:r>
      <w:r w:rsidRPr="00F40831">
        <w:t xml:space="preserve">квітня 2025 року № 1315/0/1-25 </w:t>
      </w:r>
      <w:r>
        <w:t xml:space="preserve">щодо </w:t>
      </w:r>
      <w:r w:rsidRPr="00F40831">
        <w:t>підгот</w:t>
      </w:r>
      <w:r>
        <w:t>овки</w:t>
      </w:r>
      <w:r w:rsidRPr="00F40831">
        <w:t xml:space="preserve"> </w:t>
      </w:r>
      <w:r>
        <w:t xml:space="preserve">до </w:t>
      </w:r>
      <w:r w:rsidRPr="00F40831">
        <w:t>двосторонньої зустрічі України та Європейського Союзу в рамках здійснення офіційного скринінгу відповідності законодавства України праву ЄС за переговорним розділом 15 «Енергетика»</w:t>
      </w:r>
      <w:r>
        <w:t xml:space="preserve">, </w:t>
      </w:r>
      <w:r w:rsidRPr="002F00EA">
        <w:t xml:space="preserve">здійснено аналіз відповідності нормативно-правових актів Регулятора актам права ЄС, </w:t>
      </w:r>
      <w:r w:rsidR="001D68D9">
        <w:t>зокрема</w:t>
      </w:r>
      <w:r w:rsidRPr="002F00EA">
        <w:t xml:space="preserve"> </w:t>
      </w:r>
      <w:proofErr w:type="spellStart"/>
      <w:r w:rsidRPr="002F00EA">
        <w:t>Регламента</w:t>
      </w:r>
      <w:proofErr w:type="spellEnd"/>
      <w:r w:rsidR="001D68D9">
        <w:t xml:space="preserve"> ЄС</w:t>
      </w:r>
      <w:r w:rsidRPr="002F00EA">
        <w:t xml:space="preserve"> № 312/2014, </w:t>
      </w:r>
      <w:proofErr w:type="spellStart"/>
      <w:r w:rsidRPr="002F00EA">
        <w:t>Регламента</w:t>
      </w:r>
      <w:proofErr w:type="spellEnd"/>
      <w:r w:rsidR="001D68D9">
        <w:t xml:space="preserve"> ЄС</w:t>
      </w:r>
      <w:r w:rsidRPr="002F00EA">
        <w:t xml:space="preserve"> № 703/2015, </w:t>
      </w:r>
      <w:proofErr w:type="spellStart"/>
      <w:r w:rsidRPr="002F00EA">
        <w:t>Регламента</w:t>
      </w:r>
      <w:proofErr w:type="spellEnd"/>
      <w:r w:rsidR="001D68D9">
        <w:t xml:space="preserve"> ЄС</w:t>
      </w:r>
      <w:r w:rsidRPr="002F00EA">
        <w:t xml:space="preserve"> № 2017/459 та </w:t>
      </w:r>
      <w:proofErr w:type="spellStart"/>
      <w:r w:rsidRPr="002F00EA">
        <w:t>Регламента</w:t>
      </w:r>
      <w:proofErr w:type="spellEnd"/>
      <w:r w:rsidR="001D68D9">
        <w:t xml:space="preserve"> ЄС</w:t>
      </w:r>
      <w:r w:rsidRPr="002F00EA">
        <w:t xml:space="preserve"> № 2017/460.</w:t>
      </w:r>
    </w:p>
    <w:p w:rsidR="004C7C0E" w:rsidRDefault="00225040" w:rsidP="004C7C0E">
      <w:pPr>
        <w:spacing w:after="0" w:line="240" w:lineRule="auto"/>
        <w:ind w:firstLine="709"/>
        <w:jc w:val="both"/>
      </w:pPr>
      <w:r>
        <w:t>Так, з</w:t>
      </w:r>
      <w:r w:rsidR="00F40831">
        <w:t xml:space="preserve">а результатами здійсненого аналізу </w:t>
      </w:r>
      <w:r w:rsidR="002F00EA">
        <w:t>Департаментом</w:t>
      </w:r>
      <w:r w:rsidR="00F40831">
        <w:t xml:space="preserve"> виявлено необхідність </w:t>
      </w:r>
      <w:r w:rsidR="004C7C0E">
        <w:t>уточнення окремих положень нормативно-правових актів НКРЕКП, які регулюють функціонування ринку природного газу, для за</w:t>
      </w:r>
      <w:r w:rsidR="00DC15C9">
        <w:t>вершення</w:t>
      </w:r>
      <w:r w:rsidR="004C7C0E">
        <w:t xml:space="preserve"> повної </w:t>
      </w:r>
      <w:r w:rsidR="00AB72DC">
        <w:t>імплементації</w:t>
      </w:r>
      <w:r w:rsidR="004C7C0E">
        <w:t xml:space="preserve"> у національне законодавство</w:t>
      </w:r>
      <w:r>
        <w:t xml:space="preserve"> положень</w:t>
      </w:r>
      <w:r w:rsidR="004C7C0E">
        <w:t xml:space="preserve"> </w:t>
      </w:r>
      <w:r w:rsidR="00A249AA">
        <w:t>вищезазначених Регламентів ЄС</w:t>
      </w:r>
      <w:r w:rsidR="004C7C0E">
        <w:t>.</w:t>
      </w:r>
    </w:p>
    <w:p w:rsidR="001356B5" w:rsidRDefault="001356B5" w:rsidP="001356B5">
      <w:pPr>
        <w:spacing w:after="0" w:line="240" w:lineRule="auto"/>
        <w:ind w:firstLine="709"/>
        <w:jc w:val="both"/>
      </w:pPr>
      <w:r>
        <w:t xml:space="preserve">Разом з тим, </w:t>
      </w:r>
      <w:r w:rsidRPr="001D68D9">
        <w:t xml:space="preserve">відповідно до </w:t>
      </w:r>
      <w:r>
        <w:t>Кодексу газотранспортної системи, затвердженого постановою НКРЕКП від 30.09.2015 № 2493 (далі – Кодекс ГТС) потужність з обмеженнями розподіляється після проведення аукціонів розподілу потужності точок входу/виходу на міждержавних з’єднаннях, зокрема шляхом подання номінацій/</w:t>
      </w:r>
      <w:proofErr w:type="spellStart"/>
      <w:r>
        <w:t>реномінацій</w:t>
      </w:r>
      <w:proofErr w:type="spellEnd"/>
      <w:r>
        <w:t xml:space="preserve">, </w:t>
      </w:r>
      <w:r w:rsidRPr="001356B5">
        <w:t>в якій зазначається, що така номінація/</w:t>
      </w:r>
      <w:proofErr w:type="spellStart"/>
      <w:r w:rsidRPr="001356B5">
        <w:t>реномінація</w:t>
      </w:r>
      <w:proofErr w:type="spellEnd"/>
      <w:r w:rsidRPr="001356B5">
        <w:t xml:space="preserve"> подається для використання потужності з обмеженнями</w:t>
      </w:r>
      <w:r>
        <w:t xml:space="preserve">. При цьому, згідно вимог Регламенту ЄС № 2017/459 вся потужність міждержавних з’єднань розподіляється на аукціонах. </w:t>
      </w:r>
    </w:p>
    <w:p w:rsidR="001356B5" w:rsidRDefault="001356B5" w:rsidP="001356B5">
      <w:pPr>
        <w:spacing w:after="0" w:line="240" w:lineRule="auto"/>
        <w:ind w:firstLine="709"/>
        <w:jc w:val="both"/>
      </w:pPr>
      <w:r>
        <w:t xml:space="preserve">Слід також зазначити, що у зв’язку з внесенням Законом України № 4017-ІХ змін до Закону України «Про ринок природного газу», виникла необхідність у приведенні положень нормативно-правових актів, що регулюють діяльність на ринку природного газу, у відповідність до вимог чинного законодавства, а саме  в частині заміни словосполучення </w:t>
      </w:r>
      <w:r w:rsidRPr="001356B5">
        <w:t>«анулювання ліцензії» словосполученням</w:t>
      </w:r>
      <w:r>
        <w:t xml:space="preserve"> </w:t>
      </w:r>
      <w:r w:rsidRPr="001356B5">
        <w:t>«припинення дії ліцензії».</w:t>
      </w:r>
    </w:p>
    <w:p w:rsidR="001356B5" w:rsidRDefault="001356B5" w:rsidP="001356B5">
      <w:pPr>
        <w:spacing w:after="0" w:line="240" w:lineRule="auto"/>
        <w:ind w:firstLine="709"/>
        <w:jc w:val="both"/>
      </w:pPr>
      <w:r>
        <w:t xml:space="preserve">Разом з тим Департаментом на постійній основі здійснюється аналіз проблемних питань, які виникають при застосуванні нормативно-правових актів, </w:t>
      </w:r>
      <w:r>
        <w:lastRenderedPageBreak/>
        <w:t>та опрацьовуються можливі шляхи їх вирішення, а також опрацьовуються пропозиції суб`єктів ринку природного газу щодо удосконалення нормативно-правових актів.</w:t>
      </w:r>
    </w:p>
    <w:p w:rsidR="001356B5" w:rsidRDefault="001356B5" w:rsidP="001356B5">
      <w:pPr>
        <w:spacing w:after="0" w:line="240" w:lineRule="auto"/>
        <w:ind w:firstLine="709"/>
        <w:jc w:val="both"/>
      </w:pPr>
      <w:r>
        <w:t>Так, за результатами аналізу результативності застосування нормативно-правових актів, що регулюють діяльність на ринку природного газу, було виявлено необхідність вдосконалення окремих положень Кодексу ГТС та Типового договору транспортування природного газу, затвердженого постановою НКРЕКП від 30.09.2015 № 2497</w:t>
      </w:r>
      <w:r w:rsidR="00793470">
        <w:t xml:space="preserve"> (далі – Типовий договір транспортування)</w:t>
      </w:r>
      <w:r>
        <w:t xml:space="preserve">, в частині оптимізації процедури розподілу потужності внутрішніх точок входу/виходу газотранспортної системи. </w:t>
      </w:r>
    </w:p>
    <w:p w:rsidR="001356B5" w:rsidRPr="001356B5" w:rsidRDefault="001356B5" w:rsidP="001356B5">
      <w:pPr>
        <w:spacing w:after="0" w:line="240" w:lineRule="auto"/>
        <w:ind w:firstLine="709"/>
        <w:jc w:val="both"/>
      </w:pPr>
      <w:r w:rsidRPr="001356B5">
        <w:t xml:space="preserve">У зв’язку із зазначеним, керуючись положеннями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НКРЕКП), Департаментом із регулювання відносин у нафтогазовій сфері було розроблено </w:t>
      </w:r>
      <w:proofErr w:type="spellStart"/>
      <w:r w:rsidRPr="001356B5">
        <w:t>проєкт</w:t>
      </w:r>
      <w:proofErr w:type="spellEnd"/>
      <w:r w:rsidRPr="001356B5">
        <w:t xml:space="preserve"> постанови НКРЕКП «Про затвердження та внесення змін до деяких постанов НКРЕКП»</w:t>
      </w:r>
      <w:r w:rsidR="00B87A90">
        <w:t>, яким передбачається</w:t>
      </w:r>
      <w:r w:rsidR="00793470">
        <w:t>:</w:t>
      </w:r>
    </w:p>
    <w:p w:rsidR="00B87A90" w:rsidRDefault="00B87A90" w:rsidP="00B87A90">
      <w:pPr>
        <w:spacing w:after="0" w:line="240" w:lineRule="auto"/>
        <w:ind w:firstLine="709"/>
        <w:jc w:val="both"/>
      </w:pPr>
      <w:r>
        <w:t>встановлення вимоги щодо розподілу потужності з обмеженнями на загальних аукціонах розподілу потужності;</w:t>
      </w:r>
    </w:p>
    <w:p w:rsidR="00B87A90" w:rsidRDefault="00B87A90" w:rsidP="00B87A90">
      <w:pPr>
        <w:spacing w:after="0" w:line="240" w:lineRule="auto"/>
        <w:ind w:firstLine="709"/>
        <w:jc w:val="both"/>
      </w:pPr>
      <w:r>
        <w:t>оптимізація та вдосконалення процедури розподілу потужності внутрішніх точок газотранспортної системи через інформаційну платформу оператора газотранспортної системи та цифрових підписів;</w:t>
      </w:r>
    </w:p>
    <w:p w:rsidR="00B87A90" w:rsidRDefault="00B87A90" w:rsidP="00B87A90">
      <w:pPr>
        <w:spacing w:after="0" w:line="240" w:lineRule="auto"/>
        <w:ind w:firstLine="709"/>
        <w:jc w:val="both"/>
      </w:pPr>
      <w:r w:rsidRPr="00793470">
        <w:t xml:space="preserve">завершення </w:t>
      </w:r>
      <w:r w:rsidR="00AB72DC">
        <w:t>імплементації</w:t>
      </w:r>
      <w:r w:rsidRPr="00793470">
        <w:t xml:space="preserve"> окремих частин Регламентів ЄС, які було виявлено як «не повна відповідність» за результатами проведеного </w:t>
      </w:r>
      <w:proofErr w:type="spellStart"/>
      <w:r w:rsidRPr="00793470">
        <w:t>сринінгу</w:t>
      </w:r>
      <w:proofErr w:type="spellEnd"/>
      <w:r w:rsidRPr="00793470">
        <w:t xml:space="preserve"> за переговорним розділом 15 «Енергетика»;</w:t>
      </w:r>
    </w:p>
    <w:p w:rsidR="00B87A90" w:rsidRDefault="00B87A90" w:rsidP="00B87A90">
      <w:pPr>
        <w:spacing w:after="0" w:line="240" w:lineRule="auto"/>
        <w:ind w:firstLine="709"/>
        <w:jc w:val="both"/>
      </w:pPr>
      <w:r>
        <w:t xml:space="preserve">приведення у відповідність </w:t>
      </w:r>
      <w:r w:rsidR="00793470">
        <w:t xml:space="preserve">Кодексу ГТС, Типового договору транспортування, Правил постачання природного газу, затверджених постановою НКРЕКП від </w:t>
      </w:r>
      <w:r w:rsidR="00793470" w:rsidRPr="00793470">
        <w:t>30.09.2015  № 2496</w:t>
      </w:r>
      <w:r w:rsidR="00793470">
        <w:t>, та Типового договору постачання природного газу побутовим споживачам, затвердженого постановою НК</w:t>
      </w:r>
      <w:r w:rsidR="001C56A1">
        <w:t>Р</w:t>
      </w:r>
      <w:r w:rsidR="00793470">
        <w:t xml:space="preserve">ЕКП </w:t>
      </w:r>
      <w:r w:rsidR="001C56A1">
        <w:t xml:space="preserve">від </w:t>
      </w:r>
      <w:r w:rsidR="001C56A1" w:rsidRPr="001C56A1">
        <w:t>30.09.2015  № 2500</w:t>
      </w:r>
      <w:r w:rsidR="001C56A1">
        <w:t xml:space="preserve"> </w:t>
      </w:r>
      <w:r>
        <w:t xml:space="preserve">у частині заміни слів «анулювання ліцензії» на «припинення </w:t>
      </w:r>
      <w:r w:rsidR="00B2670D">
        <w:t>дії ліцензії</w:t>
      </w:r>
      <w:r>
        <w:t>».</w:t>
      </w:r>
    </w:p>
    <w:p w:rsidR="00435ADD" w:rsidRDefault="00435ADD" w:rsidP="00435ADD">
      <w:pPr>
        <w:spacing w:after="0" w:line="240" w:lineRule="auto"/>
        <w:ind w:firstLine="709"/>
        <w:jc w:val="both"/>
      </w:pPr>
      <w:r>
        <w:t xml:space="preserve">Враховуючи вищевикладене, Департамент із регулювання відносин у нафтогазовій сфері пропонує: </w:t>
      </w:r>
    </w:p>
    <w:p w:rsidR="00435ADD" w:rsidRDefault="00435ADD" w:rsidP="00435ADD">
      <w:pPr>
        <w:spacing w:after="0" w:line="240" w:lineRule="auto"/>
        <w:ind w:firstLine="709"/>
        <w:jc w:val="both"/>
      </w:pPr>
      <w:r>
        <w:t>1.</w:t>
      </w:r>
      <w:r w:rsidR="00A50AF7">
        <w:t> </w:t>
      </w:r>
      <w:r>
        <w:t xml:space="preserve">Схвалити </w:t>
      </w:r>
      <w:proofErr w:type="spellStart"/>
      <w:r>
        <w:t>проєкт</w:t>
      </w:r>
      <w:proofErr w:type="spellEnd"/>
      <w:r>
        <w:t xml:space="preserve"> постанови НКРЕКП «</w:t>
      </w:r>
      <w:r w:rsidR="005775C0" w:rsidRPr="005775C0">
        <w:t>Про затвердження</w:t>
      </w:r>
      <w:r w:rsidR="005775C0" w:rsidRPr="00A249AA">
        <w:rPr>
          <w:lang w:val="ru-RU"/>
        </w:rPr>
        <w:t xml:space="preserve"> </w:t>
      </w:r>
      <w:r w:rsidR="005775C0" w:rsidRPr="005775C0">
        <w:t>та внесення змін до деяких постанов НКРЕКП</w:t>
      </w:r>
      <w:r>
        <w:t>»</w:t>
      </w:r>
      <w:r w:rsidR="00A50AF7">
        <w:t>.</w:t>
      </w:r>
    </w:p>
    <w:p w:rsidR="00435ADD" w:rsidRDefault="00435ADD" w:rsidP="00435ADD">
      <w:pPr>
        <w:spacing w:after="0" w:line="240" w:lineRule="auto"/>
        <w:ind w:firstLine="709"/>
        <w:jc w:val="both"/>
      </w:pPr>
      <w:r>
        <w:t>2.</w:t>
      </w:r>
      <w:r w:rsidR="00A50AF7">
        <w:t> </w:t>
      </w:r>
      <w: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</w:t>
      </w:r>
      <w:proofErr w:type="spellStart"/>
      <w:r>
        <w:t>проєкт</w:t>
      </w:r>
      <w:proofErr w:type="spellEnd"/>
      <w:r>
        <w:t xml:space="preserve"> постанови НКРЕКП «</w:t>
      </w:r>
      <w:r w:rsidR="005775C0" w:rsidRPr="005775C0">
        <w:t>Про затвердження</w:t>
      </w:r>
      <w:r w:rsidR="005775C0" w:rsidRPr="00A249AA">
        <w:t xml:space="preserve"> </w:t>
      </w:r>
      <w:r w:rsidR="005775C0" w:rsidRPr="005775C0">
        <w:t>та внесення змін до деяких постанов НКРЕКП</w:t>
      </w:r>
      <w:r>
        <w:t xml:space="preserve">» на офіційному </w:t>
      </w:r>
      <w:proofErr w:type="spellStart"/>
      <w:r>
        <w:t>вебсайті</w:t>
      </w:r>
      <w:proofErr w:type="spellEnd"/>
      <w:r>
        <w:t xml:space="preserve"> НКРЕКП www.nerc.gov.ua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435ADD" w:rsidRDefault="00435ADD" w:rsidP="00A50AF7">
      <w:pPr>
        <w:spacing w:after="0" w:line="240" w:lineRule="auto"/>
        <w:jc w:val="both"/>
      </w:pPr>
    </w:p>
    <w:p w:rsidR="00435ADD" w:rsidRDefault="00435ADD" w:rsidP="00A50AF7">
      <w:pPr>
        <w:spacing w:after="0" w:line="240" w:lineRule="auto"/>
        <w:jc w:val="both"/>
      </w:pPr>
    </w:p>
    <w:p w:rsidR="009A00A0" w:rsidRDefault="009A00A0" w:rsidP="00A50AF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Заступник д</w:t>
      </w:r>
      <w:r w:rsidR="00435ADD" w:rsidRPr="00A50AF7">
        <w:rPr>
          <w:b/>
          <w:bCs/>
        </w:rPr>
        <w:t>иректор</w:t>
      </w:r>
      <w:r>
        <w:rPr>
          <w:b/>
          <w:bCs/>
        </w:rPr>
        <w:t>а</w:t>
      </w:r>
      <w:r w:rsidR="00435ADD" w:rsidRPr="00A50AF7">
        <w:rPr>
          <w:b/>
          <w:bCs/>
        </w:rPr>
        <w:t xml:space="preserve"> Департаменту</w:t>
      </w:r>
    </w:p>
    <w:p w:rsidR="00435ADD" w:rsidRPr="00A50AF7" w:rsidRDefault="009A00A0" w:rsidP="00A50AF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із регулювання відносин у нафтогазовій сфері  </w:t>
      </w:r>
      <w:r w:rsidR="00435ADD" w:rsidRPr="00A50AF7">
        <w:rPr>
          <w:b/>
          <w:bCs/>
        </w:rPr>
        <w:tab/>
      </w:r>
      <w:r w:rsidR="00435ADD" w:rsidRPr="00A50AF7">
        <w:rPr>
          <w:b/>
          <w:bCs/>
        </w:rPr>
        <w:tab/>
      </w:r>
      <w:r>
        <w:rPr>
          <w:b/>
          <w:bCs/>
        </w:rPr>
        <w:t xml:space="preserve">    </w:t>
      </w:r>
      <w:bookmarkStart w:id="0" w:name="_GoBack"/>
      <w:bookmarkEnd w:id="0"/>
      <w:r w:rsidR="00435ADD" w:rsidRPr="00A50AF7">
        <w:rPr>
          <w:b/>
          <w:bCs/>
        </w:rPr>
        <w:t>Оле</w:t>
      </w:r>
      <w:r>
        <w:rPr>
          <w:b/>
          <w:bCs/>
        </w:rPr>
        <w:t>на</w:t>
      </w:r>
      <w:r w:rsidR="00435ADD" w:rsidRPr="00A50AF7">
        <w:rPr>
          <w:b/>
          <w:bCs/>
        </w:rPr>
        <w:t xml:space="preserve"> С</w:t>
      </w:r>
      <w:r>
        <w:rPr>
          <w:b/>
          <w:bCs/>
        </w:rPr>
        <w:t>АФ’ЯНЦ</w:t>
      </w:r>
    </w:p>
    <w:sectPr w:rsidR="00435ADD" w:rsidRPr="00A50AF7" w:rsidSect="009B434F">
      <w:pgSz w:w="11906" w:h="16838"/>
      <w:pgMar w:top="850" w:right="850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BAF"/>
    <w:rsid w:val="00007D5A"/>
    <w:rsid w:val="000E5455"/>
    <w:rsid w:val="000E55BC"/>
    <w:rsid w:val="001356B5"/>
    <w:rsid w:val="00152D69"/>
    <w:rsid w:val="00175A4F"/>
    <w:rsid w:val="001C56A1"/>
    <w:rsid w:val="001D68D9"/>
    <w:rsid w:val="00204E87"/>
    <w:rsid w:val="00225040"/>
    <w:rsid w:val="00244F76"/>
    <w:rsid w:val="002918B0"/>
    <w:rsid w:val="002E3ACD"/>
    <w:rsid w:val="002F00EA"/>
    <w:rsid w:val="003A7D4B"/>
    <w:rsid w:val="003C4FE2"/>
    <w:rsid w:val="003F46A6"/>
    <w:rsid w:val="0040782C"/>
    <w:rsid w:val="00435ADD"/>
    <w:rsid w:val="004C7C0E"/>
    <w:rsid w:val="004D05D6"/>
    <w:rsid w:val="005775C0"/>
    <w:rsid w:val="005F44BA"/>
    <w:rsid w:val="0062571F"/>
    <w:rsid w:val="00665704"/>
    <w:rsid w:val="007136CA"/>
    <w:rsid w:val="0078605C"/>
    <w:rsid w:val="00793470"/>
    <w:rsid w:val="007E595A"/>
    <w:rsid w:val="00874661"/>
    <w:rsid w:val="00953C56"/>
    <w:rsid w:val="00971BAF"/>
    <w:rsid w:val="0099474D"/>
    <w:rsid w:val="009A00A0"/>
    <w:rsid w:val="009B434F"/>
    <w:rsid w:val="00A249AA"/>
    <w:rsid w:val="00A50AF7"/>
    <w:rsid w:val="00A52936"/>
    <w:rsid w:val="00A615B2"/>
    <w:rsid w:val="00AB72DC"/>
    <w:rsid w:val="00AC7F9B"/>
    <w:rsid w:val="00B16A99"/>
    <w:rsid w:val="00B2670D"/>
    <w:rsid w:val="00B87A90"/>
    <w:rsid w:val="00B90D69"/>
    <w:rsid w:val="00BA0EFE"/>
    <w:rsid w:val="00D81151"/>
    <w:rsid w:val="00DC0179"/>
    <w:rsid w:val="00DC15C9"/>
    <w:rsid w:val="00DC4F8A"/>
    <w:rsid w:val="00DF1766"/>
    <w:rsid w:val="00E31F77"/>
    <w:rsid w:val="00E54F58"/>
    <w:rsid w:val="00E636CD"/>
    <w:rsid w:val="00F1310F"/>
    <w:rsid w:val="00F40831"/>
    <w:rsid w:val="00FD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1ACC"/>
  <w15:chartTrackingRefBased/>
  <w15:docId w15:val="{F4907FD3-2516-44FC-ADF3-5EA5F1F0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position w:val="-1"/>
        <w:sz w:val="28"/>
        <w:szCs w:val="28"/>
        <w:lang w:val="uk-UA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56B5"/>
  </w:style>
  <w:style w:type="paragraph" w:styleId="1">
    <w:name w:val="heading 1"/>
    <w:basedOn w:val="a"/>
    <w:next w:val="a"/>
    <w:link w:val="10"/>
    <w:uiPriority w:val="9"/>
    <w:qFormat/>
    <w:rsid w:val="00971B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1B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1BA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1BA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1BA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1BA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1BA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1BA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1BA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B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71B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71BA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971BA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71BA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71BA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71BA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71BA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71BAF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71BAF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971BAF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1BA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a6">
    <w:name w:val="Підзаголовок Знак"/>
    <w:basedOn w:val="a0"/>
    <w:link w:val="a5"/>
    <w:uiPriority w:val="11"/>
    <w:rsid w:val="00971BAF"/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paragraph" w:styleId="a7">
    <w:name w:val="Quote"/>
    <w:basedOn w:val="a"/>
    <w:next w:val="a"/>
    <w:link w:val="a8"/>
    <w:uiPriority w:val="29"/>
    <w:qFormat/>
    <w:rsid w:val="00971B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971B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1BA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71BA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71B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971BA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71BAF"/>
    <w:rPr>
      <w:b/>
      <w:bCs/>
      <w:smallCaps/>
      <w:color w:val="0F4761" w:themeColor="accent1" w:themeShade="BF"/>
      <w:spacing w:val="5"/>
    </w:rPr>
  </w:style>
  <w:style w:type="paragraph" w:customStyle="1" w:styleId="rvps2">
    <w:name w:val="rvps2"/>
    <w:basedOn w:val="a"/>
    <w:rsid w:val="002E3ACD"/>
    <w:pPr>
      <w:spacing w:before="100" w:beforeAutospacing="1" w:after="100" w:afterAutospacing="1" w:line="240" w:lineRule="auto"/>
    </w:pPr>
    <w:rPr>
      <w:rFonts w:eastAsia="Times New Roman"/>
      <w:color w:val="auto"/>
      <w:position w:val="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3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3470</Words>
  <Characters>1979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НКРЕКП</dc:creator>
  <cp:keywords/>
  <dc:description/>
  <cp:lastModifiedBy>Людмила Кулаковська</cp:lastModifiedBy>
  <cp:revision>4</cp:revision>
  <dcterms:created xsi:type="dcterms:W3CDTF">2025-05-28T13:03:00Z</dcterms:created>
  <dcterms:modified xsi:type="dcterms:W3CDTF">2025-06-02T14:30:00Z</dcterms:modified>
</cp:coreProperties>
</file>