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0841BF" w:rsidRDefault="00C11766" w:rsidP="00C11766">
      <w:pPr>
        <w:ind w:left="140" w:firstLine="489"/>
        <w:jc w:val="center"/>
        <w:rPr>
          <w:rFonts w:cs="Times New Roman"/>
        </w:rPr>
      </w:pPr>
      <w:bookmarkStart w:id="0" w:name="_GoBack"/>
      <w:bookmarkEnd w:id="0"/>
      <w:r w:rsidRPr="000841BF">
        <w:rPr>
          <w:rFonts w:cs="Times New Roman"/>
        </w:rPr>
        <w:t>ОБҐРУНТУВАННЯ</w:t>
      </w:r>
    </w:p>
    <w:p w:rsidR="00762F5F" w:rsidRDefault="00762F5F" w:rsidP="00762F5F">
      <w:pPr>
        <w:ind w:left="140" w:firstLine="489"/>
        <w:jc w:val="center"/>
      </w:pPr>
      <w:r w:rsidRPr="000841BF">
        <w:rPr>
          <w:rFonts w:cs="Times New Roman"/>
        </w:rPr>
        <w:t xml:space="preserve">щодо </w:t>
      </w:r>
      <w:r>
        <w:t>схвалення</w:t>
      </w:r>
      <w:r w:rsidRPr="00225E64">
        <w:t xml:space="preserve"> </w:t>
      </w:r>
      <w:r w:rsidR="00FA092C">
        <w:t>прое</w:t>
      </w:r>
      <w:r>
        <w:t xml:space="preserve">кту </w:t>
      </w:r>
      <w:r w:rsidRPr="00647455">
        <w:t xml:space="preserve">рішення, що має ознаки регуляторного </w:t>
      </w:r>
      <w:proofErr w:type="spellStart"/>
      <w:r w:rsidRPr="00647455">
        <w:t>акта</w:t>
      </w:r>
      <w:proofErr w:type="spellEnd"/>
      <w:r>
        <w:t xml:space="preserve">, </w:t>
      </w:r>
      <w:r w:rsidRPr="00F81D50">
        <w:t>–</w:t>
      </w:r>
      <w:r w:rsidR="00FA092C">
        <w:t xml:space="preserve"> прое</w:t>
      </w:r>
      <w:r>
        <w:t>кт</w:t>
      </w:r>
      <w:r w:rsidR="00FA092C">
        <w:t>у</w:t>
      </w:r>
      <w:r>
        <w:t xml:space="preserve"> </w:t>
      </w:r>
      <w:r w:rsidRPr="00225E64">
        <w:t>постанови НКРЕКП «</w:t>
      </w:r>
      <w:r w:rsidRPr="00F46073">
        <w:t xml:space="preserve">Про </w:t>
      </w:r>
      <w:r w:rsidR="00B27DA6">
        <w:t>затвердження З</w:t>
      </w:r>
      <w:r>
        <w:t xml:space="preserve">мін до </w:t>
      </w:r>
    </w:p>
    <w:p w:rsidR="00762F5F" w:rsidRDefault="00762F5F" w:rsidP="00762F5F">
      <w:pPr>
        <w:ind w:left="140" w:firstLine="489"/>
        <w:jc w:val="center"/>
        <w:rPr>
          <w:rStyle w:val="fontstyle01"/>
        </w:rPr>
      </w:pPr>
      <w:r>
        <w:rPr>
          <w:rStyle w:val="fontstyle01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</w:p>
    <w:p w:rsidR="00764C7E" w:rsidRPr="000841BF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337BD6" w:rsidRDefault="00337BD6" w:rsidP="00337BD6">
      <w:pPr>
        <w:ind w:firstLine="489"/>
        <w:jc w:val="both"/>
      </w:pPr>
      <w:r w:rsidRPr="00DF5525"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</w:t>
      </w:r>
      <w:r>
        <w:t xml:space="preserve"> та </w:t>
      </w:r>
      <w:r w:rsidRPr="00973AEC">
        <w:t>інших нормативно-правових актів та нормативних документів, які регулюють функціонування ринку електричної енергії</w:t>
      </w:r>
      <w:r w:rsidRPr="00DF5525">
        <w:t>.</w:t>
      </w:r>
    </w:p>
    <w:p w:rsidR="00452235" w:rsidRDefault="00D324BC" w:rsidP="00FA092C">
      <w:pPr>
        <w:spacing w:line="40" w:lineRule="atLeast"/>
        <w:ind w:firstLine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Чинна</w:t>
      </w:r>
      <w:r w:rsidR="00FA092C" w:rsidRPr="00FA092C">
        <w:rPr>
          <w:rFonts w:cs="Times New Roman"/>
          <w:color w:val="000000"/>
        </w:rPr>
        <w:t xml:space="preserve"> редакція пункту 1.12 </w:t>
      </w:r>
      <w:r w:rsidR="00FA092C" w:rsidRPr="003B5CDB">
        <w:rPr>
          <w:rFonts w:cs="Times New Roman"/>
          <w:color w:val="000000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період, затвердженого постановою НКРЕКП від 28.12.2018 № 2118</w:t>
      </w:r>
      <w:r w:rsidR="00FA092C">
        <w:rPr>
          <w:rFonts w:cs="Times New Roman"/>
          <w:color w:val="000000"/>
        </w:rPr>
        <w:t xml:space="preserve">, </w:t>
      </w:r>
      <w:r w:rsidR="00FA092C" w:rsidRPr="00FA092C">
        <w:rPr>
          <w:rFonts w:cs="Times New Roman"/>
          <w:color w:val="000000"/>
        </w:rPr>
        <w:t>передбачає застосування механізму формування погодинних даних для площадок вимірювання групи «а», оперативні дані з яких більше як за 10 діб М були заміщені або наростаючим підсумком не відповідали фактичним даним лише до моменту запуску процесів формування профілів у Дата</w:t>
      </w:r>
      <w:r w:rsidR="00FA092C">
        <w:rPr>
          <w:rFonts w:cs="Times New Roman"/>
          <w:color w:val="000000"/>
        </w:rPr>
        <w:t>х</w:t>
      </w:r>
      <w:r w:rsidR="00FA092C" w:rsidRPr="00FA092C">
        <w:rPr>
          <w:rFonts w:cs="Times New Roman"/>
          <w:color w:val="000000"/>
        </w:rPr>
        <w:t>аб, але не пізніше 01</w:t>
      </w:r>
      <w:r w:rsidR="00FA092C">
        <w:rPr>
          <w:rFonts w:cs="Times New Roman"/>
          <w:color w:val="000000"/>
        </w:rPr>
        <w:t> </w:t>
      </w:r>
      <w:r w:rsidR="00FA092C" w:rsidRPr="00FA092C">
        <w:rPr>
          <w:rFonts w:cs="Times New Roman"/>
          <w:color w:val="000000"/>
        </w:rPr>
        <w:t xml:space="preserve">липня 2025 року. </w:t>
      </w:r>
    </w:p>
    <w:p w:rsidR="00FA092C" w:rsidRDefault="00D324BC" w:rsidP="00FA092C">
      <w:pPr>
        <w:spacing w:line="40" w:lineRule="atLeast"/>
        <w:ind w:firstLine="851"/>
        <w:jc w:val="both"/>
        <w:rPr>
          <w:rFonts w:cs="Times New Roman"/>
          <w:color w:val="000000"/>
        </w:rPr>
      </w:pPr>
      <w:r w:rsidRPr="00D324BC">
        <w:rPr>
          <w:rFonts w:cs="Times New Roman"/>
          <w:color w:val="000000"/>
        </w:rPr>
        <w:t xml:space="preserve">З огляду на продовження перехідного періоду впровадження функціоналу профілювання в системі </w:t>
      </w:r>
      <w:r w:rsidR="00200377">
        <w:rPr>
          <w:rFonts w:cs="Times New Roman"/>
          <w:color w:val="000000"/>
        </w:rPr>
        <w:t>Датахаб</w:t>
      </w:r>
      <w:r w:rsidRPr="00D324BC">
        <w:rPr>
          <w:rFonts w:cs="Times New Roman"/>
          <w:color w:val="000000"/>
        </w:rPr>
        <w:t>, постає необхідність оновлення норм</w:t>
      </w:r>
      <w:r w:rsidR="00200377">
        <w:rPr>
          <w:rFonts w:cs="Times New Roman"/>
          <w:color w:val="000000"/>
        </w:rPr>
        <w:t xml:space="preserve"> Тимчасового порядку з м</w:t>
      </w:r>
      <w:r w:rsidR="00FA092C" w:rsidRPr="00FA092C">
        <w:rPr>
          <w:rFonts w:cs="Times New Roman"/>
          <w:color w:val="000000"/>
        </w:rPr>
        <w:t>етою</w:t>
      </w:r>
      <w:r w:rsidR="00FA092C">
        <w:rPr>
          <w:rFonts w:cs="Times New Roman"/>
          <w:color w:val="000000"/>
        </w:rPr>
        <w:t>:</w:t>
      </w:r>
    </w:p>
    <w:p w:rsidR="00FA092C" w:rsidRPr="00FA092C" w:rsidRDefault="00FA092C" w:rsidP="00FA092C">
      <w:pPr>
        <w:spacing w:line="40" w:lineRule="atLeast"/>
        <w:ind w:firstLine="851"/>
        <w:jc w:val="both"/>
        <w:rPr>
          <w:rFonts w:eastAsia="Times New Roman" w:cs="Times New Roman"/>
          <w:lang w:eastAsia="uk-UA"/>
        </w:rPr>
      </w:pPr>
      <w:r>
        <w:rPr>
          <w:rFonts w:cs="Times New Roman"/>
          <w:color w:val="000000"/>
        </w:rPr>
        <w:t xml:space="preserve">- </w:t>
      </w:r>
      <w:r w:rsidR="00200377" w:rsidRPr="00200377">
        <w:rPr>
          <w:rFonts w:cs="Times New Roman"/>
          <w:color w:val="000000"/>
        </w:rPr>
        <w:t>врегулювання процесу формування погодинних даних</w:t>
      </w:r>
      <w:r w:rsidR="00200377" w:rsidRPr="00867A4A">
        <w:rPr>
          <w:rFonts w:cs="Times New Roman"/>
          <w:color w:val="000000"/>
        </w:rPr>
        <w:t xml:space="preserve"> </w:t>
      </w:r>
      <w:r w:rsidR="00200377" w:rsidRPr="00867A4A">
        <w:rPr>
          <w:rFonts w:cs="Times New Roman"/>
          <w:bCs/>
          <w:color w:val="000000"/>
        </w:rPr>
        <w:t>на період після 1 липня 2025 року</w:t>
      </w:r>
      <w:r w:rsidR="00867A4A">
        <w:rPr>
          <w:rFonts w:cs="Times New Roman"/>
          <w:bCs/>
          <w:color w:val="000000"/>
        </w:rPr>
        <w:t xml:space="preserve"> та </w:t>
      </w:r>
      <w:r w:rsidR="004B365B">
        <w:rPr>
          <w:rFonts w:cs="Times New Roman"/>
          <w:color w:val="000000"/>
        </w:rPr>
        <w:t>встановлення</w:t>
      </w:r>
      <w:r w:rsidRPr="00FA092C">
        <w:rPr>
          <w:rFonts w:eastAsia="Times New Roman" w:cs="Times New Roman"/>
          <w:lang w:eastAsia="uk-UA"/>
        </w:rPr>
        <w:t xml:space="preserve"> </w:t>
      </w:r>
      <w:r w:rsidR="00D324BC">
        <w:rPr>
          <w:rFonts w:eastAsia="Times New Roman" w:cs="Times New Roman"/>
          <w:lang w:eastAsia="uk-UA"/>
        </w:rPr>
        <w:t>чіткої</w:t>
      </w:r>
      <w:r w:rsidRPr="00FA092C">
        <w:rPr>
          <w:rFonts w:eastAsia="Times New Roman" w:cs="Times New Roman"/>
          <w:lang w:eastAsia="uk-UA"/>
        </w:rPr>
        <w:t xml:space="preserve"> </w:t>
      </w:r>
      <w:r w:rsidR="00200377">
        <w:rPr>
          <w:rFonts w:eastAsia="Times New Roman" w:cs="Times New Roman"/>
          <w:lang w:eastAsia="uk-UA"/>
        </w:rPr>
        <w:t xml:space="preserve">та прозорої </w:t>
      </w:r>
      <w:r w:rsidRPr="00FA092C">
        <w:rPr>
          <w:rFonts w:eastAsia="Times New Roman" w:cs="Times New Roman"/>
          <w:lang w:eastAsia="uk-UA"/>
        </w:rPr>
        <w:t xml:space="preserve">процедури </w:t>
      </w:r>
      <w:r w:rsidR="00D324BC" w:rsidRPr="00D324BC">
        <w:rPr>
          <w:rFonts w:eastAsia="Times New Roman" w:cs="Times New Roman"/>
          <w:lang w:eastAsia="uk-UA"/>
        </w:rPr>
        <w:t xml:space="preserve">формування погодинних даних для площадок вимірювання групи «а», оперативні дані з яких більше як за 10 діб </w:t>
      </w:r>
      <w:r w:rsidR="00200377">
        <w:rPr>
          <w:rFonts w:eastAsia="Times New Roman" w:cs="Times New Roman"/>
          <w:lang w:eastAsia="uk-UA"/>
        </w:rPr>
        <w:t xml:space="preserve">місяця </w:t>
      </w:r>
      <w:r w:rsidR="00D324BC" w:rsidRPr="00D324BC">
        <w:rPr>
          <w:rFonts w:eastAsia="Times New Roman" w:cs="Times New Roman"/>
          <w:lang w:eastAsia="uk-UA"/>
        </w:rPr>
        <w:t>М були заміщені або наростаючим підсумком не відповідали фактичним даним</w:t>
      </w:r>
      <w:r w:rsidR="00DC2B64">
        <w:rPr>
          <w:rFonts w:eastAsia="Times New Roman" w:cs="Times New Roman"/>
          <w:lang w:eastAsia="uk-UA"/>
        </w:rPr>
        <w:t>;</w:t>
      </w:r>
    </w:p>
    <w:p w:rsidR="00FA092C" w:rsidRDefault="00FA092C" w:rsidP="00FA092C">
      <w:pPr>
        <w:ind w:firstLine="720"/>
        <w:jc w:val="both"/>
        <w:rPr>
          <w:rFonts w:eastAsia="Times New Roman" w:cs="Times New Roman"/>
          <w:lang w:eastAsia="uk-UA"/>
        </w:rPr>
      </w:pPr>
      <w:r>
        <w:rPr>
          <w:rFonts w:eastAsia="Times New Roman" w:cs="Times New Roman"/>
          <w:lang w:eastAsia="uk-UA"/>
        </w:rPr>
        <w:t>- з</w:t>
      </w:r>
      <w:r w:rsidRPr="00FA092C">
        <w:rPr>
          <w:rFonts w:eastAsia="Times New Roman" w:cs="Times New Roman"/>
          <w:lang w:eastAsia="uk-UA"/>
        </w:rPr>
        <w:t xml:space="preserve">апровадження </w:t>
      </w:r>
      <w:r w:rsidR="00200377">
        <w:rPr>
          <w:rFonts w:eastAsia="Times New Roman" w:cs="Times New Roman"/>
          <w:lang w:eastAsia="uk-UA"/>
        </w:rPr>
        <w:t xml:space="preserve">механізму </w:t>
      </w:r>
      <w:r w:rsidR="004B365B">
        <w:rPr>
          <w:rFonts w:eastAsia="Times New Roman" w:cs="Times New Roman"/>
          <w:lang w:eastAsia="uk-UA"/>
        </w:rPr>
        <w:t xml:space="preserve">економічного </w:t>
      </w:r>
      <w:r w:rsidR="004B365B" w:rsidRPr="004B365B">
        <w:rPr>
          <w:rFonts w:eastAsia="Times New Roman" w:cs="Times New Roman"/>
          <w:lang w:eastAsia="uk-UA"/>
        </w:rPr>
        <w:t xml:space="preserve">стимулювання </w:t>
      </w:r>
      <w:r w:rsidRPr="00FA092C">
        <w:rPr>
          <w:rFonts w:eastAsia="Times New Roman" w:cs="Times New Roman"/>
          <w:lang w:eastAsia="uk-UA"/>
        </w:rPr>
        <w:t xml:space="preserve">споживачів до </w:t>
      </w:r>
      <w:r w:rsidR="00DC2B64">
        <w:rPr>
          <w:rFonts w:eastAsia="Times New Roman" w:cs="Times New Roman"/>
          <w:lang w:eastAsia="uk-UA"/>
        </w:rPr>
        <w:t xml:space="preserve">встановлення інтелектуальних лічильників </w:t>
      </w:r>
      <w:r w:rsidR="004B365B">
        <w:rPr>
          <w:rFonts w:eastAsia="Times New Roman" w:cs="Times New Roman"/>
          <w:lang w:eastAsia="uk-UA"/>
        </w:rPr>
        <w:t>на</w:t>
      </w:r>
      <w:r w:rsidRPr="00FA092C">
        <w:rPr>
          <w:rFonts w:eastAsia="Times New Roman" w:cs="Times New Roman"/>
          <w:lang w:eastAsia="uk-UA"/>
        </w:rPr>
        <w:t xml:space="preserve"> площадк</w:t>
      </w:r>
      <w:r w:rsidR="004B365B">
        <w:rPr>
          <w:rFonts w:eastAsia="Times New Roman" w:cs="Times New Roman"/>
          <w:lang w:eastAsia="uk-UA"/>
        </w:rPr>
        <w:t>ах</w:t>
      </w:r>
      <w:r w:rsidRPr="00FA092C">
        <w:rPr>
          <w:rFonts w:eastAsia="Times New Roman" w:cs="Times New Roman"/>
          <w:lang w:eastAsia="uk-UA"/>
        </w:rPr>
        <w:t xml:space="preserve"> </w:t>
      </w:r>
      <w:r w:rsidR="004B365B">
        <w:rPr>
          <w:rFonts w:eastAsia="Times New Roman" w:cs="Times New Roman"/>
          <w:lang w:eastAsia="uk-UA"/>
        </w:rPr>
        <w:t>вимірювання</w:t>
      </w:r>
      <w:r>
        <w:rPr>
          <w:rFonts w:eastAsia="Times New Roman" w:cs="Times New Roman"/>
          <w:lang w:eastAsia="uk-UA"/>
        </w:rPr>
        <w:t xml:space="preserve"> </w:t>
      </w:r>
      <w:r w:rsidRPr="00FA092C">
        <w:rPr>
          <w:rFonts w:eastAsia="Times New Roman" w:cs="Times New Roman"/>
          <w:lang w:eastAsia="uk-UA"/>
        </w:rPr>
        <w:t>групи «а», де не</w:t>
      </w:r>
      <w:r>
        <w:rPr>
          <w:rFonts w:eastAsia="Times New Roman" w:cs="Times New Roman"/>
          <w:lang w:eastAsia="uk-UA"/>
        </w:rPr>
        <w:t xml:space="preserve"> </w:t>
      </w:r>
      <w:r w:rsidRPr="00FA092C">
        <w:rPr>
          <w:rFonts w:eastAsia="Times New Roman" w:cs="Times New Roman"/>
          <w:lang w:eastAsia="uk-UA"/>
        </w:rPr>
        <w:t>виконуються вимоги Кодексу</w:t>
      </w:r>
      <w:r w:rsidR="00DC2B64">
        <w:rPr>
          <w:rFonts w:eastAsia="Times New Roman" w:cs="Times New Roman"/>
          <w:lang w:eastAsia="uk-UA"/>
        </w:rPr>
        <w:t xml:space="preserve"> комерційного обліку електричної енергії;</w:t>
      </w:r>
    </w:p>
    <w:p w:rsidR="00FA092C" w:rsidRPr="00FA092C" w:rsidRDefault="00FA092C" w:rsidP="00FA092C">
      <w:pPr>
        <w:ind w:firstLine="720"/>
        <w:jc w:val="both"/>
        <w:rPr>
          <w:rFonts w:eastAsia="Times New Roman" w:cs="Times New Roman"/>
          <w:lang w:eastAsia="uk-UA"/>
        </w:rPr>
      </w:pPr>
      <w:r>
        <w:rPr>
          <w:rFonts w:eastAsia="Times New Roman" w:cs="Times New Roman"/>
          <w:lang w:eastAsia="uk-UA"/>
        </w:rPr>
        <w:t>- з</w:t>
      </w:r>
      <w:r w:rsidRPr="00FA092C">
        <w:rPr>
          <w:rFonts w:eastAsia="Times New Roman" w:cs="Times New Roman"/>
          <w:lang w:eastAsia="uk-UA"/>
        </w:rPr>
        <w:t xml:space="preserve">абезпечення підвищення достовірності </w:t>
      </w:r>
      <w:r w:rsidR="00DC2B64">
        <w:rPr>
          <w:rFonts w:eastAsia="Times New Roman" w:cs="Times New Roman"/>
          <w:lang w:eastAsia="uk-UA"/>
        </w:rPr>
        <w:t>даних комерційного обліку</w:t>
      </w:r>
      <w:r w:rsidRPr="00FA092C">
        <w:rPr>
          <w:rFonts w:eastAsia="Times New Roman" w:cs="Times New Roman"/>
          <w:lang w:eastAsia="uk-UA"/>
        </w:rPr>
        <w:t xml:space="preserve"> шляхом </w:t>
      </w:r>
      <w:r w:rsidR="00DC2B64">
        <w:rPr>
          <w:rFonts w:eastAsia="Times New Roman" w:cs="Times New Roman"/>
          <w:lang w:eastAsia="uk-UA"/>
        </w:rPr>
        <w:t xml:space="preserve">встановлення максимально допустимого рівня </w:t>
      </w:r>
      <w:r w:rsidRPr="00FA092C">
        <w:rPr>
          <w:rFonts w:eastAsia="Times New Roman" w:cs="Times New Roman"/>
          <w:lang w:eastAsia="uk-UA"/>
        </w:rPr>
        <w:t>відхилення між оперативними та фактичними даними</w:t>
      </w:r>
      <w:r w:rsidR="00DC2B64">
        <w:rPr>
          <w:rFonts w:eastAsia="Times New Roman" w:cs="Times New Roman"/>
          <w:lang w:eastAsia="uk-UA"/>
        </w:rPr>
        <w:t>;</w:t>
      </w:r>
    </w:p>
    <w:p w:rsidR="00FA092C" w:rsidRPr="00FA092C" w:rsidRDefault="00FA092C" w:rsidP="00FA092C">
      <w:pPr>
        <w:ind w:firstLine="720"/>
        <w:jc w:val="both"/>
        <w:rPr>
          <w:rFonts w:eastAsia="Times New Roman" w:cs="Times New Roman"/>
          <w:lang w:eastAsia="uk-UA"/>
        </w:rPr>
      </w:pPr>
      <w:r>
        <w:rPr>
          <w:rFonts w:eastAsia="Times New Roman" w:cs="Times New Roman"/>
          <w:lang w:eastAsia="uk-UA"/>
        </w:rPr>
        <w:t xml:space="preserve">- </w:t>
      </w:r>
      <w:r w:rsidR="004B365B">
        <w:rPr>
          <w:rFonts w:eastAsia="Times New Roman" w:cs="Times New Roman"/>
          <w:lang w:eastAsia="uk-UA"/>
        </w:rPr>
        <w:t xml:space="preserve">створення умов для </w:t>
      </w:r>
      <w:r w:rsidRPr="00FA092C">
        <w:rPr>
          <w:rFonts w:eastAsia="Times New Roman" w:cs="Times New Roman"/>
          <w:lang w:eastAsia="uk-UA"/>
        </w:rPr>
        <w:t xml:space="preserve">надання </w:t>
      </w:r>
      <w:r w:rsidR="00200377">
        <w:rPr>
          <w:rFonts w:eastAsia="Times New Roman" w:cs="Times New Roman"/>
          <w:lang w:eastAsia="uk-UA"/>
        </w:rPr>
        <w:t xml:space="preserve">операторами системи </w:t>
      </w:r>
      <w:r w:rsidR="00867A4A" w:rsidRPr="00FA092C">
        <w:rPr>
          <w:rFonts w:eastAsia="Times New Roman" w:cs="Times New Roman"/>
          <w:lang w:eastAsia="uk-UA"/>
        </w:rPr>
        <w:t xml:space="preserve">електропостачальникам </w:t>
      </w:r>
      <w:r w:rsidRPr="00FA092C">
        <w:rPr>
          <w:rFonts w:eastAsia="Times New Roman" w:cs="Times New Roman"/>
          <w:lang w:eastAsia="uk-UA"/>
        </w:rPr>
        <w:t xml:space="preserve">повної звітної інформації </w:t>
      </w:r>
      <w:r w:rsidR="00DC2B64">
        <w:rPr>
          <w:rFonts w:eastAsia="Times New Roman" w:cs="Times New Roman"/>
          <w:lang w:eastAsia="uk-UA"/>
        </w:rPr>
        <w:t xml:space="preserve">з метою </w:t>
      </w:r>
      <w:r w:rsidR="00200377" w:rsidRPr="00FA092C">
        <w:rPr>
          <w:rFonts w:eastAsia="Times New Roman" w:cs="Times New Roman"/>
          <w:lang w:eastAsia="uk-UA"/>
        </w:rPr>
        <w:t>узгодження обсягів купівлі електроенергії електропостачальниками</w:t>
      </w:r>
      <w:r w:rsidR="00200377" w:rsidRPr="00DC2B64">
        <w:rPr>
          <w:rFonts w:eastAsia="Times New Roman" w:cs="Times New Roman"/>
          <w:lang w:eastAsia="uk-UA"/>
        </w:rPr>
        <w:t xml:space="preserve"> </w:t>
      </w:r>
      <w:r w:rsidR="00200377">
        <w:rPr>
          <w:rFonts w:eastAsia="Times New Roman" w:cs="Times New Roman"/>
          <w:lang w:eastAsia="uk-UA"/>
        </w:rPr>
        <w:t xml:space="preserve">та </w:t>
      </w:r>
      <w:r w:rsidR="00DC2B64" w:rsidRPr="00DC2B64">
        <w:rPr>
          <w:rFonts w:eastAsia="Times New Roman" w:cs="Times New Roman"/>
          <w:lang w:eastAsia="uk-UA"/>
        </w:rPr>
        <w:t xml:space="preserve">підвищення якості </w:t>
      </w:r>
      <w:r w:rsidR="00200377">
        <w:rPr>
          <w:rFonts w:eastAsia="Times New Roman" w:cs="Times New Roman"/>
          <w:lang w:eastAsia="uk-UA"/>
        </w:rPr>
        <w:t xml:space="preserve">їх </w:t>
      </w:r>
      <w:r w:rsidR="00DC2B64" w:rsidRPr="00DC2B64">
        <w:rPr>
          <w:rFonts w:eastAsia="Times New Roman" w:cs="Times New Roman"/>
          <w:lang w:eastAsia="uk-UA"/>
        </w:rPr>
        <w:t>прогнозування</w:t>
      </w:r>
      <w:r w:rsidR="004B365B">
        <w:rPr>
          <w:rFonts w:eastAsia="Times New Roman" w:cs="Times New Roman"/>
          <w:lang w:eastAsia="uk-UA"/>
        </w:rPr>
        <w:t>.</w:t>
      </w:r>
    </w:p>
    <w:p w:rsidR="00B8590D" w:rsidRPr="005E5DC4" w:rsidRDefault="00E25B07" w:rsidP="00E51E37">
      <w:pPr>
        <w:spacing w:line="40" w:lineRule="atLeast"/>
        <w:ind w:firstLine="709"/>
        <w:jc w:val="both"/>
        <w:rPr>
          <w:rFonts w:cs="Times New Roman"/>
        </w:rPr>
      </w:pPr>
      <w:r w:rsidRPr="005E5DC4">
        <w:rPr>
          <w:rFonts w:cs="Times New Roman"/>
        </w:rPr>
        <w:t>Департамент із регулювання відносин у сфері енергетики пропонує</w:t>
      </w:r>
      <w:r w:rsidR="0086672F" w:rsidRPr="005E5DC4">
        <w:rPr>
          <w:rFonts w:cs="Times New Roman"/>
        </w:rPr>
        <w:t>:</w:t>
      </w:r>
    </w:p>
    <w:p w:rsidR="00B8590D" w:rsidRPr="00B81628" w:rsidRDefault="00B8590D" w:rsidP="00762F5F">
      <w:pPr>
        <w:ind w:firstLine="567"/>
        <w:jc w:val="both"/>
        <w:rPr>
          <w:rStyle w:val="fontstyle01"/>
          <w:rFonts w:ascii="Times New Roman" w:hAnsi="Times New Roman" w:cs="Times New Roman"/>
          <w:color w:val="auto"/>
        </w:rPr>
      </w:pPr>
      <w:r w:rsidRPr="005E5DC4">
        <w:rPr>
          <w:rStyle w:val="fontstyle01"/>
          <w:rFonts w:ascii="Times New Roman" w:hAnsi="Times New Roman" w:cs="Times New Roman"/>
          <w:color w:val="auto"/>
        </w:rPr>
        <w:t>1. Схвалити про</w:t>
      </w:r>
      <w:r w:rsidR="00FA092C">
        <w:rPr>
          <w:rStyle w:val="fontstyle01"/>
          <w:rFonts w:ascii="Times New Roman" w:hAnsi="Times New Roman" w:cs="Times New Roman"/>
          <w:color w:val="auto"/>
        </w:rPr>
        <w:t>е</w:t>
      </w:r>
      <w:r w:rsidRPr="005E5DC4">
        <w:rPr>
          <w:rStyle w:val="fontstyle01"/>
          <w:rFonts w:ascii="Times New Roman" w:hAnsi="Times New Roman" w:cs="Times New Roman"/>
          <w:color w:val="auto"/>
        </w:rPr>
        <w:t xml:space="preserve">кт постанови НКРЕКП </w:t>
      </w:r>
      <w:r w:rsidR="00762F5F">
        <w:t xml:space="preserve">«Про </w:t>
      </w:r>
      <w:r w:rsidR="00B27DA6">
        <w:t xml:space="preserve">затвердження Змін </w:t>
      </w:r>
      <w:r w:rsidR="00762F5F">
        <w:t xml:space="preserve">до Тимчасового порядку визначення обсягів купівлі електричної енергії на ринку </w:t>
      </w:r>
      <w:r w:rsidR="00762F5F">
        <w:lastRenderedPageBreak/>
        <w:t>електричної енергії електропостачальниками та операторами систем розподілу на перехідний період»</w:t>
      </w:r>
      <w:r w:rsidR="00251C02">
        <w:t>.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</w:t>
      </w:r>
    </w:p>
    <w:p w:rsidR="00B8590D" w:rsidRPr="000841BF" w:rsidRDefault="00B8590D" w:rsidP="00B8590D">
      <w:pPr>
        <w:ind w:firstLine="567"/>
        <w:jc w:val="both"/>
        <w:rPr>
          <w:rFonts w:cs="Times New Roman"/>
        </w:rPr>
      </w:pPr>
      <w:r w:rsidRPr="00B81628">
        <w:rPr>
          <w:rStyle w:val="fontstyle01"/>
          <w:rFonts w:ascii="Times New Roman" w:hAnsi="Times New Roman" w:cs="Times New Roman"/>
          <w:color w:val="auto"/>
        </w:rPr>
        <w:t>2. Оприлюднити про</w:t>
      </w:r>
      <w:r w:rsidR="00FA092C">
        <w:rPr>
          <w:rStyle w:val="fontstyle01"/>
          <w:rFonts w:ascii="Times New Roman" w:hAnsi="Times New Roman" w:cs="Times New Roman"/>
          <w:color w:val="auto"/>
        </w:rPr>
        <w:t>е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кт постанови НКРЕКП </w:t>
      </w:r>
      <w:r w:rsidR="005E5DC4" w:rsidRPr="005E5DC4">
        <w:t>«</w:t>
      </w:r>
      <w:r w:rsidR="00762F5F">
        <w:t xml:space="preserve">Про </w:t>
      </w:r>
      <w:r w:rsidR="00B27DA6">
        <w:t>затвердження Змін</w:t>
      </w:r>
      <w:r w:rsidR="00762F5F">
        <w:t xml:space="preserve">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на офіційному </w:t>
      </w:r>
      <w:proofErr w:type="spellStart"/>
      <w:r w:rsidRPr="00B81628">
        <w:rPr>
          <w:rStyle w:val="fontstyle01"/>
          <w:rFonts w:ascii="Times New Roman" w:hAnsi="Times New Roman" w:cs="Times New Roman"/>
          <w:color w:val="auto"/>
        </w:rPr>
        <w:t>вебсайті</w:t>
      </w:r>
      <w:proofErr w:type="spellEnd"/>
      <w:r w:rsidRPr="00B81628">
        <w:rPr>
          <w:rStyle w:val="fontstyle01"/>
          <w:rFonts w:ascii="Times New Roman" w:hAnsi="Times New Roman" w:cs="Times New Roman"/>
          <w:color w:val="auto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</w:t>
      </w:r>
      <w:r w:rsidRPr="000841BF">
        <w:rPr>
          <w:rStyle w:val="fontstyle01"/>
          <w:rFonts w:ascii="Times New Roman" w:hAnsi="Times New Roman" w:cs="Times New Roman"/>
        </w:rPr>
        <w:t>.</w:t>
      </w:r>
    </w:p>
    <w:p w:rsidR="002A2407" w:rsidRPr="000841BF" w:rsidRDefault="002A2407" w:rsidP="00F5728E">
      <w:pPr>
        <w:ind w:firstLine="567"/>
        <w:jc w:val="both"/>
        <w:rPr>
          <w:rFonts w:cs="Times New Roman"/>
        </w:rPr>
      </w:pPr>
    </w:p>
    <w:p w:rsidR="00906D40" w:rsidRPr="000841BF" w:rsidRDefault="00906D40" w:rsidP="00F5728E">
      <w:pPr>
        <w:ind w:firstLine="567"/>
        <w:jc w:val="both"/>
        <w:rPr>
          <w:rFonts w:cs="Times New Roman"/>
        </w:rPr>
      </w:pPr>
    </w:p>
    <w:p w:rsidR="002A2407" w:rsidRPr="000E335F" w:rsidRDefault="000E335F" w:rsidP="002A2407">
      <w:pPr>
        <w:rPr>
          <w:rFonts w:cs="Times New Roman"/>
        </w:rPr>
      </w:pPr>
      <w:r w:rsidRPr="000E335F">
        <w:rPr>
          <w:rFonts w:cs="Times New Roman"/>
        </w:rPr>
        <w:t>Заступник д</w:t>
      </w:r>
      <w:r w:rsidR="002A2407" w:rsidRPr="000E335F">
        <w:rPr>
          <w:rFonts w:cs="Times New Roman"/>
        </w:rPr>
        <w:t>иректор</w:t>
      </w:r>
      <w:r w:rsidRPr="000E335F">
        <w:rPr>
          <w:rFonts w:cs="Times New Roman"/>
        </w:rPr>
        <w:t>а</w:t>
      </w:r>
      <w:r w:rsidR="002A2407" w:rsidRPr="000E335F">
        <w:rPr>
          <w:rFonts w:cs="Times New Roman"/>
        </w:rPr>
        <w:t xml:space="preserve"> Департаменту із </w:t>
      </w:r>
    </w:p>
    <w:p w:rsidR="006D6D32" w:rsidRPr="000E335F" w:rsidRDefault="002A2407" w:rsidP="002A2407">
      <w:pPr>
        <w:outlineLvl w:val="0"/>
        <w:rPr>
          <w:rFonts w:cs="Times New Roman"/>
          <w:lang w:val="ru-RU"/>
        </w:rPr>
      </w:pPr>
      <w:r w:rsidRPr="000E335F">
        <w:rPr>
          <w:rFonts w:cs="Times New Roman"/>
        </w:rPr>
        <w:t xml:space="preserve">регулювання відносин у сфері енергетики            </w:t>
      </w:r>
      <w:r w:rsidR="000E335F" w:rsidRPr="000E335F">
        <w:rPr>
          <w:rFonts w:cs="Times New Roman"/>
          <w:lang w:val="ru-RU"/>
        </w:rPr>
        <w:t xml:space="preserve">    </w:t>
      </w:r>
      <w:r w:rsidRPr="000E335F">
        <w:rPr>
          <w:rFonts w:cs="Times New Roman"/>
        </w:rPr>
        <w:t xml:space="preserve">                 </w:t>
      </w:r>
      <w:r w:rsidR="000E335F" w:rsidRPr="000E335F">
        <w:rPr>
          <w:rFonts w:cs="Times New Roman"/>
        </w:rPr>
        <w:t>Юрій</w:t>
      </w:r>
      <w:r w:rsidR="000E335F">
        <w:rPr>
          <w:rFonts w:cs="Times New Roman"/>
        </w:rPr>
        <w:t xml:space="preserve"> ОСТАП</w:t>
      </w:r>
      <w:r w:rsidR="000E335F" w:rsidRPr="000E335F">
        <w:rPr>
          <w:rFonts w:cs="Times New Roman"/>
          <w:lang w:val="ru-RU"/>
        </w:rPr>
        <w:t>’</w:t>
      </w:r>
      <w:r w:rsidR="000E335F">
        <w:rPr>
          <w:rFonts w:cs="Times New Roman"/>
        </w:rPr>
        <w:t>ЮК</w:t>
      </w:r>
    </w:p>
    <w:sectPr w:rsidR="006D6D32" w:rsidRPr="000E335F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B015ADA"/>
    <w:multiLevelType w:val="multilevel"/>
    <w:tmpl w:val="3EE0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311A6"/>
    <w:rsid w:val="00050D31"/>
    <w:rsid w:val="00064505"/>
    <w:rsid w:val="000729FB"/>
    <w:rsid w:val="000841BF"/>
    <w:rsid w:val="00093B3D"/>
    <w:rsid w:val="000971AB"/>
    <w:rsid w:val="000D75E8"/>
    <w:rsid w:val="000E335F"/>
    <w:rsid w:val="000F3B29"/>
    <w:rsid w:val="0012198C"/>
    <w:rsid w:val="001259B4"/>
    <w:rsid w:val="00133248"/>
    <w:rsid w:val="00152F5E"/>
    <w:rsid w:val="001530C1"/>
    <w:rsid w:val="0016563A"/>
    <w:rsid w:val="001939B6"/>
    <w:rsid w:val="00197B61"/>
    <w:rsid w:val="001B4963"/>
    <w:rsid w:val="001E7D78"/>
    <w:rsid w:val="00200377"/>
    <w:rsid w:val="00251C02"/>
    <w:rsid w:val="00253261"/>
    <w:rsid w:val="002628C5"/>
    <w:rsid w:val="00286AE0"/>
    <w:rsid w:val="00296DFC"/>
    <w:rsid w:val="002A2407"/>
    <w:rsid w:val="003072C8"/>
    <w:rsid w:val="00317AB0"/>
    <w:rsid w:val="00337BD6"/>
    <w:rsid w:val="003604A6"/>
    <w:rsid w:val="00381737"/>
    <w:rsid w:val="0038726C"/>
    <w:rsid w:val="003B5CDB"/>
    <w:rsid w:val="004276EA"/>
    <w:rsid w:val="00437861"/>
    <w:rsid w:val="00452235"/>
    <w:rsid w:val="004B365B"/>
    <w:rsid w:val="004D43CC"/>
    <w:rsid w:val="005077AB"/>
    <w:rsid w:val="00592958"/>
    <w:rsid w:val="005E5DC4"/>
    <w:rsid w:val="0068718A"/>
    <w:rsid w:val="006B1405"/>
    <w:rsid w:val="006D6D32"/>
    <w:rsid w:val="006E5DF7"/>
    <w:rsid w:val="006F26BB"/>
    <w:rsid w:val="00706392"/>
    <w:rsid w:val="00731C89"/>
    <w:rsid w:val="007424DA"/>
    <w:rsid w:val="0074591C"/>
    <w:rsid w:val="00762F5F"/>
    <w:rsid w:val="00764C7E"/>
    <w:rsid w:val="00782391"/>
    <w:rsid w:val="00793AC2"/>
    <w:rsid w:val="007C10C6"/>
    <w:rsid w:val="007F28AD"/>
    <w:rsid w:val="0080063F"/>
    <w:rsid w:val="00863CC9"/>
    <w:rsid w:val="0086672F"/>
    <w:rsid w:val="00866767"/>
    <w:rsid w:val="00867A4A"/>
    <w:rsid w:val="00873AD4"/>
    <w:rsid w:val="0089216D"/>
    <w:rsid w:val="008B0C5C"/>
    <w:rsid w:val="008B5BC3"/>
    <w:rsid w:val="008F3E7B"/>
    <w:rsid w:val="00906D40"/>
    <w:rsid w:val="009212AA"/>
    <w:rsid w:val="00931C5D"/>
    <w:rsid w:val="009642A1"/>
    <w:rsid w:val="00970110"/>
    <w:rsid w:val="009A5F33"/>
    <w:rsid w:val="009D6600"/>
    <w:rsid w:val="009E46B8"/>
    <w:rsid w:val="00A31217"/>
    <w:rsid w:val="00A60AC8"/>
    <w:rsid w:val="00AA11E5"/>
    <w:rsid w:val="00AF21C0"/>
    <w:rsid w:val="00B25B66"/>
    <w:rsid w:val="00B27DA6"/>
    <w:rsid w:val="00B7640B"/>
    <w:rsid w:val="00B81628"/>
    <w:rsid w:val="00B8590D"/>
    <w:rsid w:val="00C11766"/>
    <w:rsid w:val="00C12AA7"/>
    <w:rsid w:val="00C90E9D"/>
    <w:rsid w:val="00CB2826"/>
    <w:rsid w:val="00CB354E"/>
    <w:rsid w:val="00CE5D4B"/>
    <w:rsid w:val="00CF484D"/>
    <w:rsid w:val="00D03612"/>
    <w:rsid w:val="00D22517"/>
    <w:rsid w:val="00D324BC"/>
    <w:rsid w:val="00D56435"/>
    <w:rsid w:val="00D630A6"/>
    <w:rsid w:val="00D83EB5"/>
    <w:rsid w:val="00DA02BC"/>
    <w:rsid w:val="00DB6851"/>
    <w:rsid w:val="00DC2B64"/>
    <w:rsid w:val="00DE0BC0"/>
    <w:rsid w:val="00DF5525"/>
    <w:rsid w:val="00E07EAB"/>
    <w:rsid w:val="00E25B07"/>
    <w:rsid w:val="00E51E37"/>
    <w:rsid w:val="00E5247D"/>
    <w:rsid w:val="00E835DE"/>
    <w:rsid w:val="00E92F93"/>
    <w:rsid w:val="00ED076C"/>
    <w:rsid w:val="00ED2C33"/>
    <w:rsid w:val="00ED3A35"/>
    <w:rsid w:val="00EF7BF7"/>
    <w:rsid w:val="00F17237"/>
    <w:rsid w:val="00F340B7"/>
    <w:rsid w:val="00F450EC"/>
    <w:rsid w:val="00F5728E"/>
    <w:rsid w:val="00F844CD"/>
    <w:rsid w:val="00FA092C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rsid w:val="00064505"/>
    <w:rPr>
      <w:color w:val="0000FF"/>
      <w:u w:val="single"/>
    </w:rPr>
  </w:style>
  <w:style w:type="character" w:customStyle="1" w:styleId="rvts46">
    <w:name w:val="rvts46"/>
    <w:basedOn w:val="a0"/>
    <w:rsid w:val="00064505"/>
  </w:style>
  <w:style w:type="character" w:customStyle="1" w:styleId="rvts11">
    <w:name w:val="rvts11"/>
    <w:basedOn w:val="a0"/>
    <w:rsid w:val="00064505"/>
  </w:style>
  <w:style w:type="character" w:customStyle="1" w:styleId="fontstyle21">
    <w:name w:val="fontstyle21"/>
    <w:basedOn w:val="a0"/>
    <w:rsid w:val="003B5CD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2068</Words>
  <Characters>1180</Characters>
  <Application>Microsoft Office Word</Application>
  <DocSecurity>4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2</cp:revision>
  <cp:lastPrinted>2025-05-21T06:22:00Z</cp:lastPrinted>
  <dcterms:created xsi:type="dcterms:W3CDTF">2025-05-26T05:43:00Z</dcterms:created>
  <dcterms:modified xsi:type="dcterms:W3CDTF">2025-05-26T05:43:00Z</dcterms:modified>
</cp:coreProperties>
</file>