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3A7" w:rsidRDefault="00F33133" w:rsidP="006A518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Порівняльна таблиця до проєкту рішення НКРЕКП, що має ознаки регуляторного акта, - </w:t>
      </w:r>
      <w:r>
        <w:rPr>
          <w:rFonts w:ascii="Times New Roman" w:eastAsia="Times New Roman" w:hAnsi="Times New Roman" w:cs="Times New Roman"/>
          <w:b/>
          <w:sz w:val="28"/>
          <w:szCs w:val="28"/>
        </w:rPr>
        <w:br/>
        <w:t>постанови НКРЕКП «Про затвердження Змін до Правил ринку»</w:t>
      </w:r>
    </w:p>
    <w:p w:rsidR="001363A7" w:rsidRDefault="001363A7" w:rsidP="006A5182">
      <w:pPr>
        <w:spacing w:after="0" w:line="240" w:lineRule="auto"/>
        <w:rPr>
          <w:rFonts w:ascii="Times New Roman" w:eastAsia="Times New Roman" w:hAnsi="Times New Roman" w:cs="Times New Roman"/>
          <w:sz w:val="24"/>
          <w:szCs w:val="24"/>
        </w:rPr>
      </w:pPr>
    </w:p>
    <w:tbl>
      <w:tblPr>
        <w:tblStyle w:val="afc"/>
        <w:tblW w:w="15628"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7"/>
        <w:gridCol w:w="7831"/>
      </w:tblGrid>
      <w:tr w:rsidR="006A5182" w:rsidTr="006A5182">
        <w:trPr>
          <w:trHeight w:val="290"/>
        </w:trPr>
        <w:tc>
          <w:tcPr>
            <w:tcW w:w="7797" w:type="dxa"/>
          </w:tcPr>
          <w:p w:rsidR="006A5182" w:rsidRDefault="006A5182" w:rsidP="006A518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Чинна редакція</w:t>
            </w:r>
          </w:p>
        </w:tc>
        <w:tc>
          <w:tcPr>
            <w:tcW w:w="7831" w:type="dxa"/>
          </w:tcPr>
          <w:p w:rsidR="006A5182" w:rsidRPr="006A5182" w:rsidRDefault="006A5182" w:rsidP="006A5182">
            <w:pPr>
              <w:jc w:val="center"/>
              <w:rPr>
                <w:rFonts w:ascii="Times New Roman" w:eastAsia="Times New Roman" w:hAnsi="Times New Roman" w:cs="Times New Roman"/>
                <w:b/>
                <w:sz w:val="24"/>
                <w:szCs w:val="24"/>
              </w:rPr>
            </w:pPr>
            <w:r w:rsidRPr="006A5182">
              <w:rPr>
                <w:rFonts w:ascii="Times New Roman" w:eastAsia="Times New Roman" w:hAnsi="Times New Roman" w:cs="Times New Roman"/>
                <w:b/>
                <w:sz w:val="24"/>
                <w:szCs w:val="24"/>
              </w:rPr>
              <w:t xml:space="preserve">Редакція </w:t>
            </w:r>
            <w:proofErr w:type="spellStart"/>
            <w:r w:rsidRPr="006A5182">
              <w:rPr>
                <w:rFonts w:ascii="Times New Roman" w:eastAsia="Times New Roman" w:hAnsi="Times New Roman" w:cs="Times New Roman"/>
                <w:b/>
                <w:sz w:val="24"/>
                <w:szCs w:val="24"/>
              </w:rPr>
              <w:t>проєкту</w:t>
            </w:r>
            <w:proofErr w:type="spellEnd"/>
            <w:r w:rsidRPr="006A5182">
              <w:rPr>
                <w:rFonts w:ascii="Times New Roman" w:eastAsia="Times New Roman" w:hAnsi="Times New Roman" w:cs="Times New Roman"/>
                <w:b/>
                <w:sz w:val="24"/>
                <w:szCs w:val="24"/>
              </w:rPr>
              <w:t xml:space="preserve"> рішення НКРЕКП</w:t>
            </w:r>
          </w:p>
        </w:tc>
      </w:tr>
      <w:tr w:rsidR="006A5182" w:rsidTr="006A5182">
        <w:trPr>
          <w:trHeight w:val="2383"/>
        </w:trPr>
        <w:tc>
          <w:tcPr>
            <w:tcW w:w="7797" w:type="dxa"/>
            <w:shd w:val="clear" w:color="auto" w:fill="auto"/>
          </w:tcPr>
          <w:p w:rsidR="006A5182" w:rsidRPr="009C27A3" w:rsidRDefault="006A5182" w:rsidP="006A5182">
            <w:pPr>
              <w:shd w:val="clear" w:color="auto" w:fill="FFFFFF"/>
              <w:ind w:firstLine="450"/>
              <w:jc w:val="both"/>
              <w:rPr>
                <w:rFonts w:ascii="Times New Roman" w:eastAsia="Times New Roman" w:hAnsi="Times New Roman" w:cs="Times New Roman"/>
                <w:sz w:val="24"/>
                <w:szCs w:val="24"/>
              </w:rPr>
            </w:pPr>
            <w:r w:rsidRPr="009C27A3">
              <w:rPr>
                <w:rFonts w:ascii="Times New Roman" w:eastAsia="Times New Roman" w:hAnsi="Times New Roman" w:cs="Times New Roman"/>
                <w:sz w:val="24"/>
                <w:szCs w:val="24"/>
              </w:rPr>
              <w:t>3.18.15. Не пізніше ніж за 45 календарних днів до дати початку надання ДП потенційною одиницею ДП, ПДП або ППДП мають:</w:t>
            </w:r>
          </w:p>
          <w:p w:rsidR="006A5182" w:rsidRPr="009C27A3" w:rsidRDefault="006A5182" w:rsidP="006A5182">
            <w:pPr>
              <w:shd w:val="clear" w:color="auto" w:fill="FFFFFF"/>
              <w:ind w:firstLine="450"/>
              <w:jc w:val="both"/>
              <w:rPr>
                <w:rFonts w:ascii="Times New Roman" w:eastAsia="Times New Roman" w:hAnsi="Times New Roman" w:cs="Times New Roman"/>
                <w:sz w:val="24"/>
                <w:szCs w:val="24"/>
              </w:rPr>
            </w:pPr>
            <w:bookmarkStart w:id="0" w:name="bookmark=id.liquhse3nq4n" w:colFirst="0" w:colLast="0"/>
            <w:bookmarkEnd w:id="0"/>
            <w:r w:rsidRPr="009C27A3">
              <w:rPr>
                <w:rFonts w:ascii="Times New Roman" w:eastAsia="Times New Roman" w:hAnsi="Times New Roman" w:cs="Times New Roman"/>
                <w:sz w:val="24"/>
                <w:szCs w:val="24"/>
              </w:rPr>
              <w:t>забезпечити відповідність технічних характеристик обладнання потенційної одиниці надання ДП обсягам та виду ДП, що продана на спеціальному аукціоні на ДП, що підтверджені Свідоцтвом про відповідність вимогам до ДП;</w:t>
            </w:r>
          </w:p>
          <w:p w:rsidR="006A5182" w:rsidRPr="009C27A3" w:rsidRDefault="006A5182" w:rsidP="006A5182">
            <w:pPr>
              <w:shd w:val="clear" w:color="auto" w:fill="FFFFFF"/>
              <w:ind w:firstLine="450"/>
              <w:jc w:val="both"/>
              <w:rPr>
                <w:rFonts w:ascii="Times New Roman" w:eastAsia="Times New Roman" w:hAnsi="Times New Roman" w:cs="Times New Roman"/>
                <w:sz w:val="24"/>
                <w:szCs w:val="24"/>
              </w:rPr>
            </w:pPr>
            <w:bookmarkStart w:id="1" w:name="bookmark=id.yipht8jbafya" w:colFirst="0" w:colLast="0"/>
            <w:bookmarkEnd w:id="1"/>
            <w:r w:rsidRPr="009C27A3">
              <w:rPr>
                <w:rFonts w:ascii="Times New Roman" w:eastAsia="Times New Roman" w:hAnsi="Times New Roman" w:cs="Times New Roman"/>
                <w:sz w:val="24"/>
                <w:szCs w:val="24"/>
              </w:rPr>
              <w:t>набути статусу ПДП щодо потенційної одиниці надання ДП.</w:t>
            </w:r>
          </w:p>
          <w:p w:rsidR="006A5182" w:rsidRPr="009C27A3" w:rsidRDefault="006A5182" w:rsidP="006A5182">
            <w:pPr>
              <w:shd w:val="clear" w:color="auto" w:fill="FFFFFF"/>
              <w:ind w:firstLine="450"/>
              <w:jc w:val="both"/>
              <w:rPr>
                <w:rFonts w:ascii="Times New Roman" w:eastAsia="Times New Roman" w:hAnsi="Times New Roman" w:cs="Times New Roman"/>
                <w:sz w:val="24"/>
                <w:szCs w:val="24"/>
              </w:rPr>
            </w:pPr>
            <w:bookmarkStart w:id="2" w:name="bookmark=id.ltxb9u2u21a1" w:colFirst="0" w:colLast="0"/>
            <w:bookmarkEnd w:id="2"/>
            <w:r w:rsidRPr="009C27A3">
              <w:rPr>
                <w:rFonts w:ascii="Times New Roman" w:eastAsia="Times New Roman" w:hAnsi="Times New Roman" w:cs="Times New Roman"/>
                <w:sz w:val="24"/>
                <w:szCs w:val="24"/>
              </w:rPr>
              <w:t>У разі невиконання вимог, визначених цим пунктом, ОСП протягом 30 календарних днів з дати початку періоду надання ДП стягує з ПДП або ППДП фінансове забезпечення виконання умов договору про надання ДП у майбутньому.</w:t>
            </w:r>
          </w:p>
          <w:p w:rsidR="006A5182" w:rsidRPr="009C27A3" w:rsidRDefault="006A5182" w:rsidP="006A5182">
            <w:pPr>
              <w:shd w:val="clear" w:color="auto" w:fill="FFFFFF"/>
              <w:ind w:firstLine="450"/>
              <w:jc w:val="both"/>
              <w:rPr>
                <w:rFonts w:ascii="Times New Roman" w:eastAsia="Times New Roman" w:hAnsi="Times New Roman" w:cs="Times New Roman"/>
                <w:sz w:val="24"/>
                <w:szCs w:val="24"/>
              </w:rPr>
            </w:pPr>
            <w:bookmarkStart w:id="3" w:name="bookmark=id.8df53kp8p2qo" w:colFirst="0" w:colLast="0"/>
            <w:bookmarkEnd w:id="3"/>
            <w:r w:rsidRPr="009C27A3">
              <w:rPr>
                <w:rFonts w:ascii="Times New Roman" w:eastAsia="Times New Roman" w:hAnsi="Times New Roman" w:cs="Times New Roman"/>
                <w:sz w:val="24"/>
                <w:szCs w:val="24"/>
              </w:rPr>
              <w:t>У разі виконання вимог, визначених цим пунктом, ОСП протягом 30 календарних днів з дати початку періоду надання ДП повертає ПДП або ППДП фінансове забезпечення виконання умов договору на ДП у майбутньому.</w:t>
            </w:r>
          </w:p>
          <w:p w:rsidR="006A5182" w:rsidRPr="009C27A3" w:rsidRDefault="006A5182" w:rsidP="006A5182">
            <w:pPr>
              <w:tabs>
                <w:tab w:val="left" w:pos="5812"/>
              </w:tabs>
              <w:ind w:firstLine="452"/>
              <w:jc w:val="both"/>
              <w:rPr>
                <w:rFonts w:ascii="Times New Roman" w:eastAsia="Times New Roman" w:hAnsi="Times New Roman" w:cs="Times New Roman"/>
                <w:sz w:val="24"/>
                <w:szCs w:val="24"/>
              </w:rPr>
            </w:pPr>
          </w:p>
        </w:tc>
        <w:tc>
          <w:tcPr>
            <w:tcW w:w="7831" w:type="dxa"/>
            <w:shd w:val="clear" w:color="auto" w:fill="auto"/>
          </w:tcPr>
          <w:p w:rsidR="006A5182" w:rsidRPr="006A5182" w:rsidRDefault="006A5182" w:rsidP="006A5182">
            <w:pPr>
              <w:shd w:val="clear" w:color="auto" w:fill="FFFFFF"/>
              <w:ind w:firstLine="450"/>
              <w:jc w:val="both"/>
              <w:rPr>
                <w:rFonts w:ascii="Times New Roman" w:eastAsia="Times New Roman" w:hAnsi="Times New Roman" w:cs="Times New Roman"/>
                <w:sz w:val="24"/>
                <w:szCs w:val="24"/>
              </w:rPr>
            </w:pPr>
            <w:r w:rsidRPr="006A5182">
              <w:rPr>
                <w:rFonts w:ascii="Times New Roman" w:eastAsia="Times New Roman" w:hAnsi="Times New Roman" w:cs="Times New Roman"/>
                <w:sz w:val="24"/>
                <w:szCs w:val="24"/>
              </w:rPr>
              <w:t xml:space="preserve">3.18.15. Не пізніше ніж за </w:t>
            </w:r>
            <w:r w:rsidRPr="005A0D3D">
              <w:rPr>
                <w:rFonts w:ascii="Times New Roman" w:eastAsia="Times New Roman" w:hAnsi="Times New Roman" w:cs="Times New Roman"/>
                <w:sz w:val="24"/>
                <w:szCs w:val="24"/>
              </w:rPr>
              <w:t>10</w:t>
            </w:r>
            <w:r w:rsidRPr="006A5182">
              <w:rPr>
                <w:rFonts w:ascii="Times New Roman" w:eastAsia="Times New Roman" w:hAnsi="Times New Roman" w:cs="Times New Roman"/>
                <w:sz w:val="24"/>
                <w:szCs w:val="24"/>
              </w:rPr>
              <w:t xml:space="preserve"> календарних днів до дати початку надання ДП потенційною одиницею ДП, ПДП або ППДП мають:</w:t>
            </w:r>
          </w:p>
          <w:p w:rsidR="006A5182" w:rsidRPr="006A5182" w:rsidRDefault="006A5182" w:rsidP="006A5182">
            <w:pPr>
              <w:shd w:val="clear" w:color="auto" w:fill="FFFFFF"/>
              <w:ind w:firstLine="450"/>
              <w:jc w:val="both"/>
              <w:rPr>
                <w:rFonts w:ascii="Times New Roman" w:eastAsia="Times New Roman" w:hAnsi="Times New Roman" w:cs="Times New Roman"/>
                <w:sz w:val="24"/>
                <w:szCs w:val="24"/>
              </w:rPr>
            </w:pPr>
            <w:r w:rsidRPr="006A5182">
              <w:rPr>
                <w:rFonts w:ascii="Times New Roman" w:eastAsia="Times New Roman" w:hAnsi="Times New Roman" w:cs="Times New Roman"/>
                <w:sz w:val="24"/>
                <w:szCs w:val="24"/>
              </w:rPr>
              <w:t>забезпечити відповідність технічних характеристик обладнання потенційної одиниці надання ДП обсягам та виду ДП, що продана на спеціальному аукціоні на ДП, що підтверджені Свідоцтвом про відповідність вимогам до ДП;</w:t>
            </w:r>
          </w:p>
          <w:p w:rsidR="006A5182" w:rsidRPr="006A5182" w:rsidRDefault="006A5182" w:rsidP="006A5182">
            <w:pPr>
              <w:shd w:val="clear" w:color="auto" w:fill="FFFFFF"/>
              <w:ind w:firstLine="450"/>
              <w:jc w:val="both"/>
              <w:rPr>
                <w:rFonts w:ascii="Times New Roman" w:eastAsia="Times New Roman" w:hAnsi="Times New Roman" w:cs="Times New Roman"/>
                <w:sz w:val="24"/>
                <w:szCs w:val="24"/>
              </w:rPr>
            </w:pPr>
            <w:r w:rsidRPr="006A5182">
              <w:rPr>
                <w:rFonts w:ascii="Times New Roman" w:eastAsia="Times New Roman" w:hAnsi="Times New Roman" w:cs="Times New Roman"/>
                <w:sz w:val="24"/>
                <w:szCs w:val="24"/>
              </w:rPr>
              <w:t>набути статусу ПДП щодо потенційної одиниці надання ДП.</w:t>
            </w:r>
          </w:p>
          <w:p w:rsidR="006A5182" w:rsidRPr="006A5182" w:rsidRDefault="006A5182" w:rsidP="006A5182">
            <w:pPr>
              <w:shd w:val="clear" w:color="auto" w:fill="FFFFFF"/>
              <w:ind w:firstLine="450"/>
              <w:jc w:val="both"/>
              <w:rPr>
                <w:rFonts w:ascii="Times New Roman" w:eastAsia="Times New Roman" w:hAnsi="Times New Roman" w:cs="Times New Roman"/>
                <w:sz w:val="24"/>
                <w:szCs w:val="24"/>
              </w:rPr>
            </w:pPr>
            <w:r w:rsidRPr="006A5182">
              <w:rPr>
                <w:rFonts w:ascii="Times New Roman" w:eastAsia="Times New Roman" w:hAnsi="Times New Roman" w:cs="Times New Roman"/>
                <w:sz w:val="24"/>
                <w:szCs w:val="24"/>
              </w:rPr>
              <w:t>У разі невиконання вимог, визначених цим пунктом, ОСП протягом 30 календарних днів з дати початку періоду надання ДП стягує</w:t>
            </w:r>
            <w:r w:rsidRPr="006A5182">
              <w:rPr>
                <w:rFonts w:ascii="Times New Roman" w:eastAsia="Times New Roman" w:hAnsi="Times New Roman" w:cs="Times New Roman"/>
                <w:b/>
                <w:sz w:val="24"/>
                <w:szCs w:val="24"/>
              </w:rPr>
              <w:t xml:space="preserve"> на свій поточний рахунок</w:t>
            </w:r>
            <w:r w:rsidRPr="006A5182">
              <w:rPr>
                <w:rFonts w:ascii="Times New Roman" w:eastAsia="Times New Roman" w:hAnsi="Times New Roman" w:cs="Times New Roman"/>
                <w:sz w:val="24"/>
                <w:szCs w:val="24"/>
              </w:rPr>
              <w:t xml:space="preserve"> фінансове забезпечення виконання умов договору про надання ДП у майбутньому, про що </w:t>
            </w:r>
            <w:r w:rsidRPr="006A5182">
              <w:rPr>
                <w:rFonts w:ascii="Times New Roman" w:eastAsia="Times New Roman" w:hAnsi="Times New Roman" w:cs="Times New Roman"/>
                <w:b/>
                <w:sz w:val="24"/>
                <w:szCs w:val="24"/>
              </w:rPr>
              <w:t>п</w:t>
            </w:r>
            <w:bookmarkStart w:id="4" w:name="_GoBack"/>
            <w:bookmarkEnd w:id="4"/>
            <w:r w:rsidRPr="006A5182">
              <w:rPr>
                <w:rFonts w:ascii="Times New Roman" w:eastAsia="Times New Roman" w:hAnsi="Times New Roman" w:cs="Times New Roman"/>
                <w:b/>
                <w:sz w:val="24"/>
                <w:szCs w:val="24"/>
              </w:rPr>
              <w:t>овідомляє ПДП або ППДП.</w:t>
            </w:r>
          </w:p>
          <w:p w:rsidR="005A788D" w:rsidRPr="005A788D" w:rsidRDefault="006A5182" w:rsidP="005A788D">
            <w:pPr>
              <w:shd w:val="clear" w:color="auto" w:fill="FFFFFF"/>
              <w:ind w:firstLine="450"/>
              <w:jc w:val="both"/>
              <w:rPr>
                <w:rFonts w:ascii="Times New Roman" w:eastAsia="Times New Roman" w:hAnsi="Times New Roman" w:cs="Times New Roman"/>
                <w:b/>
                <w:sz w:val="24"/>
                <w:szCs w:val="24"/>
              </w:rPr>
            </w:pPr>
            <w:r w:rsidRPr="006A5182">
              <w:rPr>
                <w:rFonts w:ascii="Times New Roman" w:eastAsia="Times New Roman" w:hAnsi="Times New Roman" w:cs="Times New Roman"/>
                <w:sz w:val="24"/>
                <w:szCs w:val="24"/>
              </w:rPr>
              <w:t xml:space="preserve">У разі виконання вимог, визначених цим пунктом </w:t>
            </w:r>
            <w:r w:rsidR="005A788D" w:rsidRPr="005A788D">
              <w:rPr>
                <w:rFonts w:ascii="Times New Roman" w:eastAsia="Times New Roman" w:hAnsi="Times New Roman" w:cs="Times New Roman"/>
                <w:b/>
                <w:sz w:val="24"/>
                <w:szCs w:val="24"/>
              </w:rPr>
              <w:t>та договором про надання ДП, ОСП повертає фінансове забезпечення виконання умов договору на ДП у майбутньому протягом п’яти робочих днів з дати отримання запиту від ПДП або ППДП, але не раніше десятого календарного дня з дати початку періоду надання ДП.</w:t>
            </w:r>
          </w:p>
          <w:p w:rsidR="006A5182" w:rsidRPr="006A5182" w:rsidRDefault="005A788D" w:rsidP="005A788D">
            <w:pPr>
              <w:ind w:firstLine="312"/>
              <w:jc w:val="both"/>
              <w:rPr>
                <w:rFonts w:ascii="Times New Roman" w:eastAsia="Times New Roman" w:hAnsi="Times New Roman" w:cs="Times New Roman"/>
                <w:b/>
              </w:rPr>
            </w:pPr>
            <w:r w:rsidRPr="005A788D">
              <w:rPr>
                <w:rFonts w:ascii="Times New Roman" w:eastAsia="Times New Roman" w:hAnsi="Times New Roman" w:cs="Times New Roman"/>
                <w:b/>
                <w:sz w:val="24"/>
                <w:szCs w:val="24"/>
              </w:rPr>
              <w:t>Для повернення фінансового забезпечення ПДП або ППДП звертається до ОСП із відповідним запитом, у якому зазначаються реквізити банківського рахунку та сума коштів для такого повернення</w:t>
            </w:r>
            <w:r w:rsidR="006A5182" w:rsidRPr="006A5182">
              <w:rPr>
                <w:rFonts w:ascii="Times New Roman" w:eastAsia="Times New Roman" w:hAnsi="Times New Roman" w:cs="Times New Roman"/>
                <w:b/>
                <w:sz w:val="24"/>
                <w:szCs w:val="24"/>
              </w:rPr>
              <w:t xml:space="preserve">. </w:t>
            </w:r>
          </w:p>
        </w:tc>
      </w:tr>
      <w:tr w:rsidR="006A5182" w:rsidTr="006A5182">
        <w:trPr>
          <w:trHeight w:val="253"/>
        </w:trPr>
        <w:tc>
          <w:tcPr>
            <w:tcW w:w="7797" w:type="dxa"/>
            <w:shd w:val="clear" w:color="auto" w:fill="auto"/>
          </w:tcPr>
          <w:p w:rsidR="006A5182" w:rsidRPr="009C27A3" w:rsidRDefault="006A5182" w:rsidP="006A5182">
            <w:pPr>
              <w:tabs>
                <w:tab w:val="left" w:pos="5812"/>
              </w:tabs>
              <w:ind w:firstLine="452"/>
              <w:jc w:val="both"/>
              <w:rPr>
                <w:rFonts w:ascii="Times New Roman" w:eastAsia="Times New Roman" w:hAnsi="Times New Roman" w:cs="Times New Roman"/>
                <w:sz w:val="24"/>
                <w:szCs w:val="24"/>
              </w:rPr>
            </w:pPr>
            <w:r w:rsidRPr="009C27A3">
              <w:rPr>
                <w:rFonts w:ascii="Times New Roman" w:eastAsia="Times New Roman" w:hAnsi="Times New Roman" w:cs="Times New Roman"/>
                <w:sz w:val="24"/>
                <w:szCs w:val="24"/>
              </w:rPr>
              <w:t>Положення відсутнє</w:t>
            </w:r>
          </w:p>
        </w:tc>
        <w:tc>
          <w:tcPr>
            <w:tcW w:w="7831" w:type="dxa"/>
            <w:shd w:val="clear" w:color="auto" w:fill="auto"/>
          </w:tcPr>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3.18.16. ПДП або ППДП має право на відстрочення дати початку надання ДП потенційною одиницею надання ДП, встановленої відповідно до результатів проведених спеціальних аукціонів на ДП, на строк, що не перевищує три календарних місяця.</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 xml:space="preserve">Для відстрочення дати початку надання ДП потенційною одиницею надання ДП, ПДП або ППДП має: </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збільшити наявне фінансове забезпечення виконання умов договору про надання ДП у майбутньому щодо відповідної потенційної одиниці надання ДП на 20 %;</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lastRenderedPageBreak/>
              <w:t>направити ОСП заяву щодо відстрочення дати початку надання ДП потенційною одиницею ДП, із зазначенням у заяві нової (відстроченої) дати початку надання ДП потенційною одиницею надання ДП, причин відстрочення надання ДП та наданням згоди на стягнення фінансового забезпечення виконання умов договору про надання ДП у майбутньому щодо відповідної потенційної одиниці надання ДП;</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укласти з ОСП додаткову угоду до Договору про надання ДП у майбутньому, згідно з якою дата початку надання ДП переноситься на строк, передбачений заявою щодо відстрочення дати початку надання ДП потенційною одиницею ДП.</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 xml:space="preserve">Форма додаткової угоди до договору про надання ДП у майбутньому оприлюднюється ОСП на власному офіційному </w:t>
            </w:r>
            <w:proofErr w:type="spellStart"/>
            <w:r w:rsidRPr="005A788D">
              <w:rPr>
                <w:rFonts w:ascii="Times New Roman" w:eastAsia="Times New Roman" w:hAnsi="Times New Roman" w:cs="Times New Roman"/>
                <w:b/>
                <w:sz w:val="24"/>
                <w:szCs w:val="24"/>
              </w:rPr>
              <w:t>вебсайті</w:t>
            </w:r>
            <w:proofErr w:type="spellEnd"/>
            <w:r w:rsidRPr="005A788D">
              <w:rPr>
                <w:rFonts w:ascii="Times New Roman" w:eastAsia="Times New Roman" w:hAnsi="Times New Roman" w:cs="Times New Roman"/>
                <w:b/>
                <w:sz w:val="24"/>
                <w:szCs w:val="24"/>
              </w:rPr>
              <w:t xml:space="preserve">. </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 xml:space="preserve">Для укладення додаткової угоди ПДП або ППДП направляє до ОСП заяву щодо відстрочення дати початку надання ДП потенційною одиницею ДП та два примірники додаткової угоди до договору про надання ДП у майбутньому, підписані зі своєї сторони. </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ОСП протягом п’яти календарних днів,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 xml:space="preserve">Дата початку надання ДП для цієї потенційної одиниці надання ДП переноситься на визначений додатковою угодою строк, зі </w:t>
            </w:r>
            <w:r w:rsidRPr="005A788D">
              <w:rPr>
                <w:rFonts w:ascii="Times New Roman" w:eastAsia="Times New Roman" w:hAnsi="Times New Roman" w:cs="Times New Roman"/>
                <w:b/>
                <w:sz w:val="24"/>
                <w:szCs w:val="24"/>
              </w:rPr>
              <w:lastRenderedPageBreak/>
              <w:t>збереженням вимоги щодо набуття статусу ПДП щодо потенційної одиниці надання ДП, згідно з пунктом 3.18.15 цієї глави.</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Після укладення додаткової угоди між ОСП та ПДП або ППДП щодо відстрочення дати початку надання ДП потенційною одиницею ДП ОСП стягує на свій поточний рахунок фінансове забезпечення виконання умов договору про надання ДП у майбутньому, в обсязі 25 % від наявного станом на дату укладення додаткової угоди фінансового забезпечення, кожного другого робочого дня календарного місяця до настання відстроченої дати початку надання ДП потенційною одиницею надання ДП.</w:t>
            </w:r>
          </w:p>
          <w:p w:rsidR="005A788D" w:rsidRPr="005A788D"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У випадку несвоєчасного виконання ПДП або ППДП вимог, передбачених пунктом 3.18.15 цієї глави, з урахуванням відстроченої дати початку надання ДП, 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ПДП або ППДП.</w:t>
            </w:r>
          </w:p>
          <w:p w:rsidR="006A5182" w:rsidRPr="006A5182" w:rsidRDefault="005A788D" w:rsidP="005A788D">
            <w:pPr>
              <w:shd w:val="clear" w:color="auto" w:fill="FFFFFF"/>
              <w:ind w:firstLine="450"/>
              <w:jc w:val="both"/>
              <w:rPr>
                <w:rFonts w:ascii="Times New Roman" w:eastAsia="Times New Roman" w:hAnsi="Times New Roman" w:cs="Times New Roman"/>
                <w:b/>
                <w:sz w:val="24"/>
                <w:szCs w:val="24"/>
              </w:rPr>
            </w:pPr>
            <w:r w:rsidRPr="005A788D">
              <w:rPr>
                <w:rFonts w:ascii="Times New Roman" w:eastAsia="Times New Roman" w:hAnsi="Times New Roman" w:cs="Times New Roman"/>
                <w:b/>
                <w:sz w:val="24"/>
                <w:szCs w:val="24"/>
              </w:rPr>
              <w:t>На період відстрочення дати початку надання ДП потенційною одиницею надання ДП ОСП може пропонувати на інших аукціонах на ДП (крім спеціальних аукціонів на ДП) обсяги відповідного виду резерву на ДП, надання якого відстрочено відповідно до додаткової угоди з ПДП або ППДП</w:t>
            </w:r>
            <w:r w:rsidR="006A5182" w:rsidRPr="006A5182">
              <w:rPr>
                <w:rFonts w:ascii="Times New Roman" w:eastAsia="Times New Roman" w:hAnsi="Times New Roman" w:cs="Times New Roman"/>
                <w:b/>
                <w:sz w:val="24"/>
                <w:szCs w:val="24"/>
              </w:rPr>
              <w:t>.</w:t>
            </w:r>
          </w:p>
        </w:tc>
      </w:tr>
    </w:tbl>
    <w:p w:rsidR="001363A7" w:rsidRDefault="001363A7" w:rsidP="006A5182">
      <w:pPr>
        <w:spacing w:after="0" w:line="240" w:lineRule="auto"/>
        <w:rPr>
          <w:rFonts w:ascii="Times New Roman" w:eastAsia="Times New Roman" w:hAnsi="Times New Roman" w:cs="Times New Roman"/>
          <w:sz w:val="24"/>
          <w:szCs w:val="24"/>
        </w:rPr>
      </w:pPr>
    </w:p>
    <w:sectPr w:rsidR="001363A7" w:rsidSect="006A5182">
      <w:headerReference w:type="default" r:id="rId7"/>
      <w:footerReference w:type="default" r:id="rId8"/>
      <w:pgSz w:w="16838" w:h="11906" w:orient="landscape"/>
      <w:pgMar w:top="1644" w:right="851" w:bottom="709" w:left="851" w:header="567"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8C1" w:rsidRDefault="00F078C1">
      <w:pPr>
        <w:spacing w:after="0" w:line="240" w:lineRule="auto"/>
      </w:pPr>
      <w:r>
        <w:separator/>
      </w:r>
    </w:p>
  </w:endnote>
  <w:endnote w:type="continuationSeparator" w:id="0">
    <w:p w:rsidR="00F078C1" w:rsidRDefault="00F07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3A7" w:rsidRDefault="001363A7">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rPr>
    </w:pPr>
  </w:p>
  <w:p w:rsidR="001363A7" w:rsidRDefault="001363A7">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8C1" w:rsidRDefault="00F078C1">
      <w:pPr>
        <w:spacing w:after="0" w:line="240" w:lineRule="auto"/>
      </w:pPr>
      <w:r>
        <w:separator/>
      </w:r>
    </w:p>
  </w:footnote>
  <w:footnote w:type="continuationSeparator" w:id="0">
    <w:p w:rsidR="00F078C1" w:rsidRDefault="00F07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036961"/>
      <w:docPartObj>
        <w:docPartGallery w:val="Page Numbers (Top of Page)"/>
        <w:docPartUnique/>
      </w:docPartObj>
    </w:sdtPr>
    <w:sdtEndPr/>
    <w:sdtContent>
      <w:p w:rsidR="006A5182" w:rsidRDefault="006A5182">
        <w:pPr>
          <w:pStyle w:val="af0"/>
          <w:jc w:val="center"/>
        </w:pPr>
        <w:r>
          <w:fldChar w:fldCharType="begin"/>
        </w:r>
        <w:r>
          <w:instrText>PAGE   \* MERGEFORMAT</w:instrText>
        </w:r>
        <w:r>
          <w:fldChar w:fldCharType="separate"/>
        </w:r>
        <w:r>
          <w:t>2</w:t>
        </w:r>
        <w:r>
          <w:fldChar w:fldCharType="end"/>
        </w:r>
      </w:p>
    </w:sdtContent>
  </w:sdt>
  <w:p w:rsidR="006A5182" w:rsidRDefault="006A5182">
    <w:pPr>
      <w:pStyle w:val="af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3A7"/>
    <w:rsid w:val="000A1861"/>
    <w:rsid w:val="001363A7"/>
    <w:rsid w:val="00175E23"/>
    <w:rsid w:val="00235382"/>
    <w:rsid w:val="00316256"/>
    <w:rsid w:val="00342C65"/>
    <w:rsid w:val="005A0D3D"/>
    <w:rsid w:val="005A788D"/>
    <w:rsid w:val="006073FD"/>
    <w:rsid w:val="006A5182"/>
    <w:rsid w:val="00995BD0"/>
    <w:rsid w:val="009A1656"/>
    <w:rsid w:val="009C27A3"/>
    <w:rsid w:val="00B717F2"/>
    <w:rsid w:val="00E05D3B"/>
    <w:rsid w:val="00F078C1"/>
    <w:rsid w:val="00F33133"/>
    <w:rsid w:val="00FB4D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48C12"/>
  <w15:docId w15:val="{376F6FC2-EB42-4482-AA43-234079A2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7AA2"/>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color w:val="2F5496"/>
      <w:sz w:val="26"/>
      <w:szCs w:val="26"/>
    </w:rPr>
  </w:style>
  <w:style w:type="paragraph" w:styleId="3">
    <w:name w:val="heading 3"/>
    <w:basedOn w:val="a"/>
    <w:next w:val="a"/>
    <w:uiPriority w:val="9"/>
    <w:semiHidden/>
    <w:unhideWhenUsed/>
    <w:qFormat/>
    <w:pPr>
      <w:keepNext/>
      <w:keepLines/>
      <w:spacing w:before="40" w:after="0"/>
      <w:outlineLvl w:val="2"/>
    </w:pPr>
    <w:rPr>
      <w:color w:val="1F3863"/>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6">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7">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8">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9">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a">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b">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c">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d">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e">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
    <w:basedOn w:val="TableNormal0"/>
    <w:pPr>
      <w:spacing w:after="0" w:line="240" w:lineRule="auto"/>
    </w:pPr>
    <w:tblPr>
      <w:tblStyleRowBandSize w:val="1"/>
      <w:tblStyleColBandSize w:val="1"/>
      <w:tblCellMar>
        <w:top w:w="12" w:type="dxa"/>
        <w:left w:w="115" w:type="dxa"/>
        <w:bottom w:w="12" w:type="dxa"/>
        <w:right w:w="115" w:type="dxa"/>
      </w:tblCellMar>
    </w:tblPr>
  </w:style>
  <w:style w:type="paragraph" w:customStyle="1" w:styleId="rvps2">
    <w:name w:val="rvps2"/>
    <w:basedOn w:val="a"/>
    <w:rsid w:val="00C87E79"/>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header"/>
    <w:basedOn w:val="a"/>
    <w:link w:val="af1"/>
    <w:uiPriority w:val="99"/>
    <w:unhideWhenUsed/>
    <w:rsid w:val="00E25A18"/>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E25A18"/>
  </w:style>
  <w:style w:type="paragraph" w:styleId="af2">
    <w:name w:val="footer"/>
    <w:basedOn w:val="a"/>
    <w:link w:val="af3"/>
    <w:uiPriority w:val="99"/>
    <w:unhideWhenUsed/>
    <w:rsid w:val="00E25A18"/>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E25A18"/>
  </w:style>
  <w:style w:type="paragraph" w:styleId="af4">
    <w:name w:val="Balloon Text"/>
    <w:basedOn w:val="a"/>
    <w:link w:val="af5"/>
    <w:uiPriority w:val="99"/>
    <w:semiHidden/>
    <w:unhideWhenUsed/>
    <w:rsid w:val="00B74137"/>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B74137"/>
    <w:rPr>
      <w:rFonts w:ascii="Segoe UI" w:hAnsi="Segoe UI" w:cs="Segoe UI"/>
      <w:sz w:val="18"/>
      <w:szCs w:val="18"/>
    </w:rPr>
  </w:style>
  <w:style w:type="character" w:styleId="af6">
    <w:name w:val="annotation reference"/>
    <w:basedOn w:val="a0"/>
    <w:uiPriority w:val="99"/>
    <w:semiHidden/>
    <w:unhideWhenUsed/>
    <w:rsid w:val="008C4319"/>
    <w:rPr>
      <w:sz w:val="16"/>
      <w:szCs w:val="16"/>
    </w:rPr>
  </w:style>
  <w:style w:type="paragraph" w:styleId="af7">
    <w:name w:val="annotation text"/>
    <w:basedOn w:val="a"/>
    <w:link w:val="af8"/>
    <w:uiPriority w:val="99"/>
    <w:semiHidden/>
    <w:unhideWhenUsed/>
    <w:rsid w:val="008C4319"/>
    <w:pPr>
      <w:spacing w:line="240" w:lineRule="auto"/>
    </w:pPr>
    <w:rPr>
      <w:sz w:val="20"/>
      <w:szCs w:val="20"/>
    </w:rPr>
  </w:style>
  <w:style w:type="character" w:customStyle="1" w:styleId="af8">
    <w:name w:val="Текст примітки Знак"/>
    <w:basedOn w:val="a0"/>
    <w:link w:val="af7"/>
    <w:uiPriority w:val="99"/>
    <w:semiHidden/>
    <w:rsid w:val="008C4319"/>
    <w:rPr>
      <w:sz w:val="20"/>
      <w:szCs w:val="20"/>
    </w:rPr>
  </w:style>
  <w:style w:type="paragraph" w:styleId="af9">
    <w:name w:val="annotation subject"/>
    <w:basedOn w:val="af7"/>
    <w:next w:val="af7"/>
    <w:link w:val="afa"/>
    <w:uiPriority w:val="99"/>
    <w:semiHidden/>
    <w:unhideWhenUsed/>
    <w:rsid w:val="008C4319"/>
    <w:rPr>
      <w:b/>
      <w:bCs/>
    </w:rPr>
  </w:style>
  <w:style w:type="character" w:customStyle="1" w:styleId="afa">
    <w:name w:val="Тема примітки Знак"/>
    <w:basedOn w:val="af8"/>
    <w:link w:val="af9"/>
    <w:uiPriority w:val="99"/>
    <w:semiHidden/>
    <w:rsid w:val="008C4319"/>
    <w:rPr>
      <w:b/>
      <w:bCs/>
      <w:sz w:val="20"/>
      <w:szCs w:val="20"/>
    </w:rPr>
  </w:style>
  <w:style w:type="table" w:styleId="afb">
    <w:name w:val="Table Grid"/>
    <w:basedOn w:val="a1"/>
    <w:uiPriority w:val="39"/>
    <w:rsid w:val="00C6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c">
    <w:basedOn w:val="TableNormal0"/>
    <w:pPr>
      <w:spacing w:after="0" w:line="240" w:lineRule="auto"/>
    </w:pPr>
    <w:tblPr>
      <w:tblStyleRowBandSize w:val="1"/>
      <w:tblStyleColBandSize w:val="1"/>
      <w:tblCellMar>
        <w:top w:w="12" w:type="dxa"/>
        <w:left w:w="115" w:type="dxa"/>
        <w:bottom w:w="1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gKzbmzH7xoMwYm+LQoqKnyfdlA==">CgMxLjAyD2lkLmxpcXVoc2UzbnE0bjIPaWQueWlwaHQ4amJhZnlhMg9pZC5sdHhiOXUydTIxYTEyD2lkLjhkZjUza3A4cDJxbzIOaC51dXVzM2U0andnM3kyDmguMzZuMXkxODZocWdkMg5oLnpjeHJ2NzlnYWNscDgAciExcXREM2xSSGc0VXM2M0hOMkpjMF8tVDYteGVNaVluTmU=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843</Words>
  <Characters>4811</Characters>
  <Application>Microsoft Office Word</Application>
  <DocSecurity>0</DocSecurity>
  <Lines>40</Lines>
  <Paragraphs>11</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Ігор Буратинський</dc:creator>
  <cp:lastModifiedBy>Любов Плахута</cp:lastModifiedBy>
  <cp:revision>8</cp:revision>
  <dcterms:created xsi:type="dcterms:W3CDTF">2025-04-29T07:36:00Z</dcterms:created>
  <dcterms:modified xsi:type="dcterms:W3CDTF">2025-05-22T13:14:00Z</dcterms:modified>
</cp:coreProperties>
</file>