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733" w:rsidRPr="00651365" w:rsidRDefault="00690733" w:rsidP="00D10E75">
      <w:pPr>
        <w:ind w:right="-30"/>
        <w:jc w:val="center"/>
        <w:rPr>
          <w:rFonts w:ascii="Times New Roman" w:hAnsi="Times New Roman" w:cs="Times New Roman"/>
          <w:b/>
          <w:sz w:val="28"/>
          <w:szCs w:val="28"/>
        </w:rPr>
      </w:pPr>
      <w:r w:rsidRPr="00651365">
        <w:rPr>
          <w:rFonts w:ascii="Times New Roman" w:hAnsi="Times New Roman" w:cs="Times New Roman"/>
          <w:b/>
          <w:sz w:val="28"/>
          <w:szCs w:val="28"/>
        </w:rPr>
        <w:t>Порівняльна таблиця до проєкту постанови НКРЕКП «</w:t>
      </w:r>
      <w:r w:rsidR="00D012B4" w:rsidRPr="00651365">
        <w:rPr>
          <w:rFonts w:ascii="Times New Roman" w:hAnsi="Times New Roman" w:cs="Times New Roman"/>
          <w:b/>
          <w:sz w:val="28"/>
          <w:szCs w:val="28"/>
        </w:rPr>
        <w:t xml:space="preserve">Про </w:t>
      </w:r>
      <w:r w:rsidR="00281235" w:rsidRPr="00651365">
        <w:rPr>
          <w:rFonts w:ascii="Times New Roman" w:hAnsi="Times New Roman" w:cs="Times New Roman"/>
          <w:b/>
          <w:sz w:val="28"/>
          <w:szCs w:val="28"/>
        </w:rPr>
        <w:t>затвердження Змін</w:t>
      </w:r>
      <w:r w:rsidR="00D012B4" w:rsidRPr="00651365">
        <w:rPr>
          <w:rFonts w:ascii="Times New Roman" w:hAnsi="Times New Roman" w:cs="Times New Roman"/>
          <w:b/>
          <w:sz w:val="28"/>
          <w:szCs w:val="28"/>
        </w:rPr>
        <w:t xml:space="preserve"> до </w:t>
      </w:r>
      <w:r w:rsidR="00D10E75" w:rsidRPr="00651365">
        <w:rPr>
          <w:rFonts w:ascii="Times New Roman" w:hAnsi="Times New Roman" w:cs="Times New Roman"/>
          <w:b/>
          <w:sz w:val="28"/>
          <w:szCs w:val="28"/>
        </w:rPr>
        <w:t>М</w:t>
      </w:r>
      <w:r w:rsidR="00281235" w:rsidRPr="00651365">
        <w:rPr>
          <w:rFonts w:ascii="Times New Roman" w:hAnsi="Times New Roman" w:cs="Times New Roman"/>
          <w:b/>
          <w:sz w:val="28"/>
          <w:szCs w:val="28"/>
        </w:rPr>
        <w:t>етодики</w:t>
      </w:r>
      <w:r w:rsidR="00D10E75" w:rsidRPr="00651365">
        <w:rPr>
          <w:rFonts w:ascii="Times New Roman" w:hAnsi="Times New Roman" w:cs="Times New Roman"/>
          <w:b/>
          <w:sz w:val="28"/>
          <w:szCs w:val="28"/>
        </w:rPr>
        <w:t xml:space="preserve"> (</w:t>
      </w:r>
      <w:r w:rsidR="00281235" w:rsidRPr="00651365">
        <w:rPr>
          <w:rFonts w:ascii="Times New Roman" w:hAnsi="Times New Roman" w:cs="Times New Roman"/>
          <w:b/>
          <w:sz w:val="28"/>
          <w:szCs w:val="28"/>
        </w:rPr>
        <w:t>порядку</w:t>
      </w:r>
      <w:r w:rsidR="00D10E75" w:rsidRPr="00651365">
        <w:rPr>
          <w:rFonts w:ascii="Times New Roman" w:hAnsi="Times New Roman" w:cs="Times New Roman"/>
          <w:b/>
          <w:sz w:val="28"/>
          <w:szCs w:val="28"/>
        </w:rPr>
        <w:t>)</w:t>
      </w:r>
      <w:r w:rsidR="00281235" w:rsidRPr="00651365">
        <w:rPr>
          <w:rFonts w:ascii="Times New Roman" w:hAnsi="Times New Roman" w:cs="Times New Roman"/>
          <w:b/>
          <w:sz w:val="28"/>
          <w:szCs w:val="28"/>
        </w:rPr>
        <w:t xml:space="preserve"> </w:t>
      </w:r>
      <w:r w:rsidR="00D10E75" w:rsidRPr="00651365">
        <w:rPr>
          <w:rFonts w:ascii="Times New Roman" w:hAnsi="Times New Roman" w:cs="Times New Roman"/>
          <w:b/>
          <w:sz w:val="28"/>
          <w:szCs w:val="28"/>
        </w:rPr>
        <w:t>формування плати за приєднання до системи передачі та системи розподілу</w:t>
      </w:r>
      <w:r w:rsidRPr="00651365">
        <w:rPr>
          <w:rFonts w:ascii="Times New Roman" w:hAnsi="Times New Roman" w:cs="Times New Roman"/>
          <w:b/>
          <w:sz w:val="28"/>
          <w:szCs w:val="28"/>
        </w:rPr>
        <w:t>»</w:t>
      </w:r>
    </w:p>
    <w:tbl>
      <w:tblPr>
        <w:tblStyle w:val="a3"/>
        <w:tblW w:w="15877" w:type="dxa"/>
        <w:tblInd w:w="-289" w:type="dxa"/>
        <w:tblLook w:val="04A0" w:firstRow="1" w:lastRow="0" w:firstColumn="1" w:lastColumn="0" w:noHBand="0" w:noVBand="1"/>
      </w:tblPr>
      <w:tblGrid>
        <w:gridCol w:w="7938"/>
        <w:gridCol w:w="7939"/>
      </w:tblGrid>
      <w:tr w:rsidR="00651365" w:rsidRPr="00651365" w:rsidTr="0018178C">
        <w:tc>
          <w:tcPr>
            <w:tcW w:w="7938" w:type="dxa"/>
          </w:tcPr>
          <w:p w:rsidR="00690733" w:rsidRPr="00651365" w:rsidRDefault="00690733" w:rsidP="002C2E91">
            <w:pPr>
              <w:pStyle w:val="3"/>
              <w:ind w:firstLine="606"/>
              <w:jc w:val="center"/>
              <w:outlineLvl w:val="2"/>
              <w:rPr>
                <w:rFonts w:eastAsia="Times New Roman"/>
                <w:b w:val="0"/>
                <w:sz w:val="28"/>
              </w:rPr>
            </w:pPr>
            <w:r w:rsidRPr="00651365">
              <w:rPr>
                <w:rFonts w:eastAsia="Times New Roman"/>
                <w:b w:val="0"/>
                <w:sz w:val="28"/>
              </w:rPr>
              <w:t>Положення діючої редакції</w:t>
            </w:r>
          </w:p>
        </w:tc>
        <w:tc>
          <w:tcPr>
            <w:tcW w:w="7939" w:type="dxa"/>
          </w:tcPr>
          <w:p w:rsidR="00690733" w:rsidRPr="00651365" w:rsidRDefault="00690733" w:rsidP="00ED5210">
            <w:pPr>
              <w:pStyle w:val="3"/>
              <w:jc w:val="center"/>
              <w:outlineLvl w:val="2"/>
              <w:rPr>
                <w:rFonts w:eastAsia="Times New Roman"/>
                <w:b w:val="0"/>
                <w:sz w:val="28"/>
              </w:rPr>
            </w:pPr>
            <w:r w:rsidRPr="00651365">
              <w:rPr>
                <w:rFonts w:eastAsia="Times New Roman"/>
                <w:b w:val="0"/>
                <w:sz w:val="28"/>
              </w:rPr>
              <w:t>Зміст положень проєкту постанови</w:t>
            </w:r>
          </w:p>
        </w:tc>
      </w:tr>
      <w:tr w:rsidR="00651365" w:rsidRPr="00651365" w:rsidTr="00D426BB">
        <w:tc>
          <w:tcPr>
            <w:tcW w:w="15877" w:type="dxa"/>
            <w:gridSpan w:val="2"/>
          </w:tcPr>
          <w:p w:rsidR="00690733" w:rsidRPr="00651365" w:rsidRDefault="00690733" w:rsidP="002C2E91">
            <w:pPr>
              <w:pStyle w:val="3"/>
              <w:ind w:firstLine="606"/>
              <w:jc w:val="center"/>
              <w:outlineLvl w:val="2"/>
              <w:rPr>
                <w:rFonts w:eastAsia="Times New Roman"/>
                <w:sz w:val="28"/>
              </w:rPr>
            </w:pPr>
            <w:r w:rsidRPr="00651365">
              <w:rPr>
                <w:sz w:val="28"/>
                <w:szCs w:val="28"/>
              </w:rPr>
              <w:t>Методика (порядок) формування плати за приєднання до системи передачі та системи розподілу</w:t>
            </w:r>
          </w:p>
        </w:tc>
      </w:tr>
      <w:tr w:rsidR="00651365" w:rsidRPr="00651365" w:rsidTr="00D426BB">
        <w:trPr>
          <w:trHeight w:val="393"/>
        </w:trPr>
        <w:tc>
          <w:tcPr>
            <w:tcW w:w="15877" w:type="dxa"/>
            <w:gridSpan w:val="2"/>
          </w:tcPr>
          <w:p w:rsidR="00A11C96" w:rsidRPr="00651365" w:rsidRDefault="00840040" w:rsidP="002C2E91">
            <w:pPr>
              <w:pStyle w:val="3"/>
              <w:spacing w:before="0" w:beforeAutospacing="0" w:after="0" w:afterAutospacing="0"/>
              <w:ind w:firstLine="606"/>
              <w:jc w:val="center"/>
              <w:outlineLvl w:val="2"/>
              <w:rPr>
                <w:sz w:val="24"/>
                <w:szCs w:val="20"/>
              </w:rPr>
            </w:pPr>
            <w:r w:rsidRPr="00651365">
              <w:rPr>
                <w:sz w:val="24"/>
                <w:szCs w:val="20"/>
              </w:rPr>
              <w:t>1. Загальні положення</w:t>
            </w:r>
          </w:p>
        </w:tc>
      </w:tr>
      <w:tr w:rsidR="00651365" w:rsidRPr="00651365" w:rsidTr="0018178C">
        <w:trPr>
          <w:trHeight w:val="708"/>
        </w:trPr>
        <w:tc>
          <w:tcPr>
            <w:tcW w:w="7938" w:type="dxa"/>
          </w:tcPr>
          <w:p w:rsidR="002C2E91" w:rsidRPr="00651365" w:rsidRDefault="002C2E91" w:rsidP="002C2E91">
            <w:pPr>
              <w:shd w:val="clear" w:color="auto" w:fill="FFFFFF"/>
              <w:ind w:firstLine="606"/>
              <w:jc w:val="both"/>
              <w:rPr>
                <w:rFonts w:ascii="Times New Roman" w:eastAsia="Times New Roman" w:hAnsi="Times New Roman" w:cs="Times New Roman"/>
                <w:sz w:val="24"/>
                <w:szCs w:val="24"/>
              </w:rPr>
            </w:pPr>
            <w:r w:rsidRPr="00651365">
              <w:rPr>
                <w:rFonts w:ascii="Times New Roman" w:eastAsia="Times New Roman" w:hAnsi="Times New Roman" w:cs="Times New Roman"/>
                <w:sz w:val="24"/>
                <w:szCs w:val="24"/>
              </w:rPr>
              <w:t>1.5. Плата за приєднання може бути одним із джерел фінансування, передбачених інвестиційною програмою оператора системи передачі або оператора системи розподілу, заходів з розвитку електричних мереж.</w:t>
            </w:r>
          </w:p>
          <w:p w:rsidR="002C2E91" w:rsidRPr="00651365" w:rsidRDefault="002C2E91" w:rsidP="002C2E91">
            <w:pPr>
              <w:shd w:val="clear" w:color="auto" w:fill="FFFFFF"/>
              <w:ind w:firstLine="606"/>
              <w:jc w:val="both"/>
              <w:rPr>
                <w:rFonts w:ascii="Times New Roman" w:eastAsia="Times New Roman" w:hAnsi="Times New Roman" w:cs="Times New Roman"/>
                <w:sz w:val="24"/>
                <w:szCs w:val="24"/>
              </w:rPr>
            </w:pPr>
            <w:r w:rsidRPr="00651365">
              <w:rPr>
                <w:rFonts w:ascii="Times New Roman" w:eastAsia="Times New Roman" w:hAnsi="Times New Roman" w:cs="Times New Roman"/>
                <w:sz w:val="24"/>
                <w:szCs w:val="24"/>
              </w:rPr>
              <w:t>Розвиток електричних мереж оператора системи передачі або оператора системи розподілу, що пов'язаний з наданням послуг з приєднання, має узгоджуватись з планами комплексної забудови відповідної території.</w:t>
            </w:r>
          </w:p>
          <w:p w:rsidR="00D10E75" w:rsidRPr="00651365" w:rsidRDefault="002C2E91" w:rsidP="002C2E91">
            <w:pPr>
              <w:shd w:val="clear" w:color="auto" w:fill="FFFFFF"/>
              <w:ind w:firstLine="606"/>
              <w:jc w:val="both"/>
              <w:rPr>
                <w:rFonts w:ascii="Times New Roman" w:eastAsia="Times New Roman" w:hAnsi="Times New Roman" w:cs="Times New Roman"/>
                <w:sz w:val="24"/>
                <w:szCs w:val="24"/>
              </w:rPr>
            </w:pPr>
            <w:r w:rsidRPr="00651365">
              <w:rPr>
                <w:rFonts w:ascii="Times New Roman" w:eastAsia="Times New Roman" w:hAnsi="Times New Roman" w:cs="Times New Roman"/>
                <w:sz w:val="24"/>
                <w:szCs w:val="24"/>
              </w:rPr>
              <w:t>Закупівля робіт, товарів та послуг, необхідних для надання послуг з приєднання (будівництво, реконструкція та/або технічне переоснащення об'єктів електроенергетики (до точки приєднання електроустановок замовника)), здійснюється оператором системи передачі або оператором системи розподілу на конкурентних засадах в установленому законодавством порядку.</w:t>
            </w:r>
          </w:p>
        </w:tc>
        <w:tc>
          <w:tcPr>
            <w:tcW w:w="7939" w:type="dxa"/>
          </w:tcPr>
          <w:p w:rsidR="0018178C" w:rsidRPr="00651365" w:rsidRDefault="0018178C" w:rsidP="00AF62BB">
            <w:pPr>
              <w:shd w:val="clear" w:color="auto" w:fill="FFFFFF"/>
              <w:ind w:firstLine="606"/>
              <w:jc w:val="both"/>
              <w:rPr>
                <w:rFonts w:ascii="Times New Roman" w:eastAsia="Times New Roman" w:hAnsi="Times New Roman" w:cs="Times New Roman"/>
                <w:sz w:val="24"/>
                <w:szCs w:val="24"/>
              </w:rPr>
            </w:pPr>
            <w:r w:rsidRPr="00651365">
              <w:rPr>
                <w:rFonts w:ascii="Times New Roman" w:eastAsia="Times New Roman" w:hAnsi="Times New Roman" w:cs="Times New Roman"/>
                <w:sz w:val="24"/>
                <w:szCs w:val="24"/>
              </w:rPr>
              <w:t>1.5. Плата за приєднання може бути одним із джерел фінансування, передбачених інвестиційною програмою оператора системи передачі або оператора системи розподілу, заходів з розвитку електричних мереж.</w:t>
            </w:r>
          </w:p>
          <w:p w:rsidR="0018178C" w:rsidRPr="00651365" w:rsidRDefault="0018178C" w:rsidP="00AF62BB">
            <w:pPr>
              <w:shd w:val="clear" w:color="auto" w:fill="FFFFFF"/>
              <w:ind w:firstLine="606"/>
              <w:jc w:val="both"/>
              <w:rPr>
                <w:rFonts w:ascii="Times New Roman" w:eastAsia="Times New Roman" w:hAnsi="Times New Roman" w:cs="Times New Roman"/>
                <w:sz w:val="24"/>
                <w:szCs w:val="24"/>
              </w:rPr>
            </w:pPr>
            <w:r w:rsidRPr="00651365">
              <w:rPr>
                <w:rFonts w:ascii="Times New Roman" w:eastAsia="Times New Roman" w:hAnsi="Times New Roman" w:cs="Times New Roman"/>
                <w:sz w:val="24"/>
                <w:szCs w:val="24"/>
              </w:rPr>
              <w:t>Розвиток електричних мереж оператора системи передачі або оператора системи розподілу, що пов'язаний з наданням послуг з приєднання, має узгоджуватись з планами комплексної забудови відповідної території.</w:t>
            </w:r>
          </w:p>
          <w:p w:rsidR="0018178C" w:rsidRPr="00651365" w:rsidRDefault="0018178C" w:rsidP="00AF62BB">
            <w:pPr>
              <w:shd w:val="clear" w:color="auto" w:fill="FFFFFF"/>
              <w:ind w:firstLine="606"/>
              <w:jc w:val="both"/>
              <w:rPr>
                <w:rFonts w:ascii="Times New Roman" w:eastAsia="Times New Roman" w:hAnsi="Times New Roman" w:cs="Times New Roman"/>
                <w:b/>
                <w:sz w:val="24"/>
                <w:szCs w:val="24"/>
              </w:rPr>
            </w:pPr>
            <w:r w:rsidRPr="00651365">
              <w:rPr>
                <w:rFonts w:ascii="Times New Roman" w:eastAsia="Times New Roman" w:hAnsi="Times New Roman" w:cs="Times New Roman"/>
                <w:b/>
                <w:sz w:val="24"/>
                <w:szCs w:val="24"/>
              </w:rPr>
              <w:t xml:space="preserve">Закупівля товарів, робіт і послуг з </w:t>
            </w:r>
            <w:proofErr w:type="spellStart"/>
            <w:r w:rsidRPr="00651365">
              <w:rPr>
                <w:rFonts w:ascii="Times New Roman" w:eastAsia="Times New Roman" w:hAnsi="Times New Roman" w:cs="Times New Roman"/>
                <w:b/>
                <w:sz w:val="24"/>
                <w:szCs w:val="24"/>
              </w:rPr>
              <w:t>про</w:t>
            </w:r>
            <w:r w:rsidR="00B42F3C">
              <w:rPr>
                <w:rFonts w:ascii="Times New Roman" w:eastAsia="Times New Roman" w:hAnsi="Times New Roman" w:cs="Times New Roman"/>
                <w:b/>
                <w:sz w:val="24"/>
                <w:szCs w:val="24"/>
              </w:rPr>
              <w:t>є</w:t>
            </w:r>
            <w:r w:rsidRPr="00651365">
              <w:rPr>
                <w:rFonts w:ascii="Times New Roman" w:eastAsia="Times New Roman" w:hAnsi="Times New Roman" w:cs="Times New Roman"/>
                <w:b/>
                <w:sz w:val="24"/>
                <w:szCs w:val="24"/>
              </w:rPr>
              <w:t>ктування</w:t>
            </w:r>
            <w:proofErr w:type="spellEnd"/>
            <w:r w:rsidRPr="00651365">
              <w:rPr>
                <w:rFonts w:ascii="Times New Roman" w:eastAsia="Times New Roman" w:hAnsi="Times New Roman" w:cs="Times New Roman"/>
                <w:b/>
                <w:sz w:val="24"/>
                <w:szCs w:val="24"/>
              </w:rPr>
              <w:t xml:space="preserve">,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здійснюється оператором системи розподілу на конкурентних засадах, крім послуг з нестандартного приєднання з </w:t>
            </w:r>
            <w:proofErr w:type="spellStart"/>
            <w:r w:rsidRPr="00651365">
              <w:rPr>
                <w:rFonts w:ascii="Times New Roman" w:eastAsia="Times New Roman" w:hAnsi="Times New Roman" w:cs="Times New Roman"/>
                <w:b/>
                <w:sz w:val="24"/>
                <w:szCs w:val="24"/>
              </w:rPr>
              <w:t>про</w:t>
            </w:r>
            <w:r w:rsidR="00B42F3C">
              <w:rPr>
                <w:rFonts w:ascii="Times New Roman" w:eastAsia="Times New Roman" w:hAnsi="Times New Roman" w:cs="Times New Roman"/>
                <w:b/>
                <w:sz w:val="24"/>
                <w:szCs w:val="24"/>
              </w:rPr>
              <w:t>є</w:t>
            </w:r>
            <w:r w:rsidRPr="00651365">
              <w:rPr>
                <w:rFonts w:ascii="Times New Roman" w:eastAsia="Times New Roman" w:hAnsi="Times New Roman" w:cs="Times New Roman"/>
                <w:b/>
                <w:sz w:val="24"/>
                <w:szCs w:val="24"/>
              </w:rPr>
              <w:t>ктуванням</w:t>
            </w:r>
            <w:proofErr w:type="spellEnd"/>
            <w:r w:rsidRPr="00651365">
              <w:rPr>
                <w:rFonts w:ascii="Times New Roman" w:eastAsia="Times New Roman" w:hAnsi="Times New Roman" w:cs="Times New Roman"/>
                <w:b/>
                <w:sz w:val="24"/>
                <w:szCs w:val="24"/>
              </w:rPr>
              <w:t xml:space="preserve"> замовником лінійної частини якщо:</w:t>
            </w:r>
          </w:p>
          <w:p w:rsidR="0018178C" w:rsidRPr="00651365" w:rsidRDefault="0018178C" w:rsidP="00AF62BB">
            <w:pPr>
              <w:shd w:val="clear" w:color="auto" w:fill="FFFFFF"/>
              <w:ind w:firstLine="606"/>
              <w:jc w:val="both"/>
              <w:rPr>
                <w:rFonts w:ascii="Times New Roman" w:eastAsia="Times New Roman" w:hAnsi="Times New Roman" w:cs="Times New Roman"/>
                <w:b/>
                <w:sz w:val="24"/>
                <w:szCs w:val="24"/>
              </w:rPr>
            </w:pPr>
            <w:r w:rsidRPr="00651365">
              <w:rPr>
                <w:rFonts w:ascii="Times New Roman" w:eastAsia="Times New Roman" w:hAnsi="Times New Roman" w:cs="Times New Roman"/>
                <w:b/>
                <w:sz w:val="24"/>
                <w:szCs w:val="24"/>
              </w:rPr>
              <w:t xml:space="preserve">замовник забезпечує розроблення </w:t>
            </w:r>
            <w:proofErr w:type="spellStart"/>
            <w:r w:rsidRPr="00651365">
              <w:rPr>
                <w:rFonts w:ascii="Times New Roman" w:eastAsia="Times New Roman" w:hAnsi="Times New Roman" w:cs="Times New Roman"/>
                <w:b/>
                <w:sz w:val="24"/>
                <w:szCs w:val="24"/>
              </w:rPr>
              <w:t>про</w:t>
            </w:r>
            <w:r w:rsidR="00B42F3C">
              <w:rPr>
                <w:rFonts w:ascii="Times New Roman" w:eastAsia="Times New Roman" w:hAnsi="Times New Roman" w:cs="Times New Roman"/>
                <w:b/>
                <w:sz w:val="24"/>
                <w:szCs w:val="24"/>
              </w:rPr>
              <w:t>є</w:t>
            </w:r>
            <w:r w:rsidRPr="00651365">
              <w:rPr>
                <w:rFonts w:ascii="Times New Roman" w:eastAsia="Times New Roman" w:hAnsi="Times New Roman" w:cs="Times New Roman"/>
                <w:b/>
                <w:sz w:val="24"/>
                <w:szCs w:val="24"/>
              </w:rPr>
              <w:t>ктної</w:t>
            </w:r>
            <w:proofErr w:type="spellEnd"/>
            <w:r w:rsidRPr="00651365">
              <w:rPr>
                <w:rFonts w:ascii="Times New Roman" w:eastAsia="Times New Roman" w:hAnsi="Times New Roman" w:cs="Times New Roman"/>
                <w:b/>
                <w:sz w:val="24"/>
                <w:szCs w:val="24"/>
              </w:rPr>
              <w:t xml:space="preserve"> документації на будівництво електричних мереж лінійної частини приєднання;</w:t>
            </w:r>
          </w:p>
          <w:p w:rsidR="00D10E75" w:rsidRPr="00651365" w:rsidRDefault="0018178C" w:rsidP="00AF62BB">
            <w:pPr>
              <w:shd w:val="clear" w:color="auto" w:fill="FFFFFF"/>
              <w:ind w:firstLine="606"/>
              <w:jc w:val="both"/>
              <w:rPr>
                <w:rFonts w:ascii="Times New Roman" w:eastAsia="Times New Roman" w:hAnsi="Times New Roman" w:cs="Times New Roman"/>
                <w:b/>
                <w:sz w:val="24"/>
                <w:szCs w:val="24"/>
              </w:rPr>
            </w:pPr>
            <w:r w:rsidRPr="00651365">
              <w:rPr>
                <w:rFonts w:ascii="Times New Roman" w:eastAsia="Times New Roman" w:hAnsi="Times New Roman" w:cs="Times New Roman"/>
                <w:b/>
                <w:sz w:val="24"/>
                <w:szCs w:val="24"/>
              </w:rPr>
              <w:t xml:space="preserve">замовник виявив бажання бути виконавцем робіт з </w:t>
            </w:r>
            <w:proofErr w:type="spellStart"/>
            <w:r w:rsidRPr="00651365">
              <w:rPr>
                <w:rFonts w:ascii="Times New Roman" w:eastAsia="Times New Roman" w:hAnsi="Times New Roman" w:cs="Times New Roman"/>
                <w:b/>
                <w:sz w:val="24"/>
                <w:szCs w:val="24"/>
              </w:rPr>
              <w:t>про</w:t>
            </w:r>
            <w:r w:rsidR="00B42F3C">
              <w:rPr>
                <w:rFonts w:ascii="Times New Roman" w:eastAsia="Times New Roman" w:hAnsi="Times New Roman" w:cs="Times New Roman"/>
                <w:b/>
                <w:sz w:val="24"/>
                <w:szCs w:val="24"/>
              </w:rPr>
              <w:t>є</w:t>
            </w:r>
            <w:r w:rsidRPr="00651365">
              <w:rPr>
                <w:rFonts w:ascii="Times New Roman" w:eastAsia="Times New Roman" w:hAnsi="Times New Roman" w:cs="Times New Roman"/>
                <w:b/>
                <w:sz w:val="24"/>
                <w:szCs w:val="24"/>
              </w:rPr>
              <w:t>ктування</w:t>
            </w:r>
            <w:proofErr w:type="spellEnd"/>
            <w:r w:rsidRPr="00651365">
              <w:rPr>
                <w:rFonts w:ascii="Times New Roman" w:eastAsia="Times New Roman" w:hAnsi="Times New Roman" w:cs="Times New Roman"/>
                <w:b/>
                <w:sz w:val="24"/>
                <w:szCs w:val="24"/>
              </w:rPr>
              <w:t xml:space="preserve"> електричних мереж, будівельно-монтажних та пусконалагоджувальних робіт із створення лінійної частини приєднання та/або робіт із створення потужності.</w:t>
            </w:r>
          </w:p>
          <w:p w:rsidR="0018178C" w:rsidRPr="00651365" w:rsidRDefault="0018178C" w:rsidP="00AF62BB">
            <w:pPr>
              <w:shd w:val="clear" w:color="auto" w:fill="FFFFFF"/>
              <w:ind w:firstLine="606"/>
              <w:jc w:val="both"/>
              <w:rPr>
                <w:rFonts w:ascii="Times New Roman" w:eastAsia="Times New Roman" w:hAnsi="Times New Roman" w:cs="Times New Roman"/>
                <w:sz w:val="24"/>
                <w:szCs w:val="24"/>
              </w:rPr>
            </w:pPr>
            <w:r w:rsidRPr="00651365">
              <w:rPr>
                <w:rFonts w:ascii="Times New Roman" w:eastAsia="Times New Roman" w:hAnsi="Times New Roman" w:cs="Times New Roman"/>
                <w:b/>
                <w:sz w:val="24"/>
                <w:szCs w:val="24"/>
              </w:rPr>
              <w:t>Закупівля товарів, робіт і послуг з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здійснюється оператором системи передачі на конкурентних засадах.</w:t>
            </w:r>
          </w:p>
        </w:tc>
      </w:tr>
      <w:tr w:rsidR="00156F6C" w:rsidRPr="00651365" w:rsidTr="0018178C">
        <w:trPr>
          <w:trHeight w:val="708"/>
        </w:trPr>
        <w:tc>
          <w:tcPr>
            <w:tcW w:w="7938" w:type="dxa"/>
          </w:tcPr>
          <w:p w:rsidR="00156F6C" w:rsidRPr="00030956" w:rsidRDefault="00156F6C" w:rsidP="00156F6C">
            <w:pPr>
              <w:pStyle w:val="rvps2"/>
              <w:shd w:val="clear" w:color="auto" w:fill="FFFFFF"/>
              <w:spacing w:before="0" w:beforeAutospacing="0" w:after="150" w:afterAutospacing="0"/>
              <w:ind w:firstLine="450"/>
              <w:jc w:val="both"/>
            </w:pPr>
            <w:r w:rsidRPr="00030956">
              <w:t>1.7. Плата за стандартне приєднання розраховується згідно з </w:t>
            </w:r>
            <w:r w:rsidRPr="00156F6C">
              <w:t>главою 3</w:t>
            </w:r>
            <w:r w:rsidRPr="00030956">
              <w:t> цієї Методики.</w:t>
            </w:r>
          </w:p>
          <w:p w:rsidR="00156F6C" w:rsidRPr="00030956" w:rsidRDefault="00156F6C" w:rsidP="00156F6C">
            <w:pPr>
              <w:shd w:val="clear" w:color="auto" w:fill="FFFFFF"/>
              <w:ind w:firstLine="448"/>
              <w:jc w:val="both"/>
              <w:rPr>
                <w:rFonts w:ascii="Times New Roman" w:eastAsia="Times New Roman" w:hAnsi="Times New Roman" w:cs="Times New Roman"/>
                <w:color w:val="333333"/>
                <w:sz w:val="24"/>
                <w:szCs w:val="24"/>
              </w:rPr>
            </w:pPr>
            <w:bookmarkStart w:id="0" w:name="n211"/>
            <w:bookmarkEnd w:id="0"/>
            <w:r w:rsidRPr="00030956">
              <w:rPr>
                <w:rFonts w:ascii="Times New Roman" w:hAnsi="Times New Roman" w:cs="Times New Roman"/>
                <w:sz w:val="24"/>
                <w:szCs w:val="24"/>
              </w:rPr>
              <w:t xml:space="preserve">У випадку приєднання електроустановок замовника за схемою електрозабезпечення І та ІІ категорії надійності електропостачання для визначення відстані, відповідно до якої визначається тип приєднання </w:t>
            </w:r>
            <w:r w:rsidRPr="00030956">
              <w:rPr>
                <w:rFonts w:ascii="Times New Roman" w:hAnsi="Times New Roman" w:cs="Times New Roman"/>
                <w:sz w:val="24"/>
                <w:szCs w:val="24"/>
              </w:rPr>
              <w:lastRenderedPageBreak/>
              <w:t>(стандартне або нестандартне приєднання), приймається сумарна найкоротша відстань по прямій лінії, що сумарно не перевищує 300 метрів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буде забезпечуватись електрозабезпечення електроустановок замовника за І та ІІ категорією надійності електропостачання.</w:t>
            </w:r>
          </w:p>
        </w:tc>
        <w:tc>
          <w:tcPr>
            <w:tcW w:w="7939" w:type="dxa"/>
          </w:tcPr>
          <w:p w:rsidR="00156F6C" w:rsidRPr="00030956" w:rsidRDefault="00156F6C" w:rsidP="00AF62BB">
            <w:pPr>
              <w:pStyle w:val="rvps2"/>
              <w:shd w:val="clear" w:color="auto" w:fill="FFFFFF"/>
              <w:spacing w:before="0" w:beforeAutospacing="0" w:after="150" w:afterAutospacing="0"/>
              <w:ind w:firstLine="606"/>
              <w:jc w:val="both"/>
            </w:pPr>
            <w:r w:rsidRPr="00030956">
              <w:lastRenderedPageBreak/>
              <w:t>1.7. Плата за стандартне приєднання розраховується згідно з </w:t>
            </w:r>
            <w:r w:rsidRPr="00156F6C">
              <w:t>главою 3</w:t>
            </w:r>
            <w:r w:rsidRPr="00030956">
              <w:t> цієї Методики.</w:t>
            </w:r>
          </w:p>
          <w:p w:rsidR="00156F6C" w:rsidRPr="00030956" w:rsidRDefault="00156F6C" w:rsidP="00AF62BB">
            <w:pPr>
              <w:shd w:val="clear" w:color="auto" w:fill="FFFFFF"/>
              <w:ind w:firstLine="606"/>
              <w:jc w:val="both"/>
              <w:rPr>
                <w:rFonts w:ascii="Times New Roman" w:eastAsia="Times New Roman" w:hAnsi="Times New Roman" w:cs="Times New Roman"/>
                <w:color w:val="333333"/>
                <w:sz w:val="24"/>
                <w:szCs w:val="24"/>
              </w:rPr>
            </w:pPr>
            <w:r w:rsidRPr="00030956">
              <w:rPr>
                <w:rFonts w:ascii="Times New Roman" w:hAnsi="Times New Roman" w:cs="Times New Roman"/>
                <w:sz w:val="24"/>
                <w:szCs w:val="24"/>
              </w:rPr>
              <w:t xml:space="preserve">У випадку приєднання електроустановок замовника за схемою електрозабезпечення І та ІІ категорії надійності електропостачання для визначення відстані, відповідно до якої визначається тип приєднання </w:t>
            </w:r>
            <w:r w:rsidRPr="00030956">
              <w:rPr>
                <w:rFonts w:ascii="Times New Roman" w:hAnsi="Times New Roman" w:cs="Times New Roman"/>
                <w:sz w:val="24"/>
                <w:szCs w:val="24"/>
              </w:rPr>
              <w:lastRenderedPageBreak/>
              <w:t>(стандартне або нестандартне приєднання), приймається сумарна найкоротша відстань по прямій лінії, що сумарно не перевищує 300 метрів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w:t>
            </w:r>
            <w:r w:rsidRPr="00030956">
              <w:rPr>
                <w:rFonts w:ascii="Times New Roman" w:hAnsi="Times New Roman" w:cs="Times New Roman"/>
                <w:b/>
                <w:sz w:val="24"/>
                <w:szCs w:val="24"/>
              </w:rPr>
              <w:t>ється</w:t>
            </w:r>
            <w:r w:rsidRPr="00030956">
              <w:rPr>
                <w:rFonts w:ascii="Times New Roman" w:hAnsi="Times New Roman" w:cs="Times New Roman"/>
                <w:sz w:val="24"/>
                <w:szCs w:val="24"/>
              </w:rPr>
              <w:t xml:space="preserve"> </w:t>
            </w:r>
            <w:r w:rsidRPr="00030956">
              <w:rPr>
                <w:rFonts w:ascii="Times New Roman" w:hAnsi="Times New Roman" w:cs="Times New Roman"/>
                <w:b/>
                <w:sz w:val="24"/>
                <w:szCs w:val="24"/>
              </w:rPr>
              <w:t>замовлена категорія надійності</w:t>
            </w:r>
            <w:r w:rsidRPr="00030956">
              <w:rPr>
                <w:rFonts w:ascii="Times New Roman" w:hAnsi="Times New Roman" w:cs="Times New Roman"/>
                <w:sz w:val="24"/>
                <w:szCs w:val="24"/>
              </w:rPr>
              <w:t xml:space="preserve"> електро</w:t>
            </w:r>
            <w:r w:rsidRPr="00030956">
              <w:rPr>
                <w:rFonts w:ascii="Times New Roman" w:hAnsi="Times New Roman" w:cs="Times New Roman"/>
                <w:b/>
                <w:sz w:val="24"/>
                <w:szCs w:val="24"/>
              </w:rPr>
              <w:t>постачання</w:t>
            </w:r>
            <w:r w:rsidRPr="00030956">
              <w:rPr>
                <w:rFonts w:ascii="Times New Roman" w:hAnsi="Times New Roman" w:cs="Times New Roman"/>
                <w:sz w:val="24"/>
                <w:szCs w:val="24"/>
              </w:rPr>
              <w:t xml:space="preserve"> електроустановок замовника.</w:t>
            </w:r>
          </w:p>
        </w:tc>
      </w:tr>
      <w:tr w:rsidR="00156F6C" w:rsidRPr="00651365" w:rsidTr="0018178C">
        <w:trPr>
          <w:trHeight w:val="708"/>
        </w:trPr>
        <w:tc>
          <w:tcPr>
            <w:tcW w:w="7938" w:type="dxa"/>
          </w:tcPr>
          <w:p w:rsidR="00156F6C" w:rsidRPr="00030956" w:rsidRDefault="00156F6C" w:rsidP="00156F6C">
            <w:pPr>
              <w:pStyle w:val="rvps2"/>
              <w:shd w:val="clear" w:color="auto" w:fill="FFFFFF"/>
              <w:spacing w:before="0" w:beforeAutospacing="0" w:after="150" w:afterAutospacing="0"/>
              <w:ind w:firstLine="450"/>
              <w:jc w:val="both"/>
            </w:pPr>
            <w:r w:rsidRPr="00030956">
              <w:lastRenderedPageBreak/>
              <w:t>1.8. Плата за нестандартне приєднання розраховується згідно з </w:t>
            </w:r>
            <w:r w:rsidRPr="00156F6C">
              <w:t>главами 4</w:t>
            </w:r>
            <w:r w:rsidRPr="00030956">
              <w:t> та </w:t>
            </w:r>
            <w:r w:rsidRPr="00156F6C">
              <w:t>5</w:t>
            </w:r>
            <w:r w:rsidRPr="00030956">
              <w:t> цієї Методики.</w:t>
            </w:r>
          </w:p>
          <w:p w:rsidR="00156F6C" w:rsidRPr="00030956" w:rsidRDefault="00156F6C" w:rsidP="00156F6C">
            <w:pPr>
              <w:pStyle w:val="rvps2"/>
              <w:shd w:val="clear" w:color="auto" w:fill="FFFFFF"/>
              <w:spacing w:before="0" w:beforeAutospacing="0" w:after="150" w:afterAutospacing="0"/>
              <w:ind w:firstLine="450"/>
              <w:jc w:val="both"/>
            </w:pPr>
            <w:bookmarkStart w:id="1" w:name="n213"/>
            <w:bookmarkEnd w:id="1"/>
            <w:r w:rsidRPr="00030956">
              <w:t>При розрахунку плати за лінійну частину приєднання при нестандартному приєднанні, що здійснюється за процедурою «під 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заявленої до приєднання потужності:</w:t>
            </w:r>
          </w:p>
          <w:p w:rsidR="00156F6C" w:rsidRPr="00030956" w:rsidRDefault="00156F6C" w:rsidP="00156F6C">
            <w:pPr>
              <w:pStyle w:val="rvps2"/>
              <w:shd w:val="clear" w:color="auto" w:fill="FFFFFF"/>
              <w:spacing w:before="0" w:beforeAutospacing="0" w:after="150" w:afterAutospacing="0"/>
              <w:ind w:firstLine="450"/>
              <w:jc w:val="both"/>
            </w:pPr>
            <w:bookmarkStart w:id="2" w:name="n425"/>
            <w:bookmarkEnd w:id="2"/>
          </w:p>
          <w:p w:rsidR="00156F6C" w:rsidRPr="00030956" w:rsidRDefault="00156F6C" w:rsidP="00156F6C">
            <w:pPr>
              <w:pStyle w:val="rvps2"/>
              <w:shd w:val="clear" w:color="auto" w:fill="FFFFFF"/>
              <w:spacing w:before="0" w:beforeAutospacing="0" w:after="150" w:afterAutospacing="0"/>
              <w:ind w:firstLine="450"/>
              <w:jc w:val="both"/>
            </w:pPr>
            <w:r w:rsidRPr="00030956">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156F6C" w:rsidRPr="00030956" w:rsidRDefault="00156F6C" w:rsidP="00156F6C">
            <w:pPr>
              <w:pStyle w:val="rvps2"/>
              <w:shd w:val="clear" w:color="auto" w:fill="FFFFFF"/>
              <w:spacing w:before="0" w:beforeAutospacing="0" w:after="150" w:afterAutospacing="0"/>
              <w:ind w:firstLine="450"/>
              <w:jc w:val="both"/>
            </w:pPr>
            <w:bookmarkStart w:id="3" w:name="n426"/>
            <w:bookmarkEnd w:id="3"/>
            <w:r w:rsidRPr="00030956">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rsidR="00156F6C" w:rsidRPr="00030956" w:rsidRDefault="00156F6C" w:rsidP="00156F6C">
            <w:pPr>
              <w:pStyle w:val="rvps2"/>
              <w:shd w:val="clear" w:color="auto" w:fill="FFFFFF"/>
              <w:spacing w:before="0" w:beforeAutospacing="0" w:after="150" w:afterAutospacing="0"/>
              <w:ind w:firstLine="450"/>
              <w:jc w:val="both"/>
            </w:pPr>
            <w:bookmarkStart w:id="4" w:name="n427"/>
            <w:bookmarkEnd w:id="4"/>
            <w:r w:rsidRPr="00030956">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rsidR="00156F6C" w:rsidRPr="00030956" w:rsidRDefault="00156F6C" w:rsidP="00156F6C">
            <w:pPr>
              <w:pStyle w:val="rvps2"/>
              <w:shd w:val="clear" w:color="auto" w:fill="FFFFFF"/>
              <w:spacing w:before="0" w:beforeAutospacing="0" w:after="150" w:afterAutospacing="0"/>
              <w:ind w:firstLine="450"/>
              <w:jc w:val="both"/>
            </w:pPr>
            <w:bookmarkStart w:id="5" w:name="n428"/>
            <w:bookmarkEnd w:id="5"/>
            <w:r w:rsidRPr="00030956">
              <w:lastRenderedPageBreak/>
              <w:t>від 5000 кВт - до трансформаторної підстанції відповідно до вказаного в заяві про приєднання рівня напруги в точці приєднання, але не нижче 35 кВ.</w:t>
            </w:r>
          </w:p>
          <w:p w:rsidR="00156F6C" w:rsidRPr="00030956" w:rsidRDefault="00156F6C" w:rsidP="00156F6C">
            <w:pPr>
              <w:shd w:val="clear" w:color="auto" w:fill="FFFFFF"/>
              <w:ind w:firstLine="448"/>
              <w:jc w:val="both"/>
              <w:rPr>
                <w:rFonts w:ascii="Times New Roman" w:eastAsia="Times New Roman" w:hAnsi="Times New Roman" w:cs="Times New Roman"/>
                <w:color w:val="333333"/>
                <w:sz w:val="24"/>
                <w:szCs w:val="24"/>
              </w:rPr>
            </w:pPr>
            <w:bookmarkStart w:id="6" w:name="n429"/>
            <w:bookmarkEnd w:id="6"/>
            <w:r w:rsidRPr="00030956">
              <w:rPr>
                <w:rFonts w:ascii="Times New Roman" w:hAnsi="Times New Roman" w:cs="Times New Roman"/>
                <w:sz w:val="24"/>
                <w:szCs w:val="24"/>
              </w:rPr>
              <w:t>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буде забезпечуватись електрозабезпечення електроустановок замовника за І або ІІ категорією надійності електропостачання з урахуванням умов по величині потужності, замовленої до приєднання.</w:t>
            </w:r>
          </w:p>
        </w:tc>
        <w:tc>
          <w:tcPr>
            <w:tcW w:w="7939" w:type="dxa"/>
          </w:tcPr>
          <w:p w:rsidR="00156F6C" w:rsidRPr="00030956" w:rsidRDefault="00156F6C" w:rsidP="00AF62BB">
            <w:pPr>
              <w:pStyle w:val="rvps2"/>
              <w:shd w:val="clear" w:color="auto" w:fill="FFFFFF"/>
              <w:spacing w:before="0" w:beforeAutospacing="0" w:after="150" w:afterAutospacing="0"/>
              <w:ind w:firstLine="606"/>
              <w:jc w:val="both"/>
            </w:pPr>
            <w:r w:rsidRPr="00030956">
              <w:lastRenderedPageBreak/>
              <w:t>1.8. Плата за нестандартне приєднання розраховується згідно з </w:t>
            </w:r>
            <w:r w:rsidRPr="00156F6C">
              <w:t>главами 4</w:t>
            </w:r>
            <w:r w:rsidRPr="00030956">
              <w:t> та </w:t>
            </w:r>
            <w:r w:rsidRPr="00156F6C">
              <w:t>5</w:t>
            </w:r>
            <w:r w:rsidRPr="00030956">
              <w:t> цієї Методики.</w:t>
            </w:r>
          </w:p>
          <w:p w:rsidR="00156F6C" w:rsidRPr="00030956" w:rsidRDefault="00156F6C" w:rsidP="00AF62BB">
            <w:pPr>
              <w:pStyle w:val="rvps2"/>
              <w:shd w:val="clear" w:color="auto" w:fill="FFFFFF"/>
              <w:spacing w:before="0" w:beforeAutospacing="0" w:after="150" w:afterAutospacing="0"/>
              <w:ind w:firstLine="606"/>
              <w:jc w:val="both"/>
            </w:pPr>
            <w:r w:rsidRPr="00030956">
              <w:t xml:space="preserve">При розрахунку плати за лінійну частину приєднання при нестандартному приєднанні, що здійснюється за процедурою «під ключ», приймається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яка визначається відповідно до величини </w:t>
            </w:r>
            <w:r w:rsidR="004F770B" w:rsidRPr="00524DEE">
              <w:rPr>
                <w:b/>
              </w:rPr>
              <w:t>максимальної розрахункової (прогнозованої) потужності з урахуванням замовленої до приєднання та існуючої дозволеної потужності, що поділяються на такі блоки</w:t>
            </w:r>
            <w:r w:rsidRPr="00030956">
              <w:t>:</w:t>
            </w:r>
          </w:p>
          <w:p w:rsidR="00156F6C" w:rsidRPr="00030956" w:rsidRDefault="00156F6C" w:rsidP="00AF62BB">
            <w:pPr>
              <w:pStyle w:val="rvps2"/>
              <w:shd w:val="clear" w:color="auto" w:fill="FFFFFF"/>
              <w:spacing w:before="0" w:beforeAutospacing="0" w:after="150" w:afterAutospacing="0"/>
              <w:ind w:firstLine="606"/>
              <w:jc w:val="both"/>
            </w:pPr>
            <w:r w:rsidRPr="00030956">
              <w:t>до 50 кВт включно - до повітряної лінії, розподільчого пункту та/або трансформаторної підстанції відповідно до вказаного в заяві про приєднання рівня напруги в точці приєднання;</w:t>
            </w:r>
          </w:p>
          <w:p w:rsidR="00156F6C" w:rsidRPr="00030956" w:rsidRDefault="00156F6C" w:rsidP="00AF62BB">
            <w:pPr>
              <w:pStyle w:val="rvps2"/>
              <w:shd w:val="clear" w:color="auto" w:fill="FFFFFF"/>
              <w:spacing w:before="0" w:beforeAutospacing="0" w:after="150" w:afterAutospacing="0"/>
              <w:ind w:firstLine="606"/>
              <w:jc w:val="both"/>
            </w:pPr>
            <w:r w:rsidRPr="00030956">
              <w:t>від 50 кВт до 1000 кВт включно - до повітряної лінії електропередачі, розподільчого пункту та/або трансформаторної підстанції відповідно до вказаного в заяві про приєднання рівня напруги в точці приєднання, але не нижче 10 (6, 20) кВ;</w:t>
            </w:r>
          </w:p>
          <w:p w:rsidR="00156F6C" w:rsidRPr="00030956" w:rsidRDefault="00156F6C" w:rsidP="00AF62BB">
            <w:pPr>
              <w:pStyle w:val="rvps2"/>
              <w:shd w:val="clear" w:color="auto" w:fill="FFFFFF"/>
              <w:spacing w:before="0" w:beforeAutospacing="0" w:after="150" w:afterAutospacing="0"/>
              <w:ind w:firstLine="606"/>
              <w:jc w:val="both"/>
            </w:pPr>
            <w:r w:rsidRPr="00030956">
              <w:t>від 1000 кВт до 5000 кВт включно - до розподільчого пункту, відповідно до вказаного в заяві про приєднання рівня напруги в точці приєднання, але не нижче 10 (6, 20) кВ, та/або трансформаторної підстанції відповідно до вказаного в заяві про приєднання рівня напруги в точці приєднання, але не нижче 20 кВ;</w:t>
            </w:r>
          </w:p>
          <w:p w:rsidR="00156F6C" w:rsidRPr="00030956" w:rsidRDefault="00156F6C" w:rsidP="00AF62BB">
            <w:pPr>
              <w:pStyle w:val="rvps2"/>
              <w:shd w:val="clear" w:color="auto" w:fill="FFFFFF"/>
              <w:spacing w:before="0" w:beforeAutospacing="0" w:after="150" w:afterAutospacing="0"/>
              <w:ind w:firstLine="606"/>
              <w:jc w:val="both"/>
            </w:pPr>
            <w:r w:rsidRPr="00030956">
              <w:lastRenderedPageBreak/>
              <w:t>від 5000 кВт - до трансформаторної підстанції відповідно до вказаного в заяві про приєднання рівня напруги в точці приєднання, але не нижче 35 кВ.</w:t>
            </w:r>
          </w:p>
          <w:p w:rsidR="004F770B" w:rsidRPr="004F770B" w:rsidRDefault="00E367A3" w:rsidP="00AF62BB">
            <w:pPr>
              <w:shd w:val="clear" w:color="auto" w:fill="FFFFFF"/>
              <w:ind w:firstLine="606"/>
              <w:jc w:val="both"/>
              <w:rPr>
                <w:rFonts w:ascii="Times New Roman" w:eastAsia="Times New Roman" w:hAnsi="Times New Roman" w:cs="Times New Roman"/>
                <w:b/>
                <w:sz w:val="24"/>
                <w:szCs w:val="24"/>
                <w:lang w:eastAsia="uk-UA"/>
              </w:rPr>
            </w:pPr>
            <w:r w:rsidRPr="00E367A3">
              <w:rPr>
                <w:rFonts w:ascii="Times New Roman" w:eastAsia="Times New Roman" w:hAnsi="Times New Roman" w:cs="Times New Roman"/>
                <w:b/>
                <w:sz w:val="24"/>
                <w:szCs w:val="24"/>
                <w:lang w:eastAsia="uk-UA"/>
              </w:rPr>
              <w:t xml:space="preserve">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 якщо величина максимального розрахункової (прогнозованої) потужності (замовлена до приєднання потужність з урахуванням існуючої дозволеної до використання) та величина існуючої дозволеної до використання потужності знаходяться в межах одного </w:t>
            </w:r>
            <w:proofErr w:type="spellStart"/>
            <w:r w:rsidRPr="00E367A3">
              <w:rPr>
                <w:rFonts w:ascii="Times New Roman" w:eastAsia="Times New Roman" w:hAnsi="Times New Roman" w:cs="Times New Roman"/>
                <w:b/>
                <w:sz w:val="24"/>
                <w:szCs w:val="24"/>
                <w:lang w:eastAsia="uk-UA"/>
              </w:rPr>
              <w:t>підблок</w:t>
            </w:r>
            <w:r w:rsidR="00B42F3C">
              <w:rPr>
                <w:rFonts w:ascii="Times New Roman" w:eastAsia="Times New Roman" w:hAnsi="Times New Roman" w:cs="Times New Roman"/>
                <w:b/>
                <w:sz w:val="24"/>
                <w:szCs w:val="24"/>
                <w:lang w:eastAsia="uk-UA"/>
              </w:rPr>
              <w:t>а</w:t>
            </w:r>
            <w:proofErr w:type="spellEnd"/>
            <w:r w:rsidRPr="00E367A3">
              <w:rPr>
                <w:rFonts w:ascii="Times New Roman" w:eastAsia="Times New Roman" w:hAnsi="Times New Roman" w:cs="Times New Roman"/>
                <w:b/>
                <w:sz w:val="24"/>
                <w:szCs w:val="24"/>
                <w:lang w:eastAsia="uk-UA"/>
              </w:rPr>
              <w:t xml:space="preserve"> з кроком 50 кВт (для блок</w:t>
            </w:r>
            <w:r w:rsidR="00B42F3C">
              <w:rPr>
                <w:rFonts w:ascii="Times New Roman" w:eastAsia="Times New Roman" w:hAnsi="Times New Roman" w:cs="Times New Roman"/>
                <w:b/>
                <w:sz w:val="24"/>
                <w:szCs w:val="24"/>
                <w:lang w:eastAsia="uk-UA"/>
              </w:rPr>
              <w:t>а</w:t>
            </w:r>
            <w:r w:rsidRPr="00E367A3">
              <w:rPr>
                <w:rFonts w:ascii="Times New Roman" w:eastAsia="Times New Roman" w:hAnsi="Times New Roman" w:cs="Times New Roman"/>
                <w:b/>
                <w:sz w:val="24"/>
                <w:szCs w:val="24"/>
                <w:lang w:eastAsia="uk-UA"/>
              </w:rPr>
              <w:t xml:space="preserve"> з потужністю від 50 до 1000 кВт), з кроком 100 кВт (для блок</w:t>
            </w:r>
            <w:r w:rsidR="00B42F3C">
              <w:rPr>
                <w:rFonts w:ascii="Times New Roman" w:eastAsia="Times New Roman" w:hAnsi="Times New Roman" w:cs="Times New Roman"/>
                <w:b/>
                <w:sz w:val="24"/>
                <w:szCs w:val="24"/>
                <w:lang w:eastAsia="uk-UA"/>
              </w:rPr>
              <w:t>а</w:t>
            </w:r>
            <w:r w:rsidRPr="00E367A3">
              <w:rPr>
                <w:rFonts w:ascii="Times New Roman" w:eastAsia="Times New Roman" w:hAnsi="Times New Roman" w:cs="Times New Roman"/>
                <w:b/>
                <w:sz w:val="24"/>
                <w:szCs w:val="24"/>
                <w:lang w:eastAsia="uk-UA"/>
              </w:rPr>
              <w:t xml:space="preserve"> з потужністю від 1000 до 5000 кВт) та з кроком 500 кВт (для блок</w:t>
            </w:r>
            <w:r w:rsidR="00B42F3C">
              <w:rPr>
                <w:rFonts w:ascii="Times New Roman" w:eastAsia="Times New Roman" w:hAnsi="Times New Roman" w:cs="Times New Roman"/>
                <w:b/>
                <w:sz w:val="24"/>
                <w:szCs w:val="24"/>
                <w:lang w:eastAsia="uk-UA"/>
              </w:rPr>
              <w:t>а</w:t>
            </w:r>
            <w:r w:rsidRPr="00E367A3">
              <w:rPr>
                <w:rFonts w:ascii="Times New Roman" w:eastAsia="Times New Roman" w:hAnsi="Times New Roman" w:cs="Times New Roman"/>
                <w:b/>
                <w:sz w:val="24"/>
                <w:szCs w:val="24"/>
                <w:lang w:eastAsia="uk-UA"/>
              </w:rPr>
              <w:t xml:space="preserve"> з потужністю від 5000 кВт).</w:t>
            </w:r>
            <w:r w:rsidR="004F770B" w:rsidRPr="004F770B">
              <w:rPr>
                <w:rFonts w:ascii="Times New Roman" w:eastAsia="Times New Roman" w:hAnsi="Times New Roman" w:cs="Times New Roman"/>
                <w:b/>
                <w:sz w:val="24"/>
                <w:szCs w:val="24"/>
                <w:lang w:eastAsia="uk-UA"/>
              </w:rPr>
              <w:t xml:space="preserve"> </w:t>
            </w:r>
          </w:p>
          <w:p w:rsidR="00714194" w:rsidRDefault="00156F6C" w:rsidP="004F770B">
            <w:pPr>
              <w:shd w:val="clear" w:color="auto" w:fill="FFFFFF"/>
              <w:ind w:firstLine="606"/>
              <w:jc w:val="both"/>
              <w:rPr>
                <w:rFonts w:ascii="Times New Roman" w:eastAsia="Times New Roman" w:hAnsi="Times New Roman" w:cs="Times New Roman"/>
                <w:sz w:val="24"/>
                <w:szCs w:val="24"/>
                <w:lang w:eastAsia="uk-UA"/>
              </w:rPr>
            </w:pPr>
            <w:r w:rsidRPr="00030956">
              <w:rPr>
                <w:rFonts w:ascii="Times New Roman" w:eastAsia="Times New Roman" w:hAnsi="Times New Roman" w:cs="Times New Roman"/>
                <w:sz w:val="24"/>
                <w:szCs w:val="24"/>
                <w:lang w:eastAsia="uk-UA"/>
              </w:rPr>
              <w:t>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(ступеня напруги, що відповідає ступеню напруги в точці приєднання), від яких забезпечу</w:t>
            </w:r>
            <w:r w:rsidRPr="00030956">
              <w:rPr>
                <w:rFonts w:ascii="Times New Roman" w:eastAsia="Times New Roman" w:hAnsi="Times New Roman" w:cs="Times New Roman"/>
                <w:b/>
                <w:sz w:val="24"/>
                <w:szCs w:val="24"/>
                <w:lang w:eastAsia="uk-UA"/>
              </w:rPr>
              <w:t>ється</w:t>
            </w:r>
            <w:r w:rsidRPr="00030956">
              <w:rPr>
                <w:rFonts w:ascii="Times New Roman" w:eastAsia="Times New Roman" w:hAnsi="Times New Roman" w:cs="Times New Roman"/>
                <w:sz w:val="24"/>
                <w:szCs w:val="24"/>
                <w:lang w:eastAsia="uk-UA"/>
              </w:rPr>
              <w:t xml:space="preserve"> </w:t>
            </w:r>
            <w:r w:rsidRPr="00030956">
              <w:rPr>
                <w:rFonts w:ascii="Times New Roman" w:eastAsia="Times New Roman" w:hAnsi="Times New Roman" w:cs="Times New Roman"/>
                <w:b/>
                <w:sz w:val="24"/>
                <w:szCs w:val="24"/>
                <w:lang w:eastAsia="uk-UA"/>
              </w:rPr>
              <w:t>замовлена категорія надійності</w:t>
            </w:r>
            <w:r w:rsidRPr="00030956">
              <w:rPr>
                <w:rFonts w:ascii="Times New Roman" w:eastAsia="Times New Roman" w:hAnsi="Times New Roman" w:cs="Times New Roman"/>
                <w:sz w:val="24"/>
                <w:szCs w:val="24"/>
                <w:lang w:eastAsia="uk-UA"/>
              </w:rPr>
              <w:t xml:space="preserve"> електро</w:t>
            </w:r>
            <w:r w:rsidRPr="00030956">
              <w:rPr>
                <w:rFonts w:ascii="Times New Roman" w:eastAsia="Times New Roman" w:hAnsi="Times New Roman" w:cs="Times New Roman"/>
                <w:b/>
                <w:sz w:val="24"/>
                <w:szCs w:val="24"/>
                <w:lang w:eastAsia="uk-UA"/>
              </w:rPr>
              <w:t>постачання</w:t>
            </w:r>
            <w:r w:rsidRPr="00030956">
              <w:rPr>
                <w:rFonts w:ascii="Times New Roman" w:eastAsia="Times New Roman" w:hAnsi="Times New Roman" w:cs="Times New Roman"/>
                <w:sz w:val="24"/>
                <w:szCs w:val="24"/>
                <w:lang w:eastAsia="uk-UA"/>
              </w:rPr>
              <w:t xml:space="preserve"> електроустановок замовника з урахуванням умов по величині </w:t>
            </w:r>
            <w:r w:rsidRPr="00030956">
              <w:rPr>
                <w:rFonts w:ascii="Times New Roman" w:eastAsia="Times New Roman" w:hAnsi="Times New Roman" w:cs="Times New Roman"/>
                <w:b/>
                <w:sz w:val="24"/>
                <w:szCs w:val="24"/>
                <w:lang w:eastAsia="uk-UA"/>
              </w:rPr>
              <w:t>максимального розрахункового (прогнозованого) навантаження</w:t>
            </w:r>
            <w:r w:rsidRPr="00030956">
              <w:rPr>
                <w:rFonts w:ascii="Times New Roman" w:eastAsia="Times New Roman" w:hAnsi="Times New Roman" w:cs="Times New Roman"/>
                <w:sz w:val="24"/>
                <w:szCs w:val="24"/>
                <w:lang w:eastAsia="uk-UA"/>
              </w:rPr>
              <w:t>.</w:t>
            </w:r>
          </w:p>
          <w:p w:rsidR="008D5D3F" w:rsidRPr="004F770B" w:rsidRDefault="008D5D3F" w:rsidP="004F770B">
            <w:pPr>
              <w:shd w:val="clear" w:color="auto" w:fill="FFFFFF"/>
              <w:ind w:firstLine="606"/>
              <w:jc w:val="both"/>
              <w:rPr>
                <w:rFonts w:ascii="Times New Roman" w:eastAsia="Times New Roman" w:hAnsi="Times New Roman" w:cs="Times New Roman"/>
                <w:sz w:val="24"/>
                <w:szCs w:val="24"/>
                <w:lang w:eastAsia="uk-UA"/>
              </w:rPr>
            </w:pPr>
            <w:r w:rsidRPr="005C1829">
              <w:rPr>
                <w:rFonts w:ascii="Times New Roman" w:hAnsi="Times New Roman" w:cs="Times New Roman"/>
                <w:b/>
                <w:sz w:val="24"/>
                <w:szCs w:val="28"/>
              </w:rPr>
              <w:t>У разі при</w:t>
            </w:r>
            <w:r>
              <w:rPr>
                <w:rFonts w:ascii="Times New Roman" w:hAnsi="Times New Roman" w:cs="Times New Roman"/>
                <w:b/>
                <w:sz w:val="24"/>
                <w:szCs w:val="28"/>
              </w:rPr>
              <w:t xml:space="preserve">єднання електроустановок, призначених для виробництва електричної енергії, на напрузі у точці приєднання 35 кВ і вище </w:t>
            </w:r>
            <w:r w:rsidR="00676053" w:rsidRPr="009462B4">
              <w:rPr>
                <w:rFonts w:ascii="Times New Roman" w:hAnsi="Times New Roman" w:cs="Times New Roman"/>
                <w:b/>
                <w:sz w:val="24"/>
                <w:szCs w:val="28"/>
              </w:rPr>
              <w:t xml:space="preserve">розрахунок вартості плати за приєднання до електричних мереж </w:t>
            </w:r>
            <w:r w:rsidR="00676053">
              <w:rPr>
                <w:rFonts w:ascii="Times New Roman" w:hAnsi="Times New Roman" w:cs="Times New Roman"/>
                <w:b/>
                <w:sz w:val="24"/>
                <w:szCs w:val="28"/>
                <w:lang w:val="en-US"/>
              </w:rPr>
              <w:t xml:space="preserve"> </w:t>
            </w:r>
            <w:r w:rsidR="00676053">
              <w:rPr>
                <w:rFonts w:ascii="Times New Roman" w:hAnsi="Times New Roman" w:cs="Times New Roman"/>
                <w:b/>
                <w:sz w:val="24"/>
                <w:szCs w:val="28"/>
              </w:rPr>
              <w:t>здійснюється з дотриманням</w:t>
            </w:r>
            <w:r>
              <w:rPr>
                <w:rFonts w:ascii="Times New Roman" w:hAnsi="Times New Roman" w:cs="Times New Roman"/>
                <w:b/>
                <w:sz w:val="24"/>
                <w:szCs w:val="28"/>
              </w:rPr>
              <w:t xml:space="preserve"> вимог </w:t>
            </w:r>
            <w:r w:rsidRPr="009462B4">
              <w:rPr>
                <w:rFonts w:ascii="Times New Roman" w:hAnsi="Times New Roman" w:cs="Times New Roman"/>
                <w:b/>
                <w:sz w:val="24"/>
                <w:szCs w:val="28"/>
              </w:rPr>
              <w:t>СОУ-Н ЕЕ 40.1.00100227-101:2014</w:t>
            </w:r>
            <w:r>
              <w:rPr>
                <w:rFonts w:ascii="Times New Roman" w:hAnsi="Times New Roman" w:cs="Times New Roman"/>
                <w:b/>
                <w:sz w:val="24"/>
                <w:szCs w:val="28"/>
              </w:rPr>
              <w:t xml:space="preserve"> «</w:t>
            </w:r>
            <w:r w:rsidRPr="009462B4">
              <w:rPr>
                <w:rFonts w:ascii="Times New Roman" w:hAnsi="Times New Roman" w:cs="Times New Roman"/>
                <w:b/>
                <w:sz w:val="24"/>
                <w:szCs w:val="28"/>
              </w:rPr>
              <w:t>Норми технологічного проектування енергетичних систем і електричних мереж 35 кВ і вище</w:t>
            </w:r>
            <w:r>
              <w:rPr>
                <w:rFonts w:ascii="Times New Roman" w:hAnsi="Times New Roman" w:cs="Times New Roman"/>
                <w:b/>
                <w:sz w:val="24"/>
                <w:szCs w:val="28"/>
              </w:rPr>
              <w:t xml:space="preserve">» щодо забезпечення </w:t>
            </w:r>
            <w:r w:rsidR="00676053">
              <w:rPr>
                <w:rFonts w:ascii="Times New Roman" w:hAnsi="Times New Roman" w:cs="Times New Roman"/>
                <w:b/>
                <w:sz w:val="24"/>
                <w:szCs w:val="28"/>
              </w:rPr>
              <w:t xml:space="preserve">під час приєднання дотримання </w:t>
            </w:r>
            <w:r w:rsidRPr="009462B4">
              <w:rPr>
                <w:rFonts w:ascii="Times New Roman" w:hAnsi="Times New Roman" w:cs="Times New Roman"/>
                <w:b/>
                <w:sz w:val="24"/>
                <w:szCs w:val="28"/>
              </w:rPr>
              <w:t>критерію «N-1»</w:t>
            </w:r>
            <w:r>
              <w:rPr>
                <w:rFonts w:ascii="Times New Roman" w:hAnsi="Times New Roman" w:cs="Times New Roman"/>
                <w:b/>
                <w:sz w:val="24"/>
                <w:szCs w:val="28"/>
              </w:rPr>
              <w:t>.</w:t>
            </w:r>
          </w:p>
        </w:tc>
      </w:tr>
      <w:tr w:rsidR="00156F6C" w:rsidRPr="00651365" w:rsidTr="00D426BB">
        <w:trPr>
          <w:trHeight w:val="361"/>
        </w:trPr>
        <w:tc>
          <w:tcPr>
            <w:tcW w:w="15877" w:type="dxa"/>
            <w:gridSpan w:val="2"/>
          </w:tcPr>
          <w:p w:rsidR="00156F6C" w:rsidRPr="00651365" w:rsidRDefault="00156F6C" w:rsidP="00156F6C">
            <w:pPr>
              <w:shd w:val="clear" w:color="auto" w:fill="FFFFFF"/>
              <w:ind w:firstLine="606"/>
              <w:jc w:val="center"/>
              <w:rPr>
                <w:rFonts w:ascii="Times New Roman" w:eastAsia="Times New Roman" w:hAnsi="Times New Roman" w:cs="Times New Roman"/>
                <w:b/>
                <w:sz w:val="24"/>
                <w:szCs w:val="24"/>
                <w:lang w:eastAsia="uk-UA"/>
              </w:rPr>
            </w:pPr>
            <w:r w:rsidRPr="00651365">
              <w:rPr>
                <w:rFonts w:ascii="Times New Roman" w:eastAsia="Times New Roman" w:hAnsi="Times New Roman" w:cs="Times New Roman"/>
                <w:b/>
                <w:sz w:val="24"/>
                <w:szCs w:val="24"/>
                <w:lang w:eastAsia="uk-UA"/>
              </w:rPr>
              <w:lastRenderedPageBreak/>
              <w:t>3. Плата за стандартне приєднання</w:t>
            </w:r>
          </w:p>
        </w:tc>
      </w:tr>
      <w:tr w:rsidR="00156F6C" w:rsidRPr="00651365" w:rsidTr="0018178C">
        <w:trPr>
          <w:trHeight w:val="708"/>
        </w:trPr>
        <w:tc>
          <w:tcPr>
            <w:tcW w:w="7938" w:type="dxa"/>
          </w:tcPr>
          <w:p w:rsidR="00550821" w:rsidRPr="00550821" w:rsidRDefault="00550821" w:rsidP="00550821">
            <w:pPr>
              <w:shd w:val="clear" w:color="auto" w:fill="FFFFFF"/>
              <w:spacing w:after="150"/>
              <w:ind w:firstLine="450"/>
              <w:jc w:val="both"/>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3.1. Плата за стандартне приєднання </w:t>
            </w:r>
            <w:proofErr w:type="spellStart"/>
            <w:r w:rsidRPr="00550821">
              <w:rPr>
                <w:rFonts w:ascii="Times New Roman" w:eastAsia="Times New Roman" w:hAnsi="Times New Roman" w:cs="Times New Roman"/>
                <w:b/>
                <w:bCs/>
                <w:sz w:val="24"/>
                <w:szCs w:val="24"/>
                <w:lang w:eastAsia="uk-UA"/>
              </w:rPr>
              <w:t>П</w:t>
            </w:r>
            <w:r w:rsidRPr="00550821">
              <w:rPr>
                <w:rFonts w:ascii="Times New Roman" w:eastAsia="Times New Roman" w:hAnsi="Times New Roman" w:cs="Times New Roman"/>
                <w:b/>
                <w:bCs/>
                <w:sz w:val="16"/>
                <w:szCs w:val="16"/>
                <w:vertAlign w:val="subscript"/>
                <w:lang w:eastAsia="uk-UA"/>
              </w:rPr>
              <w:t>ст</w:t>
            </w:r>
            <w:proofErr w:type="spellEnd"/>
            <w:r w:rsidRPr="00550821">
              <w:rPr>
                <w:rFonts w:ascii="Times New Roman" w:eastAsia="Times New Roman" w:hAnsi="Times New Roman" w:cs="Times New Roman"/>
                <w:sz w:val="24"/>
                <w:szCs w:val="24"/>
                <w:lang w:eastAsia="uk-UA"/>
              </w:rPr>
              <w:t> розраховується за формулою</w:t>
            </w:r>
          </w:p>
          <w:tbl>
            <w:tblPr>
              <w:tblW w:w="5000" w:type="pct"/>
              <w:tblCellMar>
                <w:top w:w="15" w:type="dxa"/>
                <w:left w:w="15" w:type="dxa"/>
                <w:bottom w:w="15" w:type="dxa"/>
                <w:right w:w="15" w:type="dxa"/>
              </w:tblCellMar>
              <w:tblLook w:val="04A0" w:firstRow="1" w:lastRow="0" w:firstColumn="1" w:lastColumn="0" w:noHBand="0" w:noVBand="1"/>
            </w:tblPr>
            <w:tblGrid>
              <w:gridCol w:w="420"/>
              <w:gridCol w:w="1275"/>
              <w:gridCol w:w="135"/>
              <w:gridCol w:w="5397"/>
              <w:gridCol w:w="489"/>
            </w:tblGrid>
            <w:tr w:rsidR="00550821" w:rsidRPr="00550821" w:rsidTr="00550821">
              <w:tc>
                <w:tcPr>
                  <w:tcW w:w="8775" w:type="dxa"/>
                  <w:gridSpan w:val="4"/>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bookmarkStart w:id="7" w:name="n231"/>
                  <w:bookmarkEnd w:id="7"/>
                  <w:r w:rsidRPr="00550821">
                    <w:rPr>
                      <w:rFonts w:ascii="Times New Roman" w:eastAsia="Times New Roman" w:hAnsi="Times New Roman" w:cs="Times New Roman"/>
                      <w:noProof/>
                      <w:sz w:val="24"/>
                      <w:szCs w:val="24"/>
                      <w:lang w:eastAsia="uk-UA"/>
                    </w:rPr>
                    <w:lastRenderedPageBreak/>
                    <w:drawing>
                      <wp:inline distT="0" distB="0" distL="0" distR="0">
                        <wp:extent cx="2724150" cy="361950"/>
                        <wp:effectExtent l="0" t="0" r="0" b="0"/>
                        <wp:docPr id="80" name="Рисунок 80" descr="https://zakon.rada.gov.ua/laws/file/imgs/85/p480243n231.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85/p480243n231.gif">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24150" cy="361950"/>
                                </a:xfrm>
                                <a:prstGeom prst="rect">
                                  <a:avLst/>
                                </a:prstGeom>
                                <a:noFill/>
                                <a:ln>
                                  <a:noFill/>
                                </a:ln>
                              </pic:spPr>
                            </pic:pic>
                          </a:graphicData>
                        </a:graphic>
                      </wp:inline>
                    </w:drawing>
                  </w:r>
                </w:p>
              </w:tc>
              <w:tc>
                <w:tcPr>
                  <w:tcW w:w="1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right"/>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(1)</w:t>
                  </w:r>
                </w:p>
              </w:tc>
            </w:tr>
            <w:tr w:rsidR="00550821" w:rsidRPr="00550821" w:rsidTr="00550821">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bookmarkStart w:id="8" w:name="n232"/>
                  <w:bookmarkEnd w:id="8"/>
                  <w:r w:rsidRPr="00550821">
                    <w:rPr>
                      <w:rFonts w:ascii="Times New Roman" w:eastAsia="Times New Roman" w:hAnsi="Times New Roman" w:cs="Times New Roman"/>
                      <w:sz w:val="24"/>
                      <w:szCs w:val="24"/>
                      <w:lang w:eastAsia="uk-UA"/>
                    </w:rPr>
                    <w:t>де</w:t>
                  </w: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Р</w:t>
                  </w:r>
                  <w:r w:rsidRPr="00550821">
                    <w:rPr>
                      <w:rFonts w:ascii="Times New Roman" w:eastAsia="Times New Roman" w:hAnsi="Times New Roman" w:cs="Times New Roman"/>
                      <w:sz w:val="16"/>
                      <w:szCs w:val="16"/>
                      <w:lang w:eastAsia="uk-UA"/>
                    </w:rPr>
                    <w:t> </w:t>
                  </w:r>
                  <w:proofErr w:type="spellStart"/>
                  <w:r w:rsidRPr="00550821">
                    <w:rPr>
                      <w:rFonts w:ascii="Times New Roman" w:eastAsia="Times New Roman" w:hAnsi="Times New Roman" w:cs="Times New Roman"/>
                      <w:b/>
                      <w:bCs/>
                      <w:sz w:val="16"/>
                      <w:szCs w:val="16"/>
                      <w:vertAlign w:val="subscript"/>
                      <w:lang w:eastAsia="uk-UA"/>
                    </w:rPr>
                    <w:t>замовл</w:t>
                  </w:r>
                  <w:proofErr w:type="spellEnd"/>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потужність, замовлена до приєднання електроустановок замовника, кВт;</w:t>
                  </w:r>
                </w:p>
              </w:tc>
            </w:tr>
            <w:tr w:rsidR="00550821" w:rsidRPr="00550821" w:rsidTr="00550821">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noProof/>
                      <w:sz w:val="24"/>
                      <w:szCs w:val="24"/>
                      <w:lang w:eastAsia="uk-UA"/>
                    </w:rPr>
                    <w:drawing>
                      <wp:inline distT="0" distB="0" distL="0" distR="0">
                        <wp:extent cx="704850" cy="257175"/>
                        <wp:effectExtent l="0" t="0" r="0" b="9525"/>
                        <wp:docPr id="79" name="Рисунок 79" descr="https://zakon.rada.gov.ua/laws/file/imgs/85/p480243n232-1.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85/p480243n232-1.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4850" cy="257175"/>
                                </a:xfrm>
                                <a:prstGeom prst="rect">
                                  <a:avLst/>
                                </a:prstGeom>
                                <a:noFill/>
                                <a:ln>
                                  <a:noFill/>
                                </a:ln>
                              </pic:spPr>
                            </pic:pic>
                          </a:graphicData>
                        </a:graphic>
                      </wp:inline>
                    </w:drawing>
                  </w:r>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ставка плати за стандартне приєднання, тис. грн/кВт, яка диференціюється за такими індексами:</w:t>
                  </w:r>
                </w:p>
              </w:tc>
            </w:tr>
            <w:tr w:rsidR="00550821" w:rsidRPr="00550821" w:rsidTr="00550821">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к</w:t>
                  </w:r>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категорія надійності електропостачання згідно з Правилами улаштування електроустановок (далі - ПУЕ), заявлена замовником;</w:t>
                  </w:r>
                </w:p>
              </w:tc>
            </w:tr>
            <w:tr w:rsidR="00550821" w:rsidRPr="00550821" w:rsidTr="00550821">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н</w:t>
                  </w:r>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індекс рівня напруги в точці приєднання (0,4(0,23); 6(10)20);</w:t>
                  </w:r>
                </w:p>
              </w:tc>
            </w:tr>
            <w:tr w:rsidR="00550821" w:rsidRPr="00550821" w:rsidTr="00550821">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ф</w:t>
                  </w:r>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схема електрозабезпечення (однофазна або трифазна);</w:t>
                  </w:r>
                </w:p>
              </w:tc>
            </w:tr>
            <w:tr w:rsidR="00550821" w:rsidRPr="00550821" w:rsidTr="00550821">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roofErr w:type="spellStart"/>
                  <w:r w:rsidRPr="00550821">
                    <w:rPr>
                      <w:rFonts w:ascii="Times New Roman" w:eastAsia="Times New Roman" w:hAnsi="Times New Roman" w:cs="Times New Roman"/>
                      <w:sz w:val="24"/>
                      <w:szCs w:val="24"/>
                      <w:lang w:eastAsia="uk-UA"/>
                    </w:rPr>
                    <w:t>місц</w:t>
                  </w:r>
                  <w:proofErr w:type="spellEnd"/>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місцезнаходження електроустановок замовника (міська, сільська місцевість).</w:t>
                  </w:r>
                </w:p>
              </w:tc>
            </w:tr>
          </w:tbl>
          <w:p w:rsidR="00156F6C" w:rsidRPr="00156F6C" w:rsidRDefault="00156F6C" w:rsidP="00156F6C">
            <w:pPr>
              <w:shd w:val="clear" w:color="auto" w:fill="FFFFFF"/>
              <w:spacing w:after="150"/>
              <w:ind w:firstLine="450"/>
              <w:jc w:val="both"/>
              <w:rPr>
                <w:rFonts w:ascii="Times New Roman" w:eastAsia="Times New Roman" w:hAnsi="Times New Roman" w:cs="Times New Roman"/>
                <w:sz w:val="24"/>
                <w:szCs w:val="24"/>
                <w:lang w:eastAsia="uk-UA"/>
              </w:rPr>
            </w:pPr>
          </w:p>
        </w:tc>
        <w:tc>
          <w:tcPr>
            <w:tcW w:w="7939" w:type="dxa"/>
          </w:tcPr>
          <w:p w:rsidR="00550821" w:rsidRPr="00550821" w:rsidRDefault="00550821" w:rsidP="00550821">
            <w:pPr>
              <w:shd w:val="clear" w:color="auto" w:fill="FFFFFF"/>
              <w:spacing w:after="150"/>
              <w:ind w:firstLine="450"/>
              <w:jc w:val="both"/>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lastRenderedPageBreak/>
              <w:t>3.1. Плата за стандартне приєднання </w:t>
            </w:r>
            <w:proofErr w:type="spellStart"/>
            <w:r w:rsidRPr="00550821">
              <w:rPr>
                <w:rFonts w:ascii="Times New Roman" w:eastAsia="Times New Roman" w:hAnsi="Times New Roman" w:cs="Times New Roman"/>
                <w:b/>
                <w:bCs/>
                <w:sz w:val="24"/>
                <w:szCs w:val="24"/>
                <w:lang w:eastAsia="uk-UA"/>
              </w:rPr>
              <w:t>П</w:t>
            </w:r>
            <w:r w:rsidRPr="00550821">
              <w:rPr>
                <w:rFonts w:ascii="Times New Roman" w:eastAsia="Times New Roman" w:hAnsi="Times New Roman" w:cs="Times New Roman"/>
                <w:b/>
                <w:bCs/>
                <w:sz w:val="16"/>
                <w:szCs w:val="16"/>
                <w:vertAlign w:val="subscript"/>
                <w:lang w:eastAsia="uk-UA"/>
              </w:rPr>
              <w:t>ст</w:t>
            </w:r>
            <w:proofErr w:type="spellEnd"/>
            <w:r w:rsidRPr="00550821">
              <w:rPr>
                <w:rFonts w:ascii="Times New Roman" w:eastAsia="Times New Roman" w:hAnsi="Times New Roman" w:cs="Times New Roman"/>
                <w:sz w:val="24"/>
                <w:szCs w:val="24"/>
                <w:lang w:eastAsia="uk-UA"/>
              </w:rPr>
              <w:t> розраховується за формулою</w:t>
            </w:r>
          </w:p>
          <w:tbl>
            <w:tblPr>
              <w:tblW w:w="5000" w:type="pct"/>
              <w:tblCellMar>
                <w:top w:w="15" w:type="dxa"/>
                <w:left w:w="15" w:type="dxa"/>
                <w:bottom w:w="15" w:type="dxa"/>
                <w:right w:w="15" w:type="dxa"/>
              </w:tblCellMar>
              <w:tblLook w:val="04A0" w:firstRow="1" w:lastRow="0" w:firstColumn="1" w:lastColumn="0" w:noHBand="0" w:noVBand="1"/>
            </w:tblPr>
            <w:tblGrid>
              <w:gridCol w:w="420"/>
              <w:gridCol w:w="1275"/>
              <w:gridCol w:w="135"/>
              <w:gridCol w:w="5376"/>
              <w:gridCol w:w="511"/>
            </w:tblGrid>
            <w:tr w:rsidR="00550821" w:rsidRPr="00550821" w:rsidTr="003830F2">
              <w:tc>
                <w:tcPr>
                  <w:tcW w:w="8775" w:type="dxa"/>
                  <w:gridSpan w:val="4"/>
                  <w:tcBorders>
                    <w:top w:val="single" w:sz="2" w:space="0" w:color="auto"/>
                    <w:left w:val="single" w:sz="2" w:space="0" w:color="auto"/>
                    <w:bottom w:val="single" w:sz="2" w:space="0" w:color="auto"/>
                    <w:right w:val="single" w:sz="2" w:space="0" w:color="auto"/>
                  </w:tcBorders>
                  <w:hideMark/>
                </w:tcPr>
                <w:p w:rsidR="00550821" w:rsidRPr="00550821" w:rsidRDefault="00E22980" w:rsidP="00550821">
                  <w:pPr>
                    <w:spacing w:before="150" w:after="150" w:line="240" w:lineRule="auto"/>
                    <w:jc w:val="center"/>
                    <w:rPr>
                      <w:rFonts w:ascii="Times New Roman" w:eastAsia="Times New Roman" w:hAnsi="Times New Roman" w:cs="Times New Roman"/>
                      <w:sz w:val="24"/>
                      <w:szCs w:val="24"/>
                      <w:lang w:eastAsia="uk-UA"/>
                    </w:rPr>
                  </w:pPr>
                  <m:oMathPara>
                    <m:oMath>
                      <m:sSub>
                        <m:sSubPr>
                          <m:ctrlPr>
                            <w:rPr>
                              <w:rFonts w:ascii="Cambria Math" w:eastAsia="Times New Roman" w:hAnsi="Cambria Math" w:cs="Times New Roman"/>
                              <w:i/>
                              <w:sz w:val="32"/>
                              <w:szCs w:val="24"/>
                              <w:lang w:eastAsia="uk-UA"/>
                            </w:rPr>
                          </m:ctrlPr>
                        </m:sSubPr>
                        <m:e>
                          <m:r>
                            <w:rPr>
                              <w:rFonts w:ascii="Cambria Math" w:eastAsia="Times New Roman" w:hAnsi="Cambria Math" w:cs="Times New Roman"/>
                              <w:sz w:val="32"/>
                              <w:szCs w:val="24"/>
                              <w:lang w:eastAsia="uk-UA"/>
                            </w:rPr>
                            <m:t>П</m:t>
                          </m:r>
                        </m:e>
                        <m:sub>
                          <m:r>
                            <w:rPr>
                              <w:rFonts w:ascii="Cambria Math" w:eastAsia="Times New Roman" w:hAnsi="Cambria Math" w:cs="Times New Roman"/>
                              <w:sz w:val="32"/>
                              <w:szCs w:val="24"/>
                              <w:lang w:eastAsia="uk-UA"/>
                            </w:rPr>
                            <m:t>ст</m:t>
                          </m:r>
                        </m:sub>
                      </m:sSub>
                      <m:r>
                        <w:rPr>
                          <w:rFonts w:ascii="Cambria Math" w:eastAsia="Times New Roman" w:hAnsi="Cambria Math" w:cs="Times New Roman"/>
                          <w:sz w:val="32"/>
                          <w:szCs w:val="24"/>
                          <w:lang w:eastAsia="uk-UA"/>
                        </w:rPr>
                        <m:t xml:space="preserve">= </m:t>
                      </m:r>
                      <m:sSub>
                        <m:sSubPr>
                          <m:ctrlPr>
                            <w:rPr>
                              <w:rFonts w:ascii="Cambria Math" w:eastAsia="Times New Roman" w:hAnsi="Cambria Math" w:cs="Times New Roman"/>
                              <w:i/>
                              <w:sz w:val="32"/>
                              <w:szCs w:val="24"/>
                              <w:lang w:eastAsia="uk-UA"/>
                            </w:rPr>
                          </m:ctrlPr>
                        </m:sSubPr>
                        <m:e>
                          <m:r>
                            <w:rPr>
                              <w:rFonts w:ascii="Cambria Math" w:eastAsia="Times New Roman" w:hAnsi="Cambria Math" w:cs="Times New Roman"/>
                              <w:sz w:val="32"/>
                              <w:szCs w:val="24"/>
                              <w:lang w:eastAsia="uk-UA"/>
                            </w:rPr>
                            <m:t>Р</m:t>
                          </m:r>
                        </m:e>
                        <m:sub>
                          <m:r>
                            <w:rPr>
                              <w:rFonts w:ascii="Cambria Math" w:eastAsia="Times New Roman" w:hAnsi="Cambria Math" w:cs="Times New Roman"/>
                              <w:sz w:val="32"/>
                              <w:szCs w:val="24"/>
                              <w:lang w:eastAsia="uk-UA"/>
                            </w:rPr>
                            <m:t>замовл</m:t>
                          </m:r>
                        </m:sub>
                      </m:sSub>
                      <m:r>
                        <w:rPr>
                          <w:rFonts w:ascii="Cambria Math" w:eastAsia="Times New Roman" w:hAnsi="Cambria Math" w:cs="Times New Roman"/>
                          <w:sz w:val="32"/>
                          <w:szCs w:val="24"/>
                          <w:lang w:eastAsia="uk-UA"/>
                        </w:rPr>
                        <m:t xml:space="preserve">× </m:t>
                      </m:r>
                      <m:sSubSup>
                        <m:sSubSupPr>
                          <m:ctrlPr>
                            <w:rPr>
                              <w:rFonts w:ascii="Cambria Math" w:eastAsia="Times New Roman" w:hAnsi="Cambria Math" w:cs="Times New Roman"/>
                              <w:i/>
                              <w:sz w:val="32"/>
                              <w:szCs w:val="24"/>
                              <w:lang w:eastAsia="uk-UA"/>
                            </w:rPr>
                          </m:ctrlPr>
                        </m:sSubSupPr>
                        <m:e>
                          <m:r>
                            <w:rPr>
                              <w:rFonts w:ascii="Cambria Math" w:eastAsia="Times New Roman" w:hAnsi="Cambria Math" w:cs="Times New Roman"/>
                              <w:sz w:val="32"/>
                              <w:szCs w:val="24"/>
                              <w:lang w:eastAsia="uk-UA"/>
                            </w:rPr>
                            <m:t>С</m:t>
                          </m:r>
                        </m:e>
                        <m:sub>
                          <m:r>
                            <w:rPr>
                              <w:rFonts w:ascii="Cambria Math" w:eastAsia="Times New Roman" w:hAnsi="Cambria Math" w:cs="Times New Roman"/>
                              <w:sz w:val="32"/>
                              <w:szCs w:val="24"/>
                              <w:lang w:eastAsia="uk-UA"/>
                            </w:rPr>
                            <m:t>ст</m:t>
                          </m:r>
                        </m:sub>
                        <m:sup>
                          <m:r>
                            <m:rPr>
                              <m:sty m:val="bi"/>
                            </m:rPr>
                            <w:rPr>
                              <w:rFonts w:ascii="Cambria Math" w:eastAsia="Times New Roman" w:hAnsi="Cambria Math" w:cs="Times New Roman"/>
                              <w:sz w:val="32"/>
                              <w:szCs w:val="24"/>
                              <w:lang w:eastAsia="uk-UA"/>
                            </w:rPr>
                            <m:t>с</m:t>
                          </m:r>
                          <m:r>
                            <w:rPr>
                              <w:rFonts w:ascii="Cambria Math" w:eastAsia="Times New Roman" w:hAnsi="Cambria Math" w:cs="Times New Roman"/>
                              <w:sz w:val="32"/>
                              <w:szCs w:val="24"/>
                              <w:lang w:eastAsia="uk-UA"/>
                            </w:rPr>
                            <m:t>, к,н,ф,місц</m:t>
                          </m:r>
                        </m:sup>
                      </m:sSubSup>
                      <m:r>
                        <w:rPr>
                          <w:rFonts w:ascii="Cambria Math" w:eastAsia="Times New Roman" w:hAnsi="Cambria Math" w:cs="Times New Roman"/>
                          <w:sz w:val="32"/>
                          <w:szCs w:val="24"/>
                          <w:lang w:eastAsia="uk-UA"/>
                        </w:rPr>
                        <m:t xml:space="preserve"> , тис. грн</m:t>
                      </m:r>
                    </m:oMath>
                  </m:oMathPara>
                </w:p>
              </w:tc>
              <w:tc>
                <w:tcPr>
                  <w:tcW w:w="1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right"/>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(1)</w:t>
                  </w:r>
                </w:p>
              </w:tc>
            </w:tr>
            <w:tr w:rsidR="00550821" w:rsidRPr="00550821" w:rsidTr="003830F2">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де</w:t>
                  </w: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Р</w:t>
                  </w:r>
                  <w:r w:rsidRPr="00550821">
                    <w:rPr>
                      <w:rFonts w:ascii="Times New Roman" w:eastAsia="Times New Roman" w:hAnsi="Times New Roman" w:cs="Times New Roman"/>
                      <w:sz w:val="16"/>
                      <w:szCs w:val="16"/>
                      <w:lang w:eastAsia="uk-UA"/>
                    </w:rPr>
                    <w:t> </w:t>
                  </w:r>
                  <w:proofErr w:type="spellStart"/>
                  <w:r w:rsidRPr="00550821">
                    <w:rPr>
                      <w:rFonts w:ascii="Times New Roman" w:eastAsia="Times New Roman" w:hAnsi="Times New Roman" w:cs="Times New Roman"/>
                      <w:b/>
                      <w:bCs/>
                      <w:sz w:val="16"/>
                      <w:szCs w:val="16"/>
                      <w:vertAlign w:val="subscript"/>
                      <w:lang w:eastAsia="uk-UA"/>
                    </w:rPr>
                    <w:t>замовл</w:t>
                  </w:r>
                  <w:proofErr w:type="spellEnd"/>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потужність, замовлена до приєднання електроустановок замовника, кВт;</w:t>
                  </w:r>
                </w:p>
              </w:tc>
            </w:tr>
            <w:tr w:rsidR="00550821" w:rsidRPr="00550821" w:rsidTr="003830F2">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noProof/>
                      <w:sz w:val="24"/>
                      <w:szCs w:val="24"/>
                      <w:lang w:eastAsia="uk-UA"/>
                    </w:rPr>
                    <w:drawing>
                      <wp:inline distT="0" distB="0" distL="0" distR="0" wp14:anchorId="1F05650F" wp14:editId="2D02C5DE">
                        <wp:extent cx="704850" cy="257175"/>
                        <wp:effectExtent l="0" t="0" r="0" b="9525"/>
                        <wp:docPr id="82" name="Рисунок 82" descr="https://zakon.rada.gov.ua/laws/file/imgs/85/p480243n232-1.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85/p480243n232-1.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4850" cy="257175"/>
                                </a:xfrm>
                                <a:prstGeom prst="rect">
                                  <a:avLst/>
                                </a:prstGeom>
                                <a:noFill/>
                                <a:ln>
                                  <a:noFill/>
                                </a:ln>
                              </pic:spPr>
                            </pic:pic>
                          </a:graphicData>
                        </a:graphic>
                      </wp:inline>
                    </w:drawing>
                  </w:r>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ставка плати за стандартне приєднання, тис. грн/кВт, яка диференціюється за такими індексами:</w:t>
                  </w:r>
                </w:p>
              </w:tc>
            </w:tr>
            <w:tr w:rsidR="00550821" w:rsidRPr="00550821" w:rsidTr="003830F2">
              <w:tc>
                <w:tcPr>
                  <w:tcW w:w="420" w:type="dxa"/>
                  <w:tcBorders>
                    <w:top w:val="single" w:sz="2" w:space="0" w:color="auto"/>
                    <w:left w:val="single" w:sz="2" w:space="0" w:color="auto"/>
                    <w:bottom w:val="single" w:sz="2" w:space="0" w:color="auto"/>
                    <w:right w:val="single" w:sz="2" w:space="0" w:color="auto"/>
                  </w:tcBorders>
                </w:tcPr>
                <w:p w:rsidR="00550821" w:rsidRPr="00550821" w:rsidRDefault="00550821" w:rsidP="00550821">
                  <w:pPr>
                    <w:spacing w:before="150" w:after="150" w:line="240" w:lineRule="auto"/>
                    <w:rPr>
                      <w:rFonts w:ascii="Times New Roman" w:eastAsia="Times New Roman" w:hAnsi="Times New Roman" w:cs="Times New Roman"/>
                      <w:b/>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tcPr>
                <w:p w:rsidR="00550821" w:rsidRPr="00550821" w:rsidRDefault="00550821" w:rsidP="00550821">
                  <w:pPr>
                    <w:spacing w:before="150" w:after="150" w:line="240" w:lineRule="auto"/>
                    <w:rPr>
                      <w:rFonts w:ascii="Times New Roman" w:eastAsia="Times New Roman" w:hAnsi="Times New Roman" w:cs="Times New Roman"/>
                      <w:b/>
                      <w:noProof/>
                      <w:sz w:val="24"/>
                      <w:szCs w:val="24"/>
                      <w:lang w:eastAsia="uk-UA"/>
                    </w:rPr>
                  </w:pPr>
                  <w:r w:rsidRPr="00550821">
                    <w:rPr>
                      <w:rFonts w:ascii="Times New Roman" w:eastAsia="Times New Roman" w:hAnsi="Times New Roman" w:cs="Times New Roman"/>
                      <w:b/>
                      <w:noProof/>
                      <w:sz w:val="24"/>
                      <w:szCs w:val="24"/>
                      <w:lang w:eastAsia="uk-UA"/>
                    </w:rPr>
                    <w:t>с</w:t>
                  </w:r>
                </w:p>
              </w:tc>
              <w:tc>
                <w:tcPr>
                  <w:tcW w:w="135" w:type="dxa"/>
                  <w:tcBorders>
                    <w:top w:val="single" w:sz="2" w:space="0" w:color="auto"/>
                    <w:left w:val="single" w:sz="2" w:space="0" w:color="auto"/>
                    <w:bottom w:val="single" w:sz="2" w:space="0" w:color="auto"/>
                    <w:right w:val="single" w:sz="2" w:space="0" w:color="auto"/>
                  </w:tcBorders>
                </w:tcPr>
                <w:p w:rsidR="00550821" w:rsidRPr="00550821" w:rsidRDefault="00550821" w:rsidP="00550821">
                  <w:pPr>
                    <w:spacing w:before="150" w:after="150" w:line="240" w:lineRule="auto"/>
                    <w:jc w:val="center"/>
                    <w:rPr>
                      <w:rFonts w:ascii="Times New Roman" w:eastAsia="Times New Roman" w:hAnsi="Times New Roman" w:cs="Times New Roman"/>
                      <w:b/>
                      <w:sz w:val="24"/>
                      <w:szCs w:val="24"/>
                      <w:lang w:eastAsia="uk-UA"/>
                    </w:rPr>
                  </w:pPr>
                  <w:r w:rsidRPr="00550821">
                    <w:rPr>
                      <w:rFonts w:ascii="Times New Roman" w:eastAsia="Times New Roman" w:hAnsi="Times New Roman" w:cs="Times New Roman"/>
                      <w:b/>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tcPr>
                <w:p w:rsidR="00550821" w:rsidRPr="00550821" w:rsidRDefault="00550821" w:rsidP="00550821">
                  <w:pPr>
                    <w:spacing w:before="150" w:after="150" w:line="240" w:lineRule="auto"/>
                    <w:rPr>
                      <w:rFonts w:ascii="Times New Roman" w:eastAsia="Times New Roman" w:hAnsi="Times New Roman" w:cs="Times New Roman"/>
                      <w:b/>
                      <w:sz w:val="24"/>
                      <w:szCs w:val="24"/>
                      <w:lang w:eastAsia="uk-UA"/>
                    </w:rPr>
                  </w:pPr>
                  <w:r w:rsidRPr="00550821">
                    <w:rPr>
                      <w:rFonts w:ascii="Times New Roman" w:eastAsia="Times New Roman" w:hAnsi="Times New Roman" w:cs="Times New Roman"/>
                      <w:b/>
                      <w:sz w:val="24"/>
                      <w:szCs w:val="24"/>
                      <w:lang w:eastAsia="uk-UA"/>
                    </w:rPr>
                    <w:t>ступінь стандартного приєднання відповідно до Кодексу систем розподілу</w:t>
                  </w:r>
                  <w:r w:rsidR="009C4FBA">
                    <w:rPr>
                      <w:rFonts w:ascii="Times New Roman" w:eastAsia="Times New Roman" w:hAnsi="Times New Roman" w:cs="Times New Roman"/>
                      <w:b/>
                      <w:sz w:val="24"/>
                      <w:szCs w:val="24"/>
                      <w:lang w:eastAsia="uk-UA"/>
                    </w:rPr>
                    <w:t>;</w:t>
                  </w:r>
                </w:p>
              </w:tc>
            </w:tr>
            <w:tr w:rsidR="00550821" w:rsidRPr="00550821" w:rsidTr="003830F2">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к</w:t>
                  </w:r>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категорія надійності електропостачання згідно з Правилами улаштування електроустановок (далі - ПУЕ), заявлена замовником;</w:t>
                  </w:r>
                </w:p>
              </w:tc>
            </w:tr>
            <w:tr w:rsidR="00550821" w:rsidRPr="00550821" w:rsidTr="003830F2">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н</w:t>
                  </w:r>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індекс рівня напруги в точці приєднання (0,4(0,23); 6(10)20);</w:t>
                  </w:r>
                </w:p>
              </w:tc>
            </w:tr>
            <w:tr w:rsidR="00550821" w:rsidRPr="00550821" w:rsidTr="003830F2">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ф</w:t>
                  </w:r>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схема електрозабезпечення (однофазна або трифазна);</w:t>
                  </w:r>
                </w:p>
              </w:tc>
            </w:tr>
            <w:tr w:rsidR="00550821" w:rsidRPr="00550821" w:rsidTr="003830F2">
              <w:tc>
                <w:tcPr>
                  <w:tcW w:w="420"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
              </w:tc>
              <w:tc>
                <w:tcPr>
                  <w:tcW w:w="127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proofErr w:type="spellStart"/>
                  <w:r w:rsidRPr="00550821">
                    <w:rPr>
                      <w:rFonts w:ascii="Times New Roman" w:eastAsia="Times New Roman" w:hAnsi="Times New Roman" w:cs="Times New Roman"/>
                      <w:sz w:val="24"/>
                      <w:szCs w:val="24"/>
                      <w:lang w:eastAsia="uk-UA"/>
                    </w:rPr>
                    <w:t>місц</w:t>
                  </w:r>
                  <w:proofErr w:type="spellEnd"/>
                </w:p>
              </w:tc>
              <w:tc>
                <w:tcPr>
                  <w:tcW w:w="135" w:type="dxa"/>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jc w:val="center"/>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w:t>
                  </w:r>
                </w:p>
              </w:tc>
              <w:tc>
                <w:tcPr>
                  <w:tcW w:w="7530" w:type="dxa"/>
                  <w:gridSpan w:val="2"/>
                  <w:tcBorders>
                    <w:top w:val="single" w:sz="2" w:space="0" w:color="auto"/>
                    <w:left w:val="single" w:sz="2" w:space="0" w:color="auto"/>
                    <w:bottom w:val="single" w:sz="2" w:space="0" w:color="auto"/>
                    <w:right w:val="single" w:sz="2" w:space="0" w:color="auto"/>
                  </w:tcBorders>
                  <w:hideMark/>
                </w:tcPr>
                <w:p w:rsidR="00550821" w:rsidRPr="00550821" w:rsidRDefault="00550821" w:rsidP="00550821">
                  <w:pPr>
                    <w:spacing w:before="150" w:after="150" w:line="240" w:lineRule="auto"/>
                    <w:rPr>
                      <w:rFonts w:ascii="Times New Roman" w:eastAsia="Times New Roman" w:hAnsi="Times New Roman" w:cs="Times New Roman"/>
                      <w:sz w:val="24"/>
                      <w:szCs w:val="24"/>
                      <w:lang w:eastAsia="uk-UA"/>
                    </w:rPr>
                  </w:pPr>
                  <w:r w:rsidRPr="00550821">
                    <w:rPr>
                      <w:rFonts w:ascii="Times New Roman" w:eastAsia="Times New Roman" w:hAnsi="Times New Roman" w:cs="Times New Roman"/>
                      <w:sz w:val="24"/>
                      <w:szCs w:val="24"/>
                      <w:lang w:eastAsia="uk-UA"/>
                    </w:rPr>
                    <w:t>місцезнаходження електроустановок замовника (міська, сільська місцевість).</w:t>
                  </w:r>
                </w:p>
              </w:tc>
            </w:tr>
          </w:tbl>
          <w:p w:rsidR="00156F6C" w:rsidRPr="00156F6C" w:rsidRDefault="00156F6C" w:rsidP="00156F6C">
            <w:pPr>
              <w:shd w:val="clear" w:color="auto" w:fill="FFFFFF"/>
              <w:spacing w:after="150"/>
              <w:ind w:firstLine="450"/>
              <w:jc w:val="both"/>
              <w:rPr>
                <w:rFonts w:ascii="Times New Roman" w:eastAsia="Times New Roman" w:hAnsi="Times New Roman" w:cs="Times New Roman"/>
                <w:sz w:val="24"/>
                <w:szCs w:val="24"/>
                <w:lang w:eastAsia="uk-UA"/>
              </w:rPr>
            </w:pPr>
          </w:p>
        </w:tc>
      </w:tr>
      <w:tr w:rsidR="00156F6C" w:rsidRPr="00651365" w:rsidTr="0018178C">
        <w:trPr>
          <w:trHeight w:val="708"/>
        </w:trPr>
        <w:tc>
          <w:tcPr>
            <w:tcW w:w="7938" w:type="dxa"/>
          </w:tcPr>
          <w:p w:rsidR="00156F6C" w:rsidRPr="00156F6C" w:rsidRDefault="00156F6C" w:rsidP="00156F6C">
            <w:pPr>
              <w:shd w:val="clear" w:color="auto" w:fill="FFFFFF"/>
              <w:spacing w:after="150"/>
              <w:ind w:firstLine="450"/>
              <w:jc w:val="both"/>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lastRenderedPageBreak/>
              <w:t>3.2. Ставки плати за стандартне приєднання </w:t>
            </w:r>
            <w:r w:rsidRPr="00156F6C">
              <w:rPr>
                <w:rFonts w:ascii="Times New Roman" w:eastAsia="Times New Roman" w:hAnsi="Times New Roman" w:cs="Times New Roman"/>
                <w:noProof/>
                <w:sz w:val="24"/>
                <w:szCs w:val="24"/>
                <w:lang w:eastAsia="uk-UA"/>
              </w:rPr>
              <w:drawing>
                <wp:inline distT="0" distB="0" distL="0" distR="0">
                  <wp:extent cx="647700" cy="314325"/>
                  <wp:effectExtent l="0" t="0" r="0" b="9525"/>
                  <wp:docPr id="75" name="Рисунок 75" descr="https://zakon.rada.gov.ua/laws/file/imgs/117/p480243n233v1-2.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7/p480243n233v1-2.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314325"/>
                          </a:xfrm>
                          <a:prstGeom prst="rect">
                            <a:avLst/>
                          </a:prstGeom>
                          <a:noFill/>
                          <a:ln>
                            <a:noFill/>
                          </a:ln>
                        </pic:spPr>
                      </pic:pic>
                    </a:graphicData>
                  </a:graphic>
                </wp:inline>
              </w:drawing>
            </w:r>
            <w:r w:rsidRPr="00156F6C">
              <w:rPr>
                <w:rFonts w:ascii="Times New Roman" w:eastAsia="Times New Roman" w:hAnsi="Times New Roman" w:cs="Times New Roman"/>
                <w:sz w:val="24"/>
                <w:szCs w:val="24"/>
                <w:lang w:eastAsia="uk-UA"/>
              </w:rPr>
              <w:t> затверджуються НКРЕКП на розрахунковий період та розраховуються за формулою</w:t>
            </w:r>
          </w:p>
          <w:tbl>
            <w:tblPr>
              <w:tblW w:w="5000" w:type="pct"/>
              <w:tblCellMar>
                <w:top w:w="60" w:type="dxa"/>
                <w:left w:w="60" w:type="dxa"/>
                <w:bottom w:w="60" w:type="dxa"/>
                <w:right w:w="60" w:type="dxa"/>
              </w:tblCellMar>
              <w:tblLook w:val="04A0" w:firstRow="1" w:lastRow="0" w:firstColumn="1" w:lastColumn="0" w:noHBand="0" w:noVBand="1"/>
            </w:tblPr>
            <w:tblGrid>
              <w:gridCol w:w="360"/>
              <w:gridCol w:w="1065"/>
              <w:gridCol w:w="195"/>
              <w:gridCol w:w="5525"/>
              <w:gridCol w:w="571"/>
            </w:tblGrid>
            <w:tr w:rsidR="00156F6C" w:rsidRPr="00156F6C" w:rsidTr="00156F6C">
              <w:tc>
                <w:tcPr>
                  <w:tcW w:w="8205" w:type="dxa"/>
                  <w:gridSpan w:val="4"/>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bookmarkStart w:id="9" w:name="n433"/>
                  <w:bookmarkEnd w:id="9"/>
                  <w:r w:rsidRPr="00156F6C">
                    <w:rPr>
                      <w:rFonts w:ascii="Times New Roman" w:eastAsia="Times New Roman" w:hAnsi="Times New Roman" w:cs="Times New Roman"/>
                      <w:noProof/>
                      <w:sz w:val="24"/>
                      <w:szCs w:val="24"/>
                      <w:lang w:eastAsia="uk-UA"/>
                    </w:rPr>
                    <w:drawing>
                      <wp:inline distT="0" distB="0" distL="0" distR="0">
                        <wp:extent cx="4314825" cy="381000"/>
                        <wp:effectExtent l="0" t="0" r="9525" b="0"/>
                        <wp:docPr id="74" name="Рисунок 74" descr="https://zakon.rada.gov.ua/laws/file/imgs/117/p480243n433-3.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7/p480243n433-3.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4825" cy="381000"/>
                                </a:xfrm>
                                <a:prstGeom prst="rect">
                                  <a:avLst/>
                                </a:prstGeom>
                                <a:noFill/>
                                <a:ln>
                                  <a:noFill/>
                                </a:ln>
                              </pic:spPr>
                            </pic:pic>
                          </a:graphicData>
                        </a:graphic>
                      </wp:inline>
                    </w:drawing>
                  </w:r>
                </w:p>
              </w:tc>
              <w:tc>
                <w:tcPr>
                  <w:tcW w:w="1410"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right"/>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(2)</w:t>
                  </w:r>
                </w:p>
              </w:tc>
            </w:tr>
            <w:tr w:rsidR="00156F6C" w:rsidRPr="00156F6C" w:rsidTr="00156F6C">
              <w:tblPrEx>
                <w:tblCellMar>
                  <w:top w:w="15" w:type="dxa"/>
                  <w:left w:w="15" w:type="dxa"/>
                  <w:bottom w:w="15" w:type="dxa"/>
                  <w:right w:w="15" w:type="dxa"/>
                </w:tblCellMar>
              </w:tblPrEx>
              <w:tc>
                <w:tcPr>
                  <w:tcW w:w="360"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bookmarkStart w:id="10" w:name="n434"/>
                  <w:bookmarkEnd w:id="10"/>
                  <w:r w:rsidRPr="00156F6C">
                    <w:rPr>
                      <w:rFonts w:ascii="Times New Roman" w:eastAsia="Times New Roman" w:hAnsi="Times New Roman" w:cs="Times New Roman"/>
                      <w:sz w:val="24"/>
                      <w:szCs w:val="24"/>
                      <w:lang w:eastAsia="uk-UA"/>
                    </w:rPr>
                    <w:t>де</w:t>
                  </w:r>
                </w:p>
              </w:tc>
              <w:tc>
                <w:tcPr>
                  <w:tcW w:w="106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r w:rsidRPr="00156F6C">
                    <w:rPr>
                      <w:rFonts w:ascii="Times New Roman" w:eastAsia="Times New Roman" w:hAnsi="Times New Roman" w:cs="Times New Roman"/>
                      <w:noProof/>
                      <w:sz w:val="24"/>
                      <w:szCs w:val="24"/>
                      <w:lang w:eastAsia="uk-UA"/>
                    </w:rPr>
                    <w:drawing>
                      <wp:inline distT="0" distB="0" distL="0" distR="0">
                        <wp:extent cx="609600" cy="295275"/>
                        <wp:effectExtent l="0" t="0" r="0" b="9525"/>
                        <wp:docPr id="73" name="Рисунок 73" descr="https://zakon.rada.gov.ua/laws/file/imgs/117/p480243n434-4.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7/p480243n434-4.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 cy="295275"/>
                                </a:xfrm>
                                <a:prstGeom prst="rect">
                                  <a:avLst/>
                                </a:prstGeom>
                                <a:noFill/>
                                <a:ln>
                                  <a:noFill/>
                                </a:ln>
                              </pic:spPr>
                            </pic:pic>
                          </a:graphicData>
                        </a:graphic>
                      </wp:inline>
                    </w:drawing>
                  </w:r>
                </w:p>
              </w:tc>
              <w:tc>
                <w:tcPr>
                  <w:tcW w:w="19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w:t>
                  </w:r>
                </w:p>
              </w:tc>
              <w:tc>
                <w:tcPr>
                  <w:tcW w:w="7755" w:type="dxa"/>
                  <w:gridSpan w:val="2"/>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питома вартість приєднання 1 кВт потужності електроустановок замовника визначена згідно з додатком 9 до цієї Методики станом на 01 січня 2025 року;</w:t>
                  </w:r>
                </w:p>
              </w:tc>
            </w:tr>
            <w:tr w:rsidR="00156F6C" w:rsidRPr="00156F6C" w:rsidTr="00156F6C">
              <w:tblPrEx>
                <w:tblCellMar>
                  <w:top w:w="15" w:type="dxa"/>
                  <w:left w:w="15" w:type="dxa"/>
                  <w:bottom w:w="15" w:type="dxa"/>
                  <w:right w:w="15" w:type="dxa"/>
                </w:tblCellMar>
              </w:tblPrEx>
              <w:tc>
                <w:tcPr>
                  <w:tcW w:w="360"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106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8"/>
                      <w:szCs w:val="24"/>
                      <w:lang w:eastAsia="uk-UA"/>
                    </w:rPr>
                  </w:pPr>
                  <w:proofErr w:type="spellStart"/>
                  <w:r w:rsidRPr="00156F6C">
                    <w:rPr>
                      <w:rFonts w:ascii="Times New Roman" w:eastAsia="Times New Roman" w:hAnsi="Times New Roman" w:cs="Times New Roman"/>
                      <w:sz w:val="28"/>
                      <w:szCs w:val="24"/>
                      <w:lang w:eastAsia="uk-UA"/>
                    </w:rPr>
                    <w:t>К</w:t>
                  </w:r>
                  <w:r w:rsidRPr="00156F6C">
                    <w:rPr>
                      <w:rFonts w:ascii="Times New Roman" w:eastAsia="Times New Roman" w:hAnsi="Times New Roman" w:cs="Times New Roman"/>
                      <w:b/>
                      <w:bCs/>
                      <w:sz w:val="28"/>
                      <w:szCs w:val="16"/>
                      <w:vertAlign w:val="subscript"/>
                      <w:lang w:eastAsia="uk-UA"/>
                    </w:rPr>
                    <w:t>інд</w:t>
                  </w:r>
                  <w:proofErr w:type="spellEnd"/>
                </w:p>
              </w:tc>
              <w:tc>
                <w:tcPr>
                  <w:tcW w:w="19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7755" w:type="dxa"/>
                  <w:gridSpan w:val="2"/>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У разі відсутності затвердженого відповідною постановою Кабінету Міністрів України прогнозного індексу цін виробників промислової продукції, застосовується індекс, врахований у Державному бюджеті України на відповідний рік;</w:t>
                  </w:r>
                </w:p>
              </w:tc>
            </w:tr>
            <w:tr w:rsidR="00156F6C" w:rsidRPr="00156F6C" w:rsidTr="00156F6C">
              <w:tblPrEx>
                <w:tblCellMar>
                  <w:top w:w="15" w:type="dxa"/>
                  <w:left w:w="15" w:type="dxa"/>
                  <w:bottom w:w="15" w:type="dxa"/>
                  <w:right w:w="15" w:type="dxa"/>
                </w:tblCellMar>
              </w:tblPrEx>
              <w:tc>
                <w:tcPr>
                  <w:tcW w:w="360"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106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8"/>
                      <w:szCs w:val="24"/>
                      <w:lang w:eastAsia="uk-UA"/>
                    </w:rPr>
                  </w:pPr>
                  <w:proofErr w:type="spellStart"/>
                  <w:r w:rsidRPr="00156F6C">
                    <w:rPr>
                      <w:rFonts w:ascii="Times New Roman" w:eastAsia="Times New Roman" w:hAnsi="Times New Roman" w:cs="Times New Roman"/>
                      <w:sz w:val="28"/>
                      <w:szCs w:val="24"/>
                      <w:lang w:eastAsia="uk-UA"/>
                    </w:rPr>
                    <w:t>К</w:t>
                  </w:r>
                  <w:r w:rsidRPr="00156F6C">
                    <w:rPr>
                      <w:rFonts w:ascii="Times New Roman" w:eastAsia="Times New Roman" w:hAnsi="Times New Roman" w:cs="Times New Roman"/>
                      <w:b/>
                      <w:bCs/>
                      <w:sz w:val="28"/>
                      <w:szCs w:val="16"/>
                      <w:vertAlign w:val="subscript"/>
                      <w:lang w:eastAsia="uk-UA"/>
                    </w:rPr>
                    <w:t>к</w:t>
                  </w:r>
                  <w:proofErr w:type="spellEnd"/>
                </w:p>
              </w:tc>
              <w:tc>
                <w:tcPr>
                  <w:tcW w:w="19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7755" w:type="dxa"/>
                  <w:gridSpan w:val="2"/>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коефіцієнт категорії надійності електропостачання (додаток 3 до цієї Методики);</w:t>
                  </w:r>
                </w:p>
              </w:tc>
            </w:tr>
            <w:tr w:rsidR="00156F6C" w:rsidRPr="00156F6C" w:rsidTr="00156F6C">
              <w:tblPrEx>
                <w:tblCellMar>
                  <w:top w:w="15" w:type="dxa"/>
                  <w:left w:w="15" w:type="dxa"/>
                  <w:bottom w:w="15" w:type="dxa"/>
                  <w:right w:w="15" w:type="dxa"/>
                </w:tblCellMar>
              </w:tblPrEx>
              <w:tc>
                <w:tcPr>
                  <w:tcW w:w="360"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106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8"/>
                      <w:szCs w:val="24"/>
                      <w:lang w:eastAsia="uk-UA"/>
                    </w:rPr>
                  </w:pPr>
                  <w:proofErr w:type="spellStart"/>
                  <w:r w:rsidRPr="00156F6C">
                    <w:rPr>
                      <w:rFonts w:ascii="Times New Roman" w:eastAsia="Times New Roman" w:hAnsi="Times New Roman" w:cs="Times New Roman"/>
                      <w:sz w:val="28"/>
                      <w:szCs w:val="24"/>
                      <w:lang w:eastAsia="uk-UA"/>
                    </w:rPr>
                    <w:t>К</w:t>
                  </w:r>
                  <w:r w:rsidRPr="00156F6C">
                    <w:rPr>
                      <w:rFonts w:ascii="Times New Roman" w:eastAsia="Times New Roman" w:hAnsi="Times New Roman" w:cs="Times New Roman"/>
                      <w:b/>
                      <w:bCs/>
                      <w:sz w:val="28"/>
                      <w:szCs w:val="16"/>
                      <w:vertAlign w:val="subscript"/>
                      <w:lang w:eastAsia="uk-UA"/>
                    </w:rPr>
                    <w:t>н</w:t>
                  </w:r>
                  <w:proofErr w:type="spellEnd"/>
                </w:p>
              </w:tc>
              <w:tc>
                <w:tcPr>
                  <w:tcW w:w="19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7755" w:type="dxa"/>
                  <w:gridSpan w:val="2"/>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коефіцієнт ступеня напруги в точці приєднання (0,4 (0,23), 6(10)20 кВ) (додаток 4 до цієї Методики);</w:t>
                  </w:r>
                </w:p>
              </w:tc>
            </w:tr>
            <w:tr w:rsidR="00156F6C" w:rsidRPr="00156F6C" w:rsidTr="00156F6C">
              <w:tblPrEx>
                <w:tblCellMar>
                  <w:top w:w="15" w:type="dxa"/>
                  <w:left w:w="15" w:type="dxa"/>
                  <w:bottom w:w="15" w:type="dxa"/>
                  <w:right w:w="15" w:type="dxa"/>
                </w:tblCellMar>
              </w:tblPrEx>
              <w:tc>
                <w:tcPr>
                  <w:tcW w:w="360"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106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8"/>
                      <w:szCs w:val="24"/>
                      <w:lang w:eastAsia="uk-UA"/>
                    </w:rPr>
                  </w:pPr>
                  <w:proofErr w:type="spellStart"/>
                  <w:r w:rsidRPr="00156F6C">
                    <w:rPr>
                      <w:rFonts w:ascii="Times New Roman" w:eastAsia="Times New Roman" w:hAnsi="Times New Roman" w:cs="Times New Roman"/>
                      <w:sz w:val="28"/>
                      <w:szCs w:val="24"/>
                      <w:lang w:eastAsia="uk-UA"/>
                    </w:rPr>
                    <w:t>К</w:t>
                  </w:r>
                  <w:r w:rsidRPr="00156F6C">
                    <w:rPr>
                      <w:rFonts w:ascii="Times New Roman" w:eastAsia="Times New Roman" w:hAnsi="Times New Roman" w:cs="Times New Roman"/>
                      <w:b/>
                      <w:bCs/>
                      <w:sz w:val="28"/>
                      <w:szCs w:val="16"/>
                      <w:vertAlign w:val="subscript"/>
                      <w:lang w:eastAsia="uk-UA"/>
                    </w:rPr>
                    <w:t>ф</w:t>
                  </w:r>
                  <w:proofErr w:type="spellEnd"/>
                </w:p>
              </w:tc>
              <w:tc>
                <w:tcPr>
                  <w:tcW w:w="19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7755" w:type="dxa"/>
                  <w:gridSpan w:val="2"/>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коефіцієнт схеми електрозабезпечення (додаток 5 до цієї Методики).</w:t>
                  </w:r>
                </w:p>
              </w:tc>
            </w:tr>
          </w:tbl>
          <w:p w:rsidR="00156F6C" w:rsidRPr="00651365" w:rsidRDefault="00156F6C" w:rsidP="00156F6C">
            <w:pPr>
              <w:ind w:firstLine="606"/>
              <w:jc w:val="both"/>
              <w:rPr>
                <w:rFonts w:ascii="Times New Roman" w:eastAsia="Times New Roman" w:hAnsi="Times New Roman" w:cs="Times New Roman"/>
                <w:sz w:val="24"/>
                <w:szCs w:val="24"/>
              </w:rPr>
            </w:pPr>
          </w:p>
        </w:tc>
        <w:tc>
          <w:tcPr>
            <w:tcW w:w="7939" w:type="dxa"/>
          </w:tcPr>
          <w:p w:rsidR="00156F6C" w:rsidRPr="00156F6C" w:rsidRDefault="00156F6C" w:rsidP="00156F6C">
            <w:pPr>
              <w:shd w:val="clear" w:color="auto" w:fill="FFFFFF"/>
              <w:spacing w:after="150"/>
              <w:ind w:firstLine="450"/>
              <w:jc w:val="both"/>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lastRenderedPageBreak/>
              <w:t>3.2. Ставки плати за стандартне приєднання </w:t>
            </w:r>
            <m:oMath>
              <m:sSubSup>
                <m:sSubSupPr>
                  <m:ctrlPr>
                    <w:rPr>
                      <w:rFonts w:ascii="Cambria Math" w:eastAsia="Times New Roman" w:hAnsi="Cambria Math" w:cs="Times New Roman"/>
                      <w:i/>
                      <w:sz w:val="28"/>
                      <w:szCs w:val="24"/>
                      <w:lang w:eastAsia="uk-UA"/>
                    </w:rPr>
                  </m:ctrlPr>
                </m:sSubSupPr>
                <m:e>
                  <m:r>
                    <w:rPr>
                      <w:rFonts w:ascii="Cambria Math" w:eastAsia="Times New Roman" w:hAnsi="Cambria Math" w:cs="Times New Roman"/>
                      <w:sz w:val="28"/>
                      <w:szCs w:val="24"/>
                      <w:lang w:eastAsia="uk-UA"/>
                    </w:rPr>
                    <m:t>С</m:t>
                  </m:r>
                </m:e>
                <m:sub>
                  <m:r>
                    <w:rPr>
                      <w:rFonts w:ascii="Cambria Math" w:eastAsia="Times New Roman" w:hAnsi="Cambria Math" w:cs="Times New Roman"/>
                      <w:sz w:val="28"/>
                      <w:szCs w:val="24"/>
                      <w:lang w:eastAsia="uk-UA"/>
                    </w:rPr>
                    <m:t>ст</m:t>
                  </m:r>
                </m:sub>
                <m:sup>
                  <m:r>
                    <w:rPr>
                      <w:rFonts w:ascii="Cambria Math" w:eastAsia="Times New Roman" w:hAnsi="Cambria Math" w:cs="Times New Roman"/>
                      <w:sz w:val="28"/>
                      <w:szCs w:val="24"/>
                      <w:lang w:eastAsia="uk-UA"/>
                    </w:rPr>
                    <m:t>с,к,н,ф,місц</m:t>
                  </m:r>
                </m:sup>
              </m:sSubSup>
            </m:oMath>
            <w:r w:rsidRPr="00156F6C">
              <w:rPr>
                <w:rFonts w:ascii="Times New Roman" w:eastAsia="Times New Roman" w:hAnsi="Times New Roman" w:cs="Times New Roman"/>
                <w:sz w:val="24"/>
                <w:szCs w:val="24"/>
                <w:lang w:eastAsia="uk-UA"/>
              </w:rPr>
              <w:t> затверджуються НКРЕКП на розрахунковий період та розраховуються за формулою</w:t>
            </w:r>
          </w:p>
          <w:tbl>
            <w:tblPr>
              <w:tblW w:w="5000" w:type="pct"/>
              <w:tblCellMar>
                <w:top w:w="60" w:type="dxa"/>
                <w:left w:w="60" w:type="dxa"/>
                <w:bottom w:w="60" w:type="dxa"/>
                <w:right w:w="60" w:type="dxa"/>
              </w:tblCellMar>
              <w:tblLook w:val="04A0" w:firstRow="1" w:lastRow="0" w:firstColumn="1" w:lastColumn="0" w:noHBand="0" w:noVBand="1"/>
            </w:tblPr>
            <w:tblGrid>
              <w:gridCol w:w="334"/>
              <w:gridCol w:w="1055"/>
              <w:gridCol w:w="172"/>
              <w:gridCol w:w="5565"/>
              <w:gridCol w:w="591"/>
            </w:tblGrid>
            <w:tr w:rsidR="00156F6C" w:rsidRPr="00156F6C" w:rsidTr="00550821">
              <w:tc>
                <w:tcPr>
                  <w:tcW w:w="7126" w:type="dxa"/>
                  <w:gridSpan w:val="4"/>
                  <w:tcBorders>
                    <w:top w:val="single" w:sz="2" w:space="0" w:color="auto"/>
                    <w:left w:val="single" w:sz="2" w:space="0" w:color="auto"/>
                    <w:bottom w:val="single" w:sz="2" w:space="0" w:color="auto"/>
                    <w:right w:val="single" w:sz="2" w:space="0" w:color="auto"/>
                  </w:tcBorders>
                  <w:hideMark/>
                </w:tcPr>
                <w:p w:rsidR="00156F6C" w:rsidRPr="00156F6C" w:rsidRDefault="00E22980" w:rsidP="00156F6C">
                  <w:pPr>
                    <w:spacing w:before="150" w:after="150" w:line="240" w:lineRule="auto"/>
                    <w:jc w:val="center"/>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8"/>
                            <w:szCs w:val="24"/>
                            <w:lang w:eastAsia="uk-UA"/>
                          </w:rPr>
                        </m:ctrlPr>
                      </m:sSubSupPr>
                      <m:e>
                        <m:r>
                          <w:rPr>
                            <w:rFonts w:ascii="Cambria Math" w:eastAsia="Times New Roman" w:hAnsi="Cambria Math" w:cs="Times New Roman"/>
                            <w:sz w:val="28"/>
                            <w:szCs w:val="24"/>
                            <w:lang w:eastAsia="uk-UA"/>
                          </w:rPr>
                          <m:t>С</m:t>
                        </m:r>
                      </m:e>
                      <m:sub>
                        <m:r>
                          <w:rPr>
                            <w:rFonts w:ascii="Cambria Math" w:eastAsia="Times New Roman" w:hAnsi="Cambria Math" w:cs="Times New Roman"/>
                            <w:sz w:val="28"/>
                            <w:szCs w:val="24"/>
                            <w:lang w:eastAsia="uk-UA"/>
                          </w:rPr>
                          <m:t>ст</m:t>
                        </m:r>
                      </m:sub>
                      <m:sup>
                        <m:r>
                          <w:rPr>
                            <w:rFonts w:ascii="Cambria Math" w:eastAsia="Times New Roman" w:hAnsi="Cambria Math" w:cs="Times New Roman"/>
                            <w:sz w:val="28"/>
                            <w:szCs w:val="24"/>
                            <w:lang w:eastAsia="uk-UA"/>
                          </w:rPr>
                          <m:t>с, к,н,ф,місц</m:t>
                        </m:r>
                      </m:sup>
                    </m:sSubSup>
                    <m:r>
                      <w:rPr>
                        <w:rFonts w:ascii="Cambria Math" w:eastAsia="Times New Roman" w:hAnsi="Cambria Math" w:cs="Times New Roman"/>
                        <w:sz w:val="28"/>
                        <w:szCs w:val="24"/>
                        <w:lang w:eastAsia="uk-UA"/>
                      </w:rPr>
                      <m:t xml:space="preserve">= </m:t>
                    </m:r>
                    <m:sSubSup>
                      <m:sSubSupPr>
                        <m:ctrlPr>
                          <w:rPr>
                            <w:rFonts w:ascii="Cambria Math" w:eastAsia="Times New Roman" w:hAnsi="Cambria Math" w:cs="Times New Roman"/>
                            <w:i/>
                            <w:sz w:val="28"/>
                            <w:szCs w:val="24"/>
                            <w:lang w:eastAsia="uk-UA"/>
                          </w:rPr>
                        </m:ctrlPr>
                      </m:sSubSupPr>
                      <m:e>
                        <m:r>
                          <w:rPr>
                            <w:rFonts w:ascii="Cambria Math" w:eastAsia="Times New Roman" w:hAnsi="Cambria Math" w:cs="Times New Roman"/>
                            <w:sz w:val="28"/>
                            <w:szCs w:val="24"/>
                            <w:lang w:eastAsia="uk-UA"/>
                          </w:rPr>
                          <m:t>П</m:t>
                        </m:r>
                      </m:e>
                      <m:sub>
                        <m:sSub>
                          <m:sSubPr>
                            <m:ctrlPr>
                              <w:rPr>
                                <w:rFonts w:ascii="Cambria Math" w:eastAsia="Times New Roman" w:hAnsi="Cambria Math" w:cs="Times New Roman"/>
                                <w:i/>
                                <w:sz w:val="28"/>
                                <w:szCs w:val="24"/>
                                <w:lang w:eastAsia="uk-UA"/>
                              </w:rPr>
                            </m:ctrlPr>
                          </m:sSubPr>
                          <m:e>
                            <m:r>
                              <w:rPr>
                                <w:rFonts w:ascii="Cambria Math" w:eastAsia="Times New Roman" w:hAnsi="Cambria Math" w:cs="Times New Roman"/>
                                <w:sz w:val="28"/>
                                <w:szCs w:val="24"/>
                                <w:lang w:eastAsia="uk-UA"/>
                              </w:rPr>
                              <m:t>базова</m:t>
                            </m:r>
                          </m:e>
                          <m:sub>
                            <m:r>
                              <w:rPr>
                                <w:rFonts w:ascii="Cambria Math" w:eastAsia="Times New Roman" w:hAnsi="Cambria Math" w:cs="Times New Roman"/>
                                <w:sz w:val="28"/>
                                <w:szCs w:val="24"/>
                                <w:lang w:eastAsia="uk-UA"/>
                              </w:rPr>
                              <m:t>ст</m:t>
                            </m:r>
                          </m:sub>
                        </m:sSub>
                      </m:sub>
                      <m:sup>
                        <m:r>
                          <w:rPr>
                            <w:rFonts w:ascii="Cambria Math" w:eastAsia="Times New Roman" w:hAnsi="Cambria Math" w:cs="Times New Roman"/>
                            <w:sz w:val="28"/>
                            <w:szCs w:val="24"/>
                            <w:lang w:eastAsia="uk-UA"/>
                          </w:rPr>
                          <m:t>місц</m:t>
                        </m:r>
                      </m:sup>
                    </m:sSubSup>
                    <m:r>
                      <w:rPr>
                        <w:rFonts w:ascii="Cambria Math" w:eastAsia="Times New Roman" w:hAnsi="Cambria Math" w:cs="Times New Roman"/>
                        <w:sz w:val="28"/>
                        <w:szCs w:val="24"/>
                        <w:lang w:eastAsia="uk-UA"/>
                      </w:rPr>
                      <m:t xml:space="preserve"> ×</m:t>
                    </m:r>
                    <m:sSub>
                      <m:sSubPr>
                        <m:ctrlPr>
                          <w:rPr>
                            <w:rFonts w:ascii="Cambria Math" w:eastAsia="Times New Roman" w:hAnsi="Cambria Math" w:cs="Times New Roman"/>
                            <w:i/>
                            <w:sz w:val="28"/>
                            <w:szCs w:val="24"/>
                            <w:lang w:eastAsia="uk-UA"/>
                          </w:rPr>
                        </m:ctrlPr>
                      </m:sSubPr>
                      <m:e>
                        <m:r>
                          <w:rPr>
                            <w:rFonts w:ascii="Cambria Math" w:eastAsia="Times New Roman" w:hAnsi="Cambria Math" w:cs="Times New Roman"/>
                            <w:sz w:val="28"/>
                            <w:szCs w:val="24"/>
                            <w:lang w:eastAsia="uk-UA"/>
                          </w:rPr>
                          <m:t>К</m:t>
                        </m:r>
                      </m:e>
                      <m:sub>
                        <m:r>
                          <w:rPr>
                            <w:rFonts w:ascii="Cambria Math" w:eastAsia="Times New Roman" w:hAnsi="Cambria Math" w:cs="Times New Roman"/>
                            <w:sz w:val="28"/>
                            <w:szCs w:val="24"/>
                            <w:lang w:eastAsia="uk-UA"/>
                          </w:rPr>
                          <m:t>с</m:t>
                        </m:r>
                      </m:sub>
                    </m:sSub>
                    <m:r>
                      <w:rPr>
                        <w:rFonts w:ascii="Cambria Math" w:eastAsia="Times New Roman" w:hAnsi="Cambria Math" w:cs="Times New Roman"/>
                        <w:sz w:val="28"/>
                        <w:szCs w:val="24"/>
                        <w:lang w:eastAsia="uk-UA"/>
                      </w:rPr>
                      <m:t xml:space="preserve">× </m:t>
                    </m:r>
                    <m:sSub>
                      <m:sSubPr>
                        <m:ctrlPr>
                          <w:rPr>
                            <w:rFonts w:ascii="Cambria Math" w:eastAsia="Times New Roman" w:hAnsi="Cambria Math" w:cs="Times New Roman"/>
                            <w:i/>
                            <w:sz w:val="28"/>
                            <w:szCs w:val="24"/>
                            <w:lang w:eastAsia="uk-UA"/>
                          </w:rPr>
                        </m:ctrlPr>
                      </m:sSubPr>
                      <m:e>
                        <m:r>
                          <w:rPr>
                            <w:rFonts w:ascii="Cambria Math" w:eastAsia="Times New Roman" w:hAnsi="Cambria Math" w:cs="Times New Roman"/>
                            <w:sz w:val="28"/>
                            <w:szCs w:val="24"/>
                            <w:lang w:eastAsia="uk-UA"/>
                          </w:rPr>
                          <m:t>К</m:t>
                        </m:r>
                      </m:e>
                      <m:sub>
                        <m:r>
                          <w:rPr>
                            <w:rFonts w:ascii="Cambria Math" w:eastAsia="Times New Roman" w:hAnsi="Cambria Math" w:cs="Times New Roman"/>
                            <w:sz w:val="28"/>
                            <w:szCs w:val="24"/>
                            <w:lang w:eastAsia="uk-UA"/>
                          </w:rPr>
                          <m:t>інд</m:t>
                        </m:r>
                      </m:sub>
                    </m:sSub>
                    <m:r>
                      <w:rPr>
                        <w:rFonts w:ascii="Cambria Math" w:eastAsia="Times New Roman" w:hAnsi="Cambria Math" w:cs="Times New Roman"/>
                        <w:sz w:val="28"/>
                        <w:szCs w:val="24"/>
                        <w:lang w:eastAsia="uk-UA"/>
                      </w:rPr>
                      <m:t xml:space="preserve">× </m:t>
                    </m:r>
                    <m:sSub>
                      <m:sSubPr>
                        <m:ctrlPr>
                          <w:rPr>
                            <w:rFonts w:ascii="Cambria Math" w:eastAsia="Times New Roman" w:hAnsi="Cambria Math" w:cs="Times New Roman"/>
                            <w:i/>
                            <w:sz w:val="28"/>
                            <w:szCs w:val="24"/>
                            <w:lang w:eastAsia="uk-UA"/>
                          </w:rPr>
                        </m:ctrlPr>
                      </m:sSubPr>
                      <m:e>
                        <m:r>
                          <w:rPr>
                            <w:rFonts w:ascii="Cambria Math" w:eastAsia="Times New Roman" w:hAnsi="Cambria Math" w:cs="Times New Roman"/>
                            <w:sz w:val="28"/>
                            <w:szCs w:val="24"/>
                            <w:lang w:eastAsia="uk-UA"/>
                          </w:rPr>
                          <m:t>К</m:t>
                        </m:r>
                      </m:e>
                      <m:sub>
                        <m:r>
                          <w:rPr>
                            <w:rFonts w:ascii="Cambria Math" w:eastAsia="Times New Roman" w:hAnsi="Cambria Math" w:cs="Times New Roman"/>
                            <w:sz w:val="28"/>
                            <w:szCs w:val="24"/>
                            <w:lang w:eastAsia="uk-UA"/>
                          </w:rPr>
                          <m:t>к</m:t>
                        </m:r>
                      </m:sub>
                    </m:sSub>
                    <m:r>
                      <w:rPr>
                        <w:rFonts w:ascii="Cambria Math" w:eastAsia="Times New Roman" w:hAnsi="Cambria Math" w:cs="Times New Roman"/>
                        <w:sz w:val="28"/>
                        <w:szCs w:val="24"/>
                        <w:lang w:eastAsia="uk-UA"/>
                      </w:rPr>
                      <m:t xml:space="preserve">× </m:t>
                    </m:r>
                    <m:sSub>
                      <m:sSubPr>
                        <m:ctrlPr>
                          <w:rPr>
                            <w:rFonts w:ascii="Cambria Math" w:eastAsia="Times New Roman" w:hAnsi="Cambria Math" w:cs="Times New Roman"/>
                            <w:i/>
                            <w:sz w:val="28"/>
                            <w:szCs w:val="24"/>
                            <w:lang w:eastAsia="uk-UA"/>
                          </w:rPr>
                        </m:ctrlPr>
                      </m:sSubPr>
                      <m:e>
                        <m:r>
                          <w:rPr>
                            <w:rFonts w:ascii="Cambria Math" w:eastAsia="Times New Roman" w:hAnsi="Cambria Math" w:cs="Times New Roman"/>
                            <w:sz w:val="28"/>
                            <w:szCs w:val="24"/>
                            <w:lang w:eastAsia="uk-UA"/>
                          </w:rPr>
                          <m:t>К</m:t>
                        </m:r>
                      </m:e>
                      <m:sub>
                        <m:r>
                          <w:rPr>
                            <w:rFonts w:ascii="Cambria Math" w:eastAsia="Times New Roman" w:hAnsi="Cambria Math" w:cs="Times New Roman"/>
                            <w:sz w:val="28"/>
                            <w:szCs w:val="24"/>
                            <w:lang w:eastAsia="uk-UA"/>
                          </w:rPr>
                          <m:t>н</m:t>
                        </m:r>
                      </m:sub>
                    </m:sSub>
                    <m:r>
                      <w:rPr>
                        <w:rFonts w:ascii="Cambria Math" w:eastAsia="Times New Roman" w:hAnsi="Cambria Math" w:cs="Times New Roman"/>
                        <w:sz w:val="28"/>
                        <w:szCs w:val="24"/>
                        <w:lang w:eastAsia="uk-UA"/>
                      </w:rPr>
                      <m:t xml:space="preserve">× </m:t>
                    </m:r>
                    <m:sSub>
                      <m:sSubPr>
                        <m:ctrlPr>
                          <w:rPr>
                            <w:rFonts w:ascii="Cambria Math" w:eastAsia="Times New Roman" w:hAnsi="Cambria Math" w:cs="Times New Roman"/>
                            <w:i/>
                            <w:sz w:val="28"/>
                            <w:szCs w:val="24"/>
                            <w:lang w:eastAsia="uk-UA"/>
                          </w:rPr>
                        </m:ctrlPr>
                      </m:sSubPr>
                      <m:e>
                        <m:r>
                          <w:rPr>
                            <w:rFonts w:ascii="Cambria Math" w:eastAsia="Times New Roman" w:hAnsi="Cambria Math" w:cs="Times New Roman"/>
                            <w:sz w:val="28"/>
                            <w:szCs w:val="24"/>
                            <w:lang w:eastAsia="uk-UA"/>
                          </w:rPr>
                          <m:t>К</m:t>
                        </m:r>
                      </m:e>
                      <m:sub>
                        <m:r>
                          <w:rPr>
                            <w:rFonts w:ascii="Cambria Math" w:eastAsia="Times New Roman" w:hAnsi="Cambria Math" w:cs="Times New Roman"/>
                            <w:sz w:val="28"/>
                            <w:szCs w:val="24"/>
                            <w:lang w:eastAsia="uk-UA"/>
                          </w:rPr>
                          <m:t>ф</m:t>
                        </m:r>
                      </m:sub>
                    </m:sSub>
                    <m:r>
                      <w:rPr>
                        <w:rFonts w:ascii="Cambria Math" w:eastAsia="Times New Roman" w:hAnsi="Cambria Math" w:cs="Times New Roman"/>
                        <w:sz w:val="28"/>
                        <w:szCs w:val="24"/>
                        <w:lang w:eastAsia="uk-UA"/>
                      </w:rPr>
                      <m:t>, тис. грн/кВт</m:t>
                    </m:r>
                  </m:oMath>
                  <w:r w:rsidR="00550821">
                    <w:rPr>
                      <w:rFonts w:ascii="Times New Roman" w:eastAsia="Times New Roman" w:hAnsi="Times New Roman" w:cs="Times New Roman"/>
                      <w:sz w:val="24"/>
                      <w:szCs w:val="24"/>
                      <w:lang w:eastAsia="uk-UA"/>
                    </w:rPr>
                    <w:t xml:space="preserve">  </w:t>
                  </w:r>
                </w:p>
              </w:tc>
              <w:tc>
                <w:tcPr>
                  <w:tcW w:w="591"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right"/>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(2)</w:t>
                  </w:r>
                </w:p>
              </w:tc>
            </w:tr>
            <w:tr w:rsidR="00156F6C" w:rsidRPr="00156F6C" w:rsidTr="00550821">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де</w:t>
                  </w:r>
                </w:p>
              </w:tc>
              <w:tc>
                <w:tcPr>
                  <w:tcW w:w="105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r w:rsidRPr="00156F6C">
                    <w:rPr>
                      <w:rFonts w:ascii="Times New Roman" w:eastAsia="Times New Roman" w:hAnsi="Times New Roman" w:cs="Times New Roman"/>
                      <w:noProof/>
                      <w:sz w:val="24"/>
                      <w:szCs w:val="24"/>
                      <w:lang w:eastAsia="uk-UA"/>
                    </w:rPr>
                    <w:drawing>
                      <wp:inline distT="0" distB="0" distL="0" distR="0" wp14:anchorId="6408FA5B" wp14:editId="47794F6C">
                        <wp:extent cx="609600" cy="295275"/>
                        <wp:effectExtent l="0" t="0" r="0" b="9525"/>
                        <wp:docPr id="78" name="Рисунок 78" descr="https://zakon.rada.gov.ua/laws/file/imgs/117/p480243n434-4.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7/p480243n434-4.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 cy="295275"/>
                                </a:xfrm>
                                <a:prstGeom prst="rect">
                                  <a:avLst/>
                                </a:prstGeom>
                                <a:noFill/>
                                <a:ln>
                                  <a:noFill/>
                                </a:ln>
                              </pic:spPr>
                            </pic:pic>
                          </a:graphicData>
                        </a:graphic>
                      </wp:inline>
                    </w:drawing>
                  </w:r>
                </w:p>
              </w:tc>
              <w:tc>
                <w:tcPr>
                  <w:tcW w:w="172"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w:t>
                  </w:r>
                </w:p>
              </w:tc>
              <w:tc>
                <w:tcPr>
                  <w:tcW w:w="6156" w:type="dxa"/>
                  <w:gridSpan w:val="2"/>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питома вартість приєднання 1 кВт потужності електроустановок замовника визначена згідно з додатком 9 до цієї Методики станом на 01 січня 2025 року;</w:t>
                  </w:r>
                </w:p>
              </w:tc>
            </w:tr>
            <w:tr w:rsidR="00550821" w:rsidRPr="00156F6C" w:rsidTr="00550821">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tcPr>
                <w:p w:rsidR="00550821" w:rsidRPr="00156F6C" w:rsidRDefault="00550821" w:rsidP="00156F6C">
                  <w:pPr>
                    <w:spacing w:before="150" w:after="150" w:line="240" w:lineRule="auto"/>
                    <w:jc w:val="center"/>
                    <w:rPr>
                      <w:rFonts w:ascii="Times New Roman" w:eastAsia="Times New Roman" w:hAnsi="Times New Roman" w:cs="Times New Roman"/>
                      <w:sz w:val="24"/>
                      <w:szCs w:val="24"/>
                      <w:lang w:eastAsia="uk-UA"/>
                    </w:rPr>
                  </w:pPr>
                </w:p>
              </w:tc>
              <w:tc>
                <w:tcPr>
                  <w:tcW w:w="1055" w:type="dxa"/>
                  <w:tcBorders>
                    <w:top w:val="single" w:sz="2" w:space="0" w:color="auto"/>
                    <w:left w:val="single" w:sz="2" w:space="0" w:color="auto"/>
                    <w:bottom w:val="single" w:sz="2" w:space="0" w:color="auto"/>
                    <w:right w:val="single" w:sz="2" w:space="0" w:color="auto"/>
                  </w:tcBorders>
                </w:tcPr>
                <w:p w:rsidR="00550821" w:rsidRPr="00550821" w:rsidRDefault="00E22980" w:rsidP="00156F6C">
                  <w:pPr>
                    <w:spacing w:before="150" w:after="150" w:line="240" w:lineRule="auto"/>
                    <w:jc w:val="center"/>
                    <w:rPr>
                      <w:rFonts w:ascii="Times New Roman" w:eastAsia="Times New Roman" w:hAnsi="Times New Roman" w:cs="Times New Roman"/>
                      <w:b/>
                      <w:sz w:val="28"/>
                      <w:szCs w:val="24"/>
                      <w:lang w:eastAsia="uk-UA"/>
                    </w:rPr>
                  </w:pPr>
                  <m:oMathPara>
                    <m:oMath>
                      <m:sSub>
                        <m:sSubPr>
                          <m:ctrlPr>
                            <w:rPr>
                              <w:rFonts w:ascii="Cambria Math" w:eastAsia="Times New Roman" w:hAnsi="Cambria Math" w:cs="Times New Roman"/>
                              <w:b/>
                              <w:i/>
                              <w:sz w:val="28"/>
                              <w:szCs w:val="24"/>
                              <w:lang w:eastAsia="uk-UA"/>
                            </w:rPr>
                          </m:ctrlPr>
                        </m:sSubPr>
                        <m:e>
                          <m:r>
                            <m:rPr>
                              <m:sty m:val="bi"/>
                            </m:rPr>
                            <w:rPr>
                              <w:rFonts w:ascii="Cambria Math" w:eastAsia="Times New Roman" w:hAnsi="Cambria Math" w:cs="Times New Roman"/>
                              <w:sz w:val="28"/>
                              <w:szCs w:val="24"/>
                              <w:lang w:eastAsia="uk-UA"/>
                            </w:rPr>
                            <m:t>К</m:t>
                          </m:r>
                        </m:e>
                        <m:sub>
                          <m:r>
                            <m:rPr>
                              <m:sty m:val="bi"/>
                            </m:rPr>
                            <w:rPr>
                              <w:rFonts w:ascii="Cambria Math" w:eastAsia="Times New Roman" w:hAnsi="Cambria Math" w:cs="Times New Roman"/>
                              <w:sz w:val="28"/>
                              <w:szCs w:val="24"/>
                              <w:lang w:eastAsia="uk-UA"/>
                            </w:rPr>
                            <m:t>с</m:t>
                          </m:r>
                        </m:sub>
                      </m:sSub>
                    </m:oMath>
                  </m:oMathPara>
                </w:p>
              </w:tc>
              <w:tc>
                <w:tcPr>
                  <w:tcW w:w="172" w:type="dxa"/>
                  <w:tcBorders>
                    <w:top w:val="single" w:sz="2" w:space="0" w:color="auto"/>
                    <w:left w:val="single" w:sz="2" w:space="0" w:color="auto"/>
                    <w:bottom w:val="single" w:sz="2" w:space="0" w:color="auto"/>
                    <w:right w:val="single" w:sz="2" w:space="0" w:color="auto"/>
                  </w:tcBorders>
                </w:tcPr>
                <w:p w:rsidR="00550821" w:rsidRPr="00156F6C" w:rsidRDefault="00550821" w:rsidP="00156F6C">
                  <w:pPr>
                    <w:spacing w:before="150" w:after="150" w:line="240" w:lineRule="auto"/>
                    <w:jc w:val="center"/>
                    <w:rPr>
                      <w:rFonts w:ascii="Times New Roman" w:eastAsia="Times New Roman" w:hAnsi="Times New Roman" w:cs="Times New Roman"/>
                      <w:sz w:val="24"/>
                      <w:szCs w:val="24"/>
                      <w:lang w:eastAsia="uk-UA"/>
                    </w:rPr>
                  </w:pPr>
                </w:p>
              </w:tc>
              <w:tc>
                <w:tcPr>
                  <w:tcW w:w="6156" w:type="dxa"/>
                  <w:gridSpan w:val="2"/>
                  <w:tcBorders>
                    <w:top w:val="single" w:sz="2" w:space="0" w:color="auto"/>
                    <w:left w:val="single" w:sz="2" w:space="0" w:color="auto"/>
                    <w:bottom w:val="single" w:sz="2" w:space="0" w:color="auto"/>
                    <w:right w:val="single" w:sz="2" w:space="0" w:color="auto"/>
                  </w:tcBorders>
                </w:tcPr>
                <w:p w:rsidR="00550821" w:rsidRPr="001F6D57" w:rsidRDefault="001F6D57" w:rsidP="00156F6C">
                  <w:pPr>
                    <w:spacing w:before="150" w:after="150" w:line="240" w:lineRule="auto"/>
                    <w:rPr>
                      <w:rFonts w:ascii="Times New Roman" w:eastAsia="Times New Roman" w:hAnsi="Times New Roman" w:cs="Times New Roman"/>
                      <w:b/>
                      <w:sz w:val="24"/>
                      <w:szCs w:val="24"/>
                      <w:lang w:eastAsia="uk-UA"/>
                    </w:rPr>
                  </w:pPr>
                  <w:r w:rsidRPr="001F6D57">
                    <w:rPr>
                      <w:rFonts w:ascii="Times New Roman" w:eastAsia="Times New Roman" w:hAnsi="Times New Roman" w:cs="Times New Roman"/>
                      <w:b/>
                      <w:sz w:val="24"/>
                      <w:szCs w:val="24"/>
                      <w:lang w:eastAsia="uk-UA"/>
                    </w:rPr>
                    <w:t>коефіцієнт ступеня стандартного приєднання (додаток 10 до цієї Методики)</w:t>
                  </w:r>
                  <w:r w:rsidR="000F7F70">
                    <w:rPr>
                      <w:rFonts w:ascii="Times New Roman" w:eastAsia="Times New Roman" w:hAnsi="Times New Roman" w:cs="Times New Roman"/>
                      <w:b/>
                      <w:sz w:val="24"/>
                      <w:szCs w:val="24"/>
                      <w:lang w:eastAsia="uk-UA"/>
                    </w:rPr>
                    <w:t>;</w:t>
                  </w:r>
                </w:p>
              </w:tc>
            </w:tr>
            <w:tr w:rsidR="00156F6C" w:rsidRPr="00156F6C" w:rsidTr="00550821">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105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8"/>
                      <w:szCs w:val="24"/>
                      <w:lang w:eastAsia="uk-UA"/>
                    </w:rPr>
                  </w:pPr>
                  <w:proofErr w:type="spellStart"/>
                  <w:r w:rsidRPr="00156F6C">
                    <w:rPr>
                      <w:rFonts w:ascii="Times New Roman" w:eastAsia="Times New Roman" w:hAnsi="Times New Roman" w:cs="Times New Roman"/>
                      <w:sz w:val="28"/>
                      <w:szCs w:val="24"/>
                      <w:lang w:eastAsia="uk-UA"/>
                    </w:rPr>
                    <w:t>К</w:t>
                  </w:r>
                  <w:r w:rsidRPr="00156F6C">
                    <w:rPr>
                      <w:rFonts w:ascii="Times New Roman" w:eastAsia="Times New Roman" w:hAnsi="Times New Roman" w:cs="Times New Roman"/>
                      <w:b/>
                      <w:bCs/>
                      <w:sz w:val="28"/>
                      <w:szCs w:val="16"/>
                      <w:vertAlign w:val="subscript"/>
                      <w:lang w:eastAsia="uk-UA"/>
                    </w:rPr>
                    <w:t>інд</w:t>
                  </w:r>
                  <w:proofErr w:type="spellEnd"/>
                </w:p>
              </w:tc>
              <w:tc>
                <w:tcPr>
                  <w:tcW w:w="172"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6156" w:type="dxa"/>
                  <w:gridSpan w:val="2"/>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У разі відсутності затвердженого відповідною постановою Кабінету Міністрів України прогнозного індексу цін виробників промислової продукції, застосовується індекс, врахований у Державному бюджеті України на відповідний рік;</w:t>
                  </w:r>
                </w:p>
              </w:tc>
            </w:tr>
            <w:tr w:rsidR="00156F6C" w:rsidRPr="00156F6C" w:rsidTr="00550821">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105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8"/>
                      <w:szCs w:val="24"/>
                      <w:lang w:eastAsia="uk-UA"/>
                    </w:rPr>
                  </w:pPr>
                  <w:proofErr w:type="spellStart"/>
                  <w:r w:rsidRPr="00156F6C">
                    <w:rPr>
                      <w:rFonts w:ascii="Times New Roman" w:eastAsia="Times New Roman" w:hAnsi="Times New Roman" w:cs="Times New Roman"/>
                      <w:sz w:val="28"/>
                      <w:szCs w:val="24"/>
                      <w:lang w:eastAsia="uk-UA"/>
                    </w:rPr>
                    <w:t>К</w:t>
                  </w:r>
                  <w:r w:rsidRPr="00156F6C">
                    <w:rPr>
                      <w:rFonts w:ascii="Times New Roman" w:eastAsia="Times New Roman" w:hAnsi="Times New Roman" w:cs="Times New Roman"/>
                      <w:b/>
                      <w:bCs/>
                      <w:sz w:val="28"/>
                      <w:szCs w:val="16"/>
                      <w:vertAlign w:val="subscript"/>
                      <w:lang w:eastAsia="uk-UA"/>
                    </w:rPr>
                    <w:t>к</w:t>
                  </w:r>
                  <w:proofErr w:type="spellEnd"/>
                </w:p>
              </w:tc>
              <w:tc>
                <w:tcPr>
                  <w:tcW w:w="172"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6156" w:type="dxa"/>
                  <w:gridSpan w:val="2"/>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коефіцієнт категорії надійності електропостачання (додаток 3 до цієї Методики);</w:t>
                  </w:r>
                </w:p>
              </w:tc>
            </w:tr>
            <w:tr w:rsidR="00156F6C" w:rsidRPr="00156F6C" w:rsidTr="00550821">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105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8"/>
                      <w:szCs w:val="24"/>
                      <w:lang w:eastAsia="uk-UA"/>
                    </w:rPr>
                  </w:pPr>
                  <w:proofErr w:type="spellStart"/>
                  <w:r w:rsidRPr="00156F6C">
                    <w:rPr>
                      <w:rFonts w:ascii="Times New Roman" w:eastAsia="Times New Roman" w:hAnsi="Times New Roman" w:cs="Times New Roman"/>
                      <w:sz w:val="28"/>
                      <w:szCs w:val="24"/>
                      <w:lang w:eastAsia="uk-UA"/>
                    </w:rPr>
                    <w:t>К</w:t>
                  </w:r>
                  <w:r w:rsidRPr="00156F6C">
                    <w:rPr>
                      <w:rFonts w:ascii="Times New Roman" w:eastAsia="Times New Roman" w:hAnsi="Times New Roman" w:cs="Times New Roman"/>
                      <w:b/>
                      <w:bCs/>
                      <w:sz w:val="28"/>
                      <w:szCs w:val="16"/>
                      <w:vertAlign w:val="subscript"/>
                      <w:lang w:eastAsia="uk-UA"/>
                    </w:rPr>
                    <w:t>н</w:t>
                  </w:r>
                  <w:proofErr w:type="spellEnd"/>
                </w:p>
              </w:tc>
              <w:tc>
                <w:tcPr>
                  <w:tcW w:w="172"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6156" w:type="dxa"/>
                  <w:gridSpan w:val="2"/>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коефіцієнт ступеня напруги в точці приєднання (0,4 (0,23), 6(10)20 кВ) (додаток 4 до цієї Методики);</w:t>
                  </w:r>
                </w:p>
              </w:tc>
            </w:tr>
            <w:tr w:rsidR="00156F6C" w:rsidRPr="00156F6C" w:rsidTr="00550821">
              <w:tblPrEx>
                <w:tblCellMar>
                  <w:top w:w="15" w:type="dxa"/>
                  <w:left w:w="15" w:type="dxa"/>
                  <w:bottom w:w="15" w:type="dxa"/>
                  <w:right w:w="15" w:type="dxa"/>
                </w:tblCellMar>
              </w:tblPrEx>
              <w:tc>
                <w:tcPr>
                  <w:tcW w:w="334"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1055"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8"/>
                      <w:szCs w:val="24"/>
                      <w:lang w:eastAsia="uk-UA"/>
                    </w:rPr>
                  </w:pPr>
                  <w:proofErr w:type="spellStart"/>
                  <w:r w:rsidRPr="00156F6C">
                    <w:rPr>
                      <w:rFonts w:ascii="Times New Roman" w:eastAsia="Times New Roman" w:hAnsi="Times New Roman" w:cs="Times New Roman"/>
                      <w:sz w:val="28"/>
                      <w:szCs w:val="24"/>
                      <w:lang w:eastAsia="uk-UA"/>
                    </w:rPr>
                    <w:t>К</w:t>
                  </w:r>
                  <w:r w:rsidRPr="00156F6C">
                    <w:rPr>
                      <w:rFonts w:ascii="Times New Roman" w:eastAsia="Times New Roman" w:hAnsi="Times New Roman" w:cs="Times New Roman"/>
                      <w:b/>
                      <w:bCs/>
                      <w:sz w:val="28"/>
                      <w:szCs w:val="16"/>
                      <w:vertAlign w:val="subscript"/>
                      <w:lang w:eastAsia="uk-UA"/>
                    </w:rPr>
                    <w:t>ф</w:t>
                  </w:r>
                  <w:proofErr w:type="spellEnd"/>
                </w:p>
              </w:tc>
              <w:tc>
                <w:tcPr>
                  <w:tcW w:w="172" w:type="dxa"/>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jc w:val="center"/>
                    <w:rPr>
                      <w:rFonts w:ascii="Times New Roman" w:eastAsia="Times New Roman" w:hAnsi="Times New Roman" w:cs="Times New Roman"/>
                      <w:sz w:val="24"/>
                      <w:szCs w:val="24"/>
                      <w:lang w:eastAsia="uk-UA"/>
                    </w:rPr>
                  </w:pPr>
                </w:p>
              </w:tc>
              <w:tc>
                <w:tcPr>
                  <w:tcW w:w="6156" w:type="dxa"/>
                  <w:gridSpan w:val="2"/>
                  <w:tcBorders>
                    <w:top w:val="single" w:sz="2" w:space="0" w:color="auto"/>
                    <w:left w:val="single" w:sz="2" w:space="0" w:color="auto"/>
                    <w:bottom w:val="single" w:sz="2" w:space="0" w:color="auto"/>
                    <w:right w:val="single" w:sz="2" w:space="0" w:color="auto"/>
                  </w:tcBorders>
                  <w:hideMark/>
                </w:tcPr>
                <w:p w:rsidR="00156F6C" w:rsidRPr="00156F6C" w:rsidRDefault="00156F6C" w:rsidP="00156F6C">
                  <w:pPr>
                    <w:spacing w:before="150" w:after="150" w:line="240" w:lineRule="auto"/>
                    <w:rPr>
                      <w:rFonts w:ascii="Times New Roman" w:eastAsia="Times New Roman" w:hAnsi="Times New Roman" w:cs="Times New Roman"/>
                      <w:sz w:val="24"/>
                      <w:szCs w:val="24"/>
                      <w:lang w:eastAsia="uk-UA"/>
                    </w:rPr>
                  </w:pPr>
                  <w:r w:rsidRPr="00156F6C">
                    <w:rPr>
                      <w:rFonts w:ascii="Times New Roman" w:eastAsia="Times New Roman" w:hAnsi="Times New Roman" w:cs="Times New Roman"/>
                      <w:sz w:val="24"/>
                      <w:szCs w:val="24"/>
                      <w:lang w:eastAsia="uk-UA"/>
                    </w:rPr>
                    <w:t>коефіцієнт схеми електрозабезпечення (додаток 5 до цієї Методики).</w:t>
                  </w:r>
                </w:p>
              </w:tc>
            </w:tr>
          </w:tbl>
          <w:p w:rsidR="00156F6C" w:rsidRPr="00651365" w:rsidRDefault="00156F6C" w:rsidP="00156F6C">
            <w:pPr>
              <w:spacing w:before="100" w:beforeAutospacing="1" w:after="100" w:afterAutospacing="1"/>
              <w:ind w:firstLine="578"/>
              <w:jc w:val="both"/>
              <w:rPr>
                <w:rFonts w:ascii="Times New Roman" w:eastAsia="Times New Roman" w:hAnsi="Times New Roman" w:cs="Times New Roman"/>
                <w:b/>
                <w:sz w:val="24"/>
                <w:szCs w:val="24"/>
              </w:rPr>
            </w:pPr>
          </w:p>
        </w:tc>
      </w:tr>
      <w:tr w:rsidR="00156F6C" w:rsidRPr="00651365" w:rsidTr="00D426BB">
        <w:trPr>
          <w:trHeight w:val="275"/>
        </w:trPr>
        <w:tc>
          <w:tcPr>
            <w:tcW w:w="15877" w:type="dxa"/>
            <w:gridSpan w:val="2"/>
          </w:tcPr>
          <w:p w:rsidR="00156F6C" w:rsidRPr="00651365" w:rsidRDefault="00156F6C" w:rsidP="00156F6C">
            <w:pPr>
              <w:ind w:firstLine="606"/>
              <w:jc w:val="center"/>
              <w:rPr>
                <w:rFonts w:ascii="Times New Roman" w:eastAsia="Times New Roman" w:hAnsi="Times New Roman" w:cs="Times New Roman"/>
                <w:b/>
                <w:sz w:val="24"/>
                <w:szCs w:val="24"/>
              </w:rPr>
            </w:pPr>
            <w:r w:rsidRPr="00651365">
              <w:rPr>
                <w:rFonts w:ascii="Times New Roman" w:eastAsia="Times New Roman" w:hAnsi="Times New Roman" w:cs="Times New Roman"/>
                <w:b/>
                <w:sz w:val="24"/>
                <w:szCs w:val="24"/>
              </w:rPr>
              <w:lastRenderedPageBreak/>
              <w:t>4. Плата за нестандартне приєднання до електричних мереж систем розподілу</w:t>
            </w:r>
          </w:p>
        </w:tc>
      </w:tr>
      <w:tr w:rsidR="00156F6C" w:rsidRPr="00651365" w:rsidTr="0018178C">
        <w:trPr>
          <w:trHeight w:val="708"/>
        </w:trPr>
        <w:tc>
          <w:tcPr>
            <w:tcW w:w="7938" w:type="dxa"/>
          </w:tcPr>
          <w:p w:rsidR="00C57DA6" w:rsidRPr="00C57DA6" w:rsidRDefault="00C57DA6" w:rsidP="00C57DA6">
            <w:pPr>
              <w:ind w:firstLine="606"/>
              <w:jc w:val="both"/>
              <w:rPr>
                <w:rFonts w:ascii="Times New Roman" w:eastAsia="Times New Roman" w:hAnsi="Times New Roman" w:cs="Times New Roman"/>
                <w:sz w:val="24"/>
                <w:szCs w:val="24"/>
              </w:rPr>
            </w:pPr>
            <w:r w:rsidRPr="00C57DA6">
              <w:rPr>
                <w:rFonts w:ascii="Times New Roman" w:eastAsia="Times New Roman" w:hAnsi="Times New Roman" w:cs="Times New Roman"/>
                <w:sz w:val="24"/>
                <w:szCs w:val="24"/>
              </w:rPr>
              <w:t xml:space="preserve">4.6. Якщо замовник на підставі отриманих технічних умов на нестандартне приєднання забезпечив розроблення та узгодження з оператором системи розподілу та іншими заінтересованими сторонами </w:t>
            </w:r>
            <w:proofErr w:type="spellStart"/>
            <w:r w:rsidRPr="00C57DA6">
              <w:rPr>
                <w:rFonts w:ascii="Times New Roman" w:eastAsia="Times New Roman" w:hAnsi="Times New Roman" w:cs="Times New Roman"/>
                <w:sz w:val="24"/>
                <w:szCs w:val="24"/>
              </w:rPr>
              <w:t>проєктної</w:t>
            </w:r>
            <w:proofErr w:type="spellEnd"/>
            <w:r w:rsidRPr="00C57DA6">
              <w:rPr>
                <w:rFonts w:ascii="Times New Roman" w:eastAsia="Times New Roman" w:hAnsi="Times New Roman" w:cs="Times New Roman"/>
                <w:sz w:val="24"/>
                <w:szCs w:val="24"/>
              </w:rPr>
              <w:t xml:space="preserve"> документації на будівництво електричних мереж лінійної частини приєднання, сума витрат замовника, пов'язаних з виконанням </w:t>
            </w:r>
            <w:proofErr w:type="spellStart"/>
            <w:r w:rsidRPr="00C57DA6">
              <w:rPr>
                <w:rFonts w:ascii="Times New Roman" w:eastAsia="Times New Roman" w:hAnsi="Times New Roman" w:cs="Times New Roman"/>
                <w:sz w:val="24"/>
                <w:szCs w:val="24"/>
              </w:rPr>
              <w:t>проєктних</w:t>
            </w:r>
            <w:proofErr w:type="spellEnd"/>
            <w:r w:rsidRPr="00C57DA6">
              <w:rPr>
                <w:rFonts w:ascii="Times New Roman" w:eastAsia="Times New Roman" w:hAnsi="Times New Roman" w:cs="Times New Roman"/>
                <w:sz w:val="24"/>
                <w:szCs w:val="24"/>
              </w:rPr>
              <w:t xml:space="preserve"> робіт, виключається із загальної величини плати за нестандартне приєднання.</w:t>
            </w:r>
          </w:p>
          <w:p w:rsidR="00C57DA6" w:rsidRPr="00C57DA6" w:rsidRDefault="00C57DA6" w:rsidP="00C57DA6">
            <w:pPr>
              <w:ind w:firstLine="606"/>
              <w:jc w:val="both"/>
              <w:rPr>
                <w:rFonts w:ascii="Times New Roman" w:eastAsia="Times New Roman" w:hAnsi="Times New Roman" w:cs="Times New Roman"/>
                <w:sz w:val="24"/>
                <w:szCs w:val="24"/>
              </w:rPr>
            </w:pPr>
            <w:r w:rsidRPr="00C57DA6">
              <w:rPr>
                <w:rFonts w:ascii="Times New Roman" w:eastAsia="Times New Roman" w:hAnsi="Times New Roman" w:cs="Times New Roman"/>
                <w:sz w:val="24"/>
                <w:szCs w:val="24"/>
              </w:rPr>
              <w:t xml:space="preserve">Підставою виключення суми витрат замовника, пов'язаних з виконанням </w:t>
            </w:r>
            <w:proofErr w:type="spellStart"/>
            <w:r w:rsidRPr="00C57DA6">
              <w:rPr>
                <w:rFonts w:ascii="Times New Roman" w:eastAsia="Times New Roman" w:hAnsi="Times New Roman" w:cs="Times New Roman"/>
                <w:sz w:val="24"/>
                <w:szCs w:val="24"/>
              </w:rPr>
              <w:t>проєктних</w:t>
            </w:r>
            <w:proofErr w:type="spellEnd"/>
            <w:r w:rsidRPr="00C57DA6">
              <w:rPr>
                <w:rFonts w:ascii="Times New Roman" w:eastAsia="Times New Roman" w:hAnsi="Times New Roman" w:cs="Times New Roman"/>
                <w:sz w:val="24"/>
                <w:szCs w:val="24"/>
              </w:rPr>
              <w:t xml:space="preserve"> робіт суб'єктом господарювання, який має право на здійснення відповідного виду діяльності згідно з вимогами законодавства, є акт виконаних робіт на </w:t>
            </w:r>
            <w:proofErr w:type="spellStart"/>
            <w:r w:rsidRPr="00C57DA6">
              <w:rPr>
                <w:rFonts w:ascii="Times New Roman" w:eastAsia="Times New Roman" w:hAnsi="Times New Roman" w:cs="Times New Roman"/>
                <w:sz w:val="24"/>
                <w:szCs w:val="24"/>
              </w:rPr>
              <w:t>проєктування</w:t>
            </w:r>
            <w:proofErr w:type="spellEnd"/>
            <w:r w:rsidRPr="00C57DA6">
              <w:rPr>
                <w:rFonts w:ascii="Times New Roman" w:eastAsia="Times New Roman" w:hAnsi="Times New Roman" w:cs="Times New Roman"/>
                <w:sz w:val="24"/>
                <w:szCs w:val="24"/>
              </w:rPr>
              <w:t xml:space="preserve">, що підтверджує виконання </w:t>
            </w:r>
            <w:proofErr w:type="spellStart"/>
            <w:r w:rsidRPr="00C57DA6">
              <w:rPr>
                <w:rFonts w:ascii="Times New Roman" w:eastAsia="Times New Roman" w:hAnsi="Times New Roman" w:cs="Times New Roman"/>
                <w:sz w:val="24"/>
                <w:szCs w:val="24"/>
              </w:rPr>
              <w:lastRenderedPageBreak/>
              <w:t>проєктних</w:t>
            </w:r>
            <w:proofErr w:type="spellEnd"/>
            <w:r w:rsidRPr="00C57DA6">
              <w:rPr>
                <w:rFonts w:ascii="Times New Roman" w:eastAsia="Times New Roman" w:hAnsi="Times New Roman" w:cs="Times New Roman"/>
                <w:sz w:val="24"/>
                <w:szCs w:val="24"/>
              </w:rPr>
              <w:t xml:space="preserve"> робіт у повному обсязі на підставі укладеного договору на виконання </w:t>
            </w:r>
            <w:proofErr w:type="spellStart"/>
            <w:r w:rsidRPr="00C57DA6">
              <w:rPr>
                <w:rFonts w:ascii="Times New Roman" w:eastAsia="Times New Roman" w:hAnsi="Times New Roman" w:cs="Times New Roman"/>
                <w:sz w:val="24"/>
                <w:szCs w:val="24"/>
              </w:rPr>
              <w:t>проєктно</w:t>
            </w:r>
            <w:proofErr w:type="spellEnd"/>
            <w:r w:rsidRPr="00C57DA6">
              <w:rPr>
                <w:rFonts w:ascii="Times New Roman" w:eastAsia="Times New Roman" w:hAnsi="Times New Roman" w:cs="Times New Roman"/>
                <w:sz w:val="24"/>
                <w:szCs w:val="24"/>
              </w:rPr>
              <w:t>-вишукувальних робіт, додатком до якого є кошторис.</w:t>
            </w:r>
          </w:p>
          <w:p w:rsidR="00156F6C" w:rsidRPr="00651365" w:rsidRDefault="00C57DA6" w:rsidP="00C57DA6">
            <w:pPr>
              <w:ind w:firstLine="606"/>
              <w:jc w:val="both"/>
              <w:rPr>
                <w:rFonts w:ascii="Times New Roman" w:eastAsia="Times New Roman" w:hAnsi="Times New Roman" w:cs="Times New Roman"/>
                <w:sz w:val="24"/>
                <w:szCs w:val="24"/>
              </w:rPr>
            </w:pPr>
            <w:r w:rsidRPr="00C57DA6">
              <w:rPr>
                <w:rFonts w:ascii="Times New Roman" w:eastAsia="Times New Roman" w:hAnsi="Times New Roman" w:cs="Times New Roman"/>
                <w:sz w:val="24"/>
                <w:szCs w:val="24"/>
              </w:rPr>
              <w:t xml:space="preserve">У разі незгоди з вартістю виконання </w:t>
            </w:r>
            <w:proofErr w:type="spellStart"/>
            <w:r w:rsidRPr="00C57DA6">
              <w:rPr>
                <w:rFonts w:ascii="Times New Roman" w:eastAsia="Times New Roman" w:hAnsi="Times New Roman" w:cs="Times New Roman"/>
                <w:sz w:val="24"/>
                <w:szCs w:val="24"/>
              </w:rPr>
              <w:t>проєктних</w:t>
            </w:r>
            <w:proofErr w:type="spellEnd"/>
            <w:r w:rsidRPr="00C57DA6">
              <w:rPr>
                <w:rFonts w:ascii="Times New Roman" w:eastAsia="Times New Roman" w:hAnsi="Times New Roman" w:cs="Times New Roman"/>
                <w:sz w:val="24"/>
                <w:szCs w:val="24"/>
              </w:rPr>
              <w:t xml:space="preserve"> робіт оператор системи розподілу або замовник має право звернутися за висновком до державної експертної організації щодо підтвердження/спростування зазначеної вартості в акті виконаних робіт, про що письмово повідомляє замовника або оператора системи розподілу відповідно.</w:t>
            </w:r>
          </w:p>
        </w:tc>
        <w:tc>
          <w:tcPr>
            <w:tcW w:w="7939" w:type="dxa"/>
          </w:tcPr>
          <w:p w:rsidR="00156F6C" w:rsidRPr="00651365" w:rsidRDefault="00156F6C" w:rsidP="00156F6C">
            <w:pPr>
              <w:ind w:firstLine="448"/>
              <w:jc w:val="both"/>
              <w:rPr>
                <w:rFonts w:ascii="Times New Roman" w:eastAsia="Times New Roman" w:hAnsi="Times New Roman" w:cs="Times New Roman"/>
                <w:sz w:val="24"/>
                <w:szCs w:val="24"/>
              </w:rPr>
            </w:pPr>
          </w:p>
        </w:tc>
      </w:tr>
      <w:tr w:rsidR="00156F6C" w:rsidRPr="00651365" w:rsidTr="0018178C">
        <w:trPr>
          <w:trHeight w:val="708"/>
        </w:trPr>
        <w:tc>
          <w:tcPr>
            <w:tcW w:w="7938" w:type="dxa"/>
          </w:tcPr>
          <w:p w:rsidR="00C57DA6" w:rsidRPr="00C57DA6" w:rsidRDefault="00C57DA6" w:rsidP="00C57DA6">
            <w:pPr>
              <w:ind w:firstLine="606"/>
              <w:jc w:val="both"/>
              <w:rPr>
                <w:rFonts w:ascii="Times New Roman" w:eastAsia="Times New Roman" w:hAnsi="Times New Roman" w:cs="Times New Roman"/>
                <w:sz w:val="24"/>
                <w:szCs w:val="24"/>
              </w:rPr>
            </w:pPr>
            <w:r w:rsidRPr="00C57DA6">
              <w:rPr>
                <w:rFonts w:ascii="Times New Roman" w:eastAsia="Times New Roman" w:hAnsi="Times New Roman" w:cs="Times New Roman"/>
                <w:sz w:val="24"/>
                <w:szCs w:val="24"/>
              </w:rPr>
              <w:t xml:space="preserve">4.7. За умови забезпечення замовником виконання </w:t>
            </w:r>
            <w:proofErr w:type="spellStart"/>
            <w:r w:rsidRPr="00C57DA6">
              <w:rPr>
                <w:rFonts w:ascii="Times New Roman" w:eastAsia="Times New Roman" w:hAnsi="Times New Roman" w:cs="Times New Roman"/>
                <w:sz w:val="24"/>
                <w:szCs w:val="24"/>
              </w:rPr>
              <w:t>проєктної</w:t>
            </w:r>
            <w:proofErr w:type="spellEnd"/>
            <w:r w:rsidRPr="00C57DA6">
              <w:rPr>
                <w:rFonts w:ascii="Times New Roman" w:eastAsia="Times New Roman" w:hAnsi="Times New Roman" w:cs="Times New Roman"/>
                <w:sz w:val="24"/>
                <w:szCs w:val="24"/>
              </w:rPr>
              <w:t xml:space="preserve"> документації лінійної частини приєднання плата за нестандартне приєднання до електричних мереж оператора системи розподілу передбачає:</w:t>
            </w:r>
          </w:p>
          <w:p w:rsidR="00C57DA6" w:rsidRPr="00C57DA6" w:rsidRDefault="00C57DA6" w:rsidP="00C57DA6">
            <w:pPr>
              <w:ind w:firstLine="606"/>
              <w:jc w:val="both"/>
              <w:rPr>
                <w:rFonts w:ascii="Times New Roman" w:eastAsia="Times New Roman" w:hAnsi="Times New Roman" w:cs="Times New Roman"/>
                <w:sz w:val="24"/>
                <w:szCs w:val="24"/>
              </w:rPr>
            </w:pPr>
            <w:r w:rsidRPr="00C57DA6">
              <w:rPr>
                <w:rFonts w:ascii="Times New Roman" w:eastAsia="Times New Roman" w:hAnsi="Times New Roman" w:cs="Times New Roman"/>
                <w:sz w:val="24"/>
                <w:szCs w:val="24"/>
              </w:rPr>
              <w:t>складову плати за приєднання потужності (ураховуючи потужність, що створюється), яка визначається як добуток величини замовленої до приєднання потужності та ставки плати за нестандартне приєднання потужності;</w:t>
            </w:r>
          </w:p>
          <w:p w:rsidR="00156F6C" w:rsidRPr="00651365" w:rsidRDefault="00C57DA6" w:rsidP="00C57DA6">
            <w:pPr>
              <w:ind w:firstLine="606"/>
              <w:jc w:val="both"/>
              <w:rPr>
                <w:rFonts w:ascii="Times New Roman" w:eastAsia="Times New Roman" w:hAnsi="Times New Roman" w:cs="Times New Roman"/>
                <w:sz w:val="24"/>
                <w:szCs w:val="24"/>
              </w:rPr>
            </w:pPr>
            <w:r w:rsidRPr="00C57DA6">
              <w:rPr>
                <w:rFonts w:ascii="Times New Roman" w:eastAsia="Times New Roman" w:hAnsi="Times New Roman" w:cs="Times New Roman"/>
                <w:sz w:val="24"/>
                <w:szCs w:val="24"/>
              </w:rPr>
              <w:t xml:space="preserve">складову плати за створення електричних мереж лінійної частини приєднання, що визначається згідно з кошторисом, який є невід'ємною частиною відповідної </w:t>
            </w:r>
            <w:proofErr w:type="spellStart"/>
            <w:r w:rsidRPr="00C57DA6">
              <w:rPr>
                <w:rFonts w:ascii="Times New Roman" w:eastAsia="Times New Roman" w:hAnsi="Times New Roman" w:cs="Times New Roman"/>
                <w:sz w:val="24"/>
                <w:szCs w:val="24"/>
              </w:rPr>
              <w:t>проєктної</w:t>
            </w:r>
            <w:proofErr w:type="spellEnd"/>
            <w:r w:rsidRPr="00C57DA6">
              <w:rPr>
                <w:rFonts w:ascii="Times New Roman" w:eastAsia="Times New Roman" w:hAnsi="Times New Roman" w:cs="Times New Roman"/>
                <w:sz w:val="24"/>
                <w:szCs w:val="24"/>
              </w:rPr>
              <w:t xml:space="preserve"> документації, розробленої замовником з урахуванням вимог Кодексу систем розподілу.</w:t>
            </w:r>
          </w:p>
        </w:tc>
        <w:tc>
          <w:tcPr>
            <w:tcW w:w="7939" w:type="dxa"/>
          </w:tcPr>
          <w:p w:rsidR="00156F6C" w:rsidRPr="00651365" w:rsidRDefault="00156F6C" w:rsidP="00156F6C">
            <w:pPr>
              <w:ind w:firstLine="448"/>
              <w:jc w:val="both"/>
              <w:rPr>
                <w:rFonts w:ascii="Times New Roman" w:eastAsia="Times New Roman" w:hAnsi="Times New Roman" w:cs="Times New Roman"/>
                <w:sz w:val="24"/>
                <w:szCs w:val="24"/>
              </w:rPr>
            </w:pPr>
          </w:p>
        </w:tc>
      </w:tr>
      <w:tr w:rsidR="00792A24" w:rsidRPr="00651365" w:rsidTr="0018178C">
        <w:trPr>
          <w:trHeight w:val="708"/>
        </w:trPr>
        <w:tc>
          <w:tcPr>
            <w:tcW w:w="7938" w:type="dxa"/>
          </w:tcPr>
          <w:p w:rsidR="00792A24" w:rsidRPr="00792A24" w:rsidRDefault="00792A24" w:rsidP="00C57DA6">
            <w:pPr>
              <w:ind w:firstLine="606"/>
              <w:jc w:val="both"/>
              <w:rPr>
                <w:rFonts w:ascii="Times New Roman" w:eastAsia="Times New Roman" w:hAnsi="Times New Roman" w:cs="Times New Roman"/>
                <w:i/>
                <w:sz w:val="24"/>
                <w:szCs w:val="24"/>
              </w:rPr>
            </w:pPr>
            <w:r w:rsidRPr="00792A24">
              <w:rPr>
                <w:rFonts w:ascii="Times New Roman" w:eastAsia="Times New Roman" w:hAnsi="Times New Roman" w:cs="Times New Roman"/>
                <w:i/>
                <w:sz w:val="24"/>
                <w:szCs w:val="24"/>
              </w:rPr>
              <w:t>Пункт відсутній</w:t>
            </w:r>
          </w:p>
        </w:tc>
        <w:tc>
          <w:tcPr>
            <w:tcW w:w="7939" w:type="dxa"/>
          </w:tcPr>
          <w:p w:rsidR="00C4475B" w:rsidRPr="00C4475B" w:rsidRDefault="00C4475B" w:rsidP="00AF62BB">
            <w:pPr>
              <w:ind w:firstLine="606"/>
              <w:jc w:val="both"/>
              <w:rPr>
                <w:rFonts w:ascii="Times New Roman" w:eastAsia="Times New Roman" w:hAnsi="Times New Roman" w:cs="Times New Roman"/>
                <w:b/>
                <w:sz w:val="24"/>
                <w:szCs w:val="24"/>
              </w:rPr>
            </w:pPr>
            <w:r w:rsidRPr="00C4475B">
              <w:rPr>
                <w:rFonts w:ascii="Times New Roman" w:eastAsia="Times New Roman" w:hAnsi="Times New Roman" w:cs="Times New Roman"/>
                <w:b/>
                <w:sz w:val="24"/>
                <w:szCs w:val="24"/>
              </w:rPr>
              <w:t xml:space="preserve">4.8. За умови забезпечення замовником послуги з нестандартного приєднання потужності більше 1 МВт з </w:t>
            </w:r>
            <w:proofErr w:type="spellStart"/>
            <w:r w:rsidRPr="00C4475B">
              <w:rPr>
                <w:rFonts w:ascii="Times New Roman" w:eastAsia="Times New Roman" w:hAnsi="Times New Roman" w:cs="Times New Roman"/>
                <w:b/>
                <w:sz w:val="24"/>
                <w:szCs w:val="24"/>
              </w:rPr>
              <w:t>про</w:t>
            </w:r>
            <w:r w:rsidR="00B42F3C">
              <w:rPr>
                <w:rFonts w:ascii="Times New Roman" w:eastAsia="Times New Roman" w:hAnsi="Times New Roman" w:cs="Times New Roman"/>
                <w:b/>
                <w:sz w:val="24"/>
                <w:szCs w:val="24"/>
              </w:rPr>
              <w:t>є</w:t>
            </w:r>
            <w:r w:rsidRPr="00C4475B">
              <w:rPr>
                <w:rFonts w:ascii="Times New Roman" w:eastAsia="Times New Roman" w:hAnsi="Times New Roman" w:cs="Times New Roman"/>
                <w:b/>
                <w:sz w:val="24"/>
                <w:szCs w:val="24"/>
              </w:rPr>
              <w:t>ктуванням</w:t>
            </w:r>
            <w:proofErr w:type="spellEnd"/>
            <w:r w:rsidRPr="00C4475B">
              <w:rPr>
                <w:rFonts w:ascii="Times New Roman" w:eastAsia="Times New Roman" w:hAnsi="Times New Roman" w:cs="Times New Roman"/>
                <w:b/>
                <w:sz w:val="24"/>
                <w:szCs w:val="24"/>
              </w:rPr>
              <w:t xml:space="preserve"> замовником лінійної частини приєднання розроблення та узгодження з оператором системи розподілу </w:t>
            </w:r>
            <w:proofErr w:type="spellStart"/>
            <w:r w:rsidRPr="00C4475B">
              <w:rPr>
                <w:rFonts w:ascii="Times New Roman" w:eastAsia="Times New Roman" w:hAnsi="Times New Roman" w:cs="Times New Roman"/>
                <w:b/>
                <w:sz w:val="24"/>
                <w:szCs w:val="24"/>
              </w:rPr>
              <w:t>про</w:t>
            </w:r>
            <w:r w:rsidR="00B42F3C">
              <w:rPr>
                <w:rFonts w:ascii="Times New Roman" w:eastAsia="Times New Roman" w:hAnsi="Times New Roman" w:cs="Times New Roman"/>
                <w:b/>
                <w:sz w:val="24"/>
                <w:szCs w:val="24"/>
              </w:rPr>
              <w:t>є</w:t>
            </w:r>
            <w:r w:rsidRPr="00C4475B">
              <w:rPr>
                <w:rFonts w:ascii="Times New Roman" w:eastAsia="Times New Roman" w:hAnsi="Times New Roman" w:cs="Times New Roman"/>
                <w:b/>
                <w:sz w:val="24"/>
                <w:szCs w:val="24"/>
              </w:rPr>
              <w:t>ктної</w:t>
            </w:r>
            <w:proofErr w:type="spellEnd"/>
            <w:r w:rsidRPr="00C4475B">
              <w:rPr>
                <w:rFonts w:ascii="Times New Roman" w:eastAsia="Times New Roman" w:hAnsi="Times New Roman" w:cs="Times New Roman"/>
                <w:b/>
                <w:sz w:val="24"/>
                <w:szCs w:val="24"/>
              </w:rPr>
              <w:t xml:space="preserve"> документації на будівництво електричних мереж лінійної частини приєднання та/або робіт із створення потужності, а також виконання будівельно-монтажних та пусконалагоджувальних робіт щодо будівництва електричних мереж лінійної частини приєднання та/або робіт із створення потужності, плата за нестандартне приєднання до електричних мереж оператора системи розподілу передбачає:</w:t>
            </w:r>
          </w:p>
          <w:p w:rsidR="00C4475B" w:rsidRPr="00C4475B" w:rsidRDefault="00C4475B" w:rsidP="00AF62BB">
            <w:pPr>
              <w:ind w:firstLine="606"/>
              <w:jc w:val="both"/>
              <w:rPr>
                <w:rFonts w:ascii="Times New Roman" w:eastAsia="Times New Roman" w:hAnsi="Times New Roman" w:cs="Times New Roman"/>
                <w:b/>
                <w:sz w:val="24"/>
                <w:szCs w:val="24"/>
              </w:rPr>
            </w:pPr>
            <w:r w:rsidRPr="00C4475B">
              <w:rPr>
                <w:rFonts w:ascii="Times New Roman" w:eastAsia="Times New Roman" w:hAnsi="Times New Roman" w:cs="Times New Roman"/>
                <w:b/>
                <w:sz w:val="24"/>
                <w:szCs w:val="24"/>
              </w:rPr>
              <w:t>складову плати за приєднання потужності (ураховуючи потужність, що створюється), яка визначається як добуток величини замовленої до приєднання потужності та ставки плати за нестандартне приєднання потужності;</w:t>
            </w:r>
          </w:p>
          <w:p w:rsidR="00792A24" w:rsidRPr="00C4475B" w:rsidRDefault="00C4475B" w:rsidP="00AF62BB">
            <w:pPr>
              <w:ind w:firstLine="606"/>
              <w:jc w:val="both"/>
              <w:rPr>
                <w:rFonts w:ascii="Times New Roman" w:eastAsia="Times New Roman" w:hAnsi="Times New Roman" w:cs="Times New Roman"/>
                <w:b/>
                <w:sz w:val="24"/>
                <w:szCs w:val="24"/>
              </w:rPr>
            </w:pPr>
            <w:r w:rsidRPr="00C4475B">
              <w:rPr>
                <w:rFonts w:ascii="Times New Roman" w:eastAsia="Times New Roman" w:hAnsi="Times New Roman" w:cs="Times New Roman"/>
                <w:b/>
                <w:sz w:val="24"/>
                <w:szCs w:val="24"/>
              </w:rPr>
              <w:t xml:space="preserve">складову плати за створення електричних мереж лінійної частини приєднання, що визначається згідно з кошторисом, який є невід'ємною частиною відповідної </w:t>
            </w:r>
            <w:proofErr w:type="spellStart"/>
            <w:r w:rsidRPr="00C4475B">
              <w:rPr>
                <w:rFonts w:ascii="Times New Roman" w:eastAsia="Times New Roman" w:hAnsi="Times New Roman" w:cs="Times New Roman"/>
                <w:b/>
                <w:sz w:val="24"/>
                <w:szCs w:val="24"/>
              </w:rPr>
              <w:t>проєктної</w:t>
            </w:r>
            <w:proofErr w:type="spellEnd"/>
            <w:r w:rsidRPr="00C4475B">
              <w:rPr>
                <w:rFonts w:ascii="Times New Roman" w:eastAsia="Times New Roman" w:hAnsi="Times New Roman" w:cs="Times New Roman"/>
                <w:b/>
                <w:sz w:val="24"/>
                <w:szCs w:val="24"/>
              </w:rPr>
              <w:t xml:space="preserve"> документації, розробленої замовником з урахуванням вимог Кодексу систем розподілу.</w:t>
            </w:r>
          </w:p>
          <w:p w:rsidR="00C4475B" w:rsidRPr="00651365" w:rsidRDefault="00C4475B" w:rsidP="00AF62BB">
            <w:pPr>
              <w:ind w:firstLine="606"/>
              <w:jc w:val="both"/>
              <w:rPr>
                <w:rFonts w:ascii="Times New Roman" w:eastAsia="Times New Roman" w:hAnsi="Times New Roman" w:cs="Times New Roman"/>
                <w:sz w:val="24"/>
                <w:szCs w:val="24"/>
              </w:rPr>
            </w:pPr>
            <w:r w:rsidRPr="00C4475B">
              <w:rPr>
                <w:rFonts w:ascii="Times New Roman" w:eastAsia="Times New Roman" w:hAnsi="Times New Roman" w:cs="Times New Roman"/>
                <w:b/>
                <w:sz w:val="24"/>
                <w:szCs w:val="24"/>
              </w:rPr>
              <w:lastRenderedPageBreak/>
              <w:t xml:space="preserve">При цьому сума витрат такого замовника, пов’язаних з виконанням </w:t>
            </w:r>
            <w:proofErr w:type="spellStart"/>
            <w:r w:rsidRPr="00C4475B">
              <w:rPr>
                <w:rFonts w:ascii="Times New Roman" w:eastAsia="Times New Roman" w:hAnsi="Times New Roman" w:cs="Times New Roman"/>
                <w:b/>
                <w:sz w:val="24"/>
                <w:szCs w:val="24"/>
              </w:rPr>
              <w:t>про</w:t>
            </w:r>
            <w:r w:rsidR="00B42F3C">
              <w:rPr>
                <w:rFonts w:ascii="Times New Roman" w:eastAsia="Times New Roman" w:hAnsi="Times New Roman" w:cs="Times New Roman"/>
                <w:b/>
                <w:sz w:val="24"/>
                <w:szCs w:val="24"/>
              </w:rPr>
              <w:t>є</w:t>
            </w:r>
            <w:r w:rsidRPr="00C4475B">
              <w:rPr>
                <w:rFonts w:ascii="Times New Roman" w:eastAsia="Times New Roman" w:hAnsi="Times New Roman" w:cs="Times New Roman"/>
                <w:b/>
                <w:sz w:val="24"/>
                <w:szCs w:val="24"/>
              </w:rPr>
              <w:t>ктування</w:t>
            </w:r>
            <w:proofErr w:type="spellEnd"/>
            <w:r w:rsidRPr="00C4475B">
              <w:rPr>
                <w:rFonts w:ascii="Times New Roman" w:eastAsia="Times New Roman" w:hAnsi="Times New Roman" w:cs="Times New Roman"/>
                <w:b/>
                <w:sz w:val="24"/>
                <w:szCs w:val="24"/>
              </w:rPr>
              <w:t xml:space="preserve"> електричних мереж, будівельно-монтажних, пусконалагоджувальних робіт лінійної частини приєднання та/або робіт із створення потужності, яка враховується у загальному розмірі плати за нестандартне приєднання, не може перевищувати відповідну плату за нестандартне приєднання.</w:t>
            </w:r>
          </w:p>
        </w:tc>
      </w:tr>
      <w:tr w:rsidR="00156F6C" w:rsidRPr="00651365" w:rsidTr="00D426BB">
        <w:trPr>
          <w:trHeight w:val="245"/>
        </w:trPr>
        <w:tc>
          <w:tcPr>
            <w:tcW w:w="15877" w:type="dxa"/>
            <w:gridSpan w:val="2"/>
          </w:tcPr>
          <w:p w:rsidR="00156F6C" w:rsidRPr="00651365" w:rsidRDefault="00156F6C" w:rsidP="00156F6C">
            <w:pPr>
              <w:shd w:val="clear" w:color="auto" w:fill="FFFFFF"/>
              <w:spacing w:after="150"/>
              <w:ind w:firstLine="606"/>
              <w:jc w:val="center"/>
              <w:rPr>
                <w:rFonts w:ascii="Times New Roman" w:eastAsia="Times New Roman" w:hAnsi="Times New Roman" w:cs="Times New Roman"/>
                <w:b/>
                <w:sz w:val="24"/>
                <w:szCs w:val="24"/>
                <w:lang w:eastAsia="uk-UA"/>
              </w:rPr>
            </w:pPr>
            <w:r w:rsidRPr="00651365">
              <w:rPr>
                <w:rFonts w:ascii="Times New Roman" w:eastAsia="Times New Roman" w:hAnsi="Times New Roman" w:cs="Times New Roman"/>
                <w:b/>
                <w:sz w:val="24"/>
                <w:szCs w:val="24"/>
                <w:lang w:eastAsia="uk-UA"/>
              </w:rPr>
              <w:lastRenderedPageBreak/>
              <w:t>5. Порядок формування плати за нестандартне приєднання електроустановок до електричних мереж</w:t>
            </w:r>
          </w:p>
        </w:tc>
      </w:tr>
      <w:tr w:rsidR="00156F6C" w:rsidRPr="00651365" w:rsidTr="0018178C">
        <w:trPr>
          <w:trHeight w:val="708"/>
        </w:trPr>
        <w:tc>
          <w:tcPr>
            <w:tcW w:w="7938" w:type="dxa"/>
          </w:tcPr>
          <w:p w:rsidR="00156F6C" w:rsidRPr="00651365" w:rsidRDefault="00C57DA6" w:rsidP="00156F6C">
            <w:pPr>
              <w:pStyle w:val="rvps2"/>
              <w:shd w:val="clear" w:color="auto" w:fill="FFFFFF"/>
              <w:spacing w:before="0" w:beforeAutospacing="0" w:after="150" w:afterAutospacing="0"/>
              <w:ind w:firstLine="606"/>
              <w:jc w:val="both"/>
            </w:pPr>
            <w:r w:rsidRPr="00C57DA6">
              <w:rPr>
                <w:shd w:val="clear" w:color="auto" w:fill="FFFFFF"/>
              </w:rPr>
              <w:t xml:space="preserve">5.9. Плата за нестандартне приєднання з </w:t>
            </w:r>
            <w:proofErr w:type="spellStart"/>
            <w:r w:rsidRPr="00C57DA6">
              <w:rPr>
                <w:shd w:val="clear" w:color="auto" w:fill="FFFFFF"/>
              </w:rPr>
              <w:t>проєктуванням</w:t>
            </w:r>
            <w:proofErr w:type="spellEnd"/>
            <w:r w:rsidRPr="00C57DA6">
              <w:rPr>
                <w:shd w:val="clear" w:color="auto" w:fill="FFFFFF"/>
              </w:rPr>
              <w:t xml:space="preserve"> лінійної частини приєднання замовником </w:t>
            </w:r>
            <w:proofErr w:type="spellStart"/>
            <w:r w:rsidRPr="00C57DA6">
              <w:rPr>
                <w:shd w:val="clear" w:color="auto" w:fill="FFFFFF"/>
              </w:rPr>
              <w:t>Пнст</w:t>
            </w:r>
            <w:proofErr w:type="spellEnd"/>
            <w:r w:rsidRPr="00C57DA6">
              <w:rPr>
                <w:shd w:val="clear" w:color="auto" w:fill="FFFFFF"/>
              </w:rPr>
              <w:t xml:space="preserve"> розраховується за формулою 5 цієї Методики, при цьому складова плати за створення електричних мереж лінійної частини приєднання </w:t>
            </w:r>
            <w:r w:rsidRPr="00C57DA6">
              <w:rPr>
                <w:noProof/>
                <w:shd w:val="clear" w:color="auto" w:fill="FFFFFF"/>
              </w:rPr>
              <w:drawing>
                <wp:inline distT="0" distB="0" distL="0" distR="0">
                  <wp:extent cx="1752600" cy="276225"/>
                  <wp:effectExtent l="0" t="0" r="0" b="9525"/>
                  <wp:docPr id="85" name="Рисунок 85" descr="https://zakon.rada.gov.ua/laws/file/imgs/117/p480243n481-40.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zakon.rada.gov.ua/laws/file/imgs/117/p480243n481-40.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2600" cy="276225"/>
                          </a:xfrm>
                          <a:prstGeom prst="rect">
                            <a:avLst/>
                          </a:prstGeom>
                          <a:noFill/>
                          <a:ln>
                            <a:noFill/>
                          </a:ln>
                        </pic:spPr>
                      </pic:pic>
                    </a:graphicData>
                  </a:graphic>
                </wp:inline>
              </w:drawing>
            </w:r>
            <w:r w:rsidRPr="00C57DA6">
              <w:rPr>
                <w:shd w:val="clear" w:color="auto" w:fill="FFFFFF"/>
              </w:rPr>
              <w:t> визначається згідно з кошторисом, який є невід’ємною частиною відповідної проектної документації, розробленої замовником з урахуванням вимог Кодексу систем розподілу.</w:t>
            </w:r>
          </w:p>
        </w:tc>
        <w:tc>
          <w:tcPr>
            <w:tcW w:w="7939" w:type="dxa"/>
          </w:tcPr>
          <w:p w:rsidR="00156F6C" w:rsidRPr="00651365" w:rsidRDefault="00156F6C" w:rsidP="00156F6C">
            <w:pPr>
              <w:shd w:val="clear" w:color="auto" w:fill="FFFFFF"/>
              <w:spacing w:after="150"/>
              <w:ind w:firstLine="450"/>
              <w:jc w:val="both"/>
              <w:rPr>
                <w:rFonts w:ascii="Times New Roman" w:eastAsia="Times New Roman" w:hAnsi="Times New Roman" w:cs="Times New Roman"/>
                <w:sz w:val="24"/>
                <w:szCs w:val="24"/>
                <w:lang w:eastAsia="uk-UA"/>
              </w:rPr>
            </w:pPr>
          </w:p>
        </w:tc>
      </w:tr>
      <w:tr w:rsidR="00156F6C" w:rsidRPr="00651365" w:rsidTr="0018178C">
        <w:trPr>
          <w:trHeight w:val="708"/>
        </w:trPr>
        <w:tc>
          <w:tcPr>
            <w:tcW w:w="7938" w:type="dxa"/>
          </w:tcPr>
          <w:p w:rsidR="00156F6C" w:rsidRPr="00C4475B" w:rsidRDefault="00C4475B" w:rsidP="00156F6C">
            <w:pPr>
              <w:pStyle w:val="rvps2"/>
              <w:shd w:val="clear" w:color="auto" w:fill="FFFFFF"/>
              <w:spacing w:before="0" w:beforeAutospacing="0" w:after="150" w:afterAutospacing="0"/>
              <w:ind w:firstLine="606"/>
              <w:jc w:val="both"/>
              <w:rPr>
                <w:i/>
              </w:rPr>
            </w:pPr>
            <w:r w:rsidRPr="00C4475B">
              <w:rPr>
                <w:i/>
              </w:rPr>
              <w:t>Пункт відсутній</w:t>
            </w:r>
          </w:p>
        </w:tc>
        <w:tc>
          <w:tcPr>
            <w:tcW w:w="7939" w:type="dxa"/>
          </w:tcPr>
          <w:p w:rsidR="00E367A3" w:rsidRPr="00E367A3" w:rsidRDefault="00E367A3" w:rsidP="00E367A3">
            <w:pPr>
              <w:shd w:val="clear" w:color="auto" w:fill="FFFFFF"/>
              <w:ind w:firstLine="610"/>
              <w:jc w:val="both"/>
              <w:rPr>
                <w:rFonts w:ascii="Times New Roman" w:eastAsia="Times New Roman" w:hAnsi="Times New Roman" w:cs="Times New Roman"/>
                <w:b/>
                <w:sz w:val="24"/>
                <w:szCs w:val="24"/>
                <w:lang w:eastAsia="uk-UA"/>
              </w:rPr>
            </w:pPr>
            <w:r w:rsidRPr="00E367A3">
              <w:rPr>
                <w:rFonts w:ascii="Times New Roman" w:eastAsia="Times New Roman" w:hAnsi="Times New Roman" w:cs="Times New Roman"/>
                <w:b/>
                <w:sz w:val="24"/>
                <w:szCs w:val="24"/>
                <w:lang w:eastAsia="uk-UA"/>
              </w:rPr>
              <w:t>5.11. У випадках, визначених Кодексом систем розподілу, якщо приєднання електроустановок замовника до електричних мереж оператора системи розподілу здійснюється на підставі багатостороннього договору про приєднання плата замовника за послугу з приєднання передбачає:</w:t>
            </w:r>
          </w:p>
          <w:p w:rsidR="00E367A3" w:rsidRPr="00E367A3" w:rsidRDefault="00E367A3" w:rsidP="00E367A3">
            <w:pPr>
              <w:shd w:val="clear" w:color="auto" w:fill="FFFFFF"/>
              <w:ind w:firstLine="610"/>
              <w:jc w:val="both"/>
              <w:rPr>
                <w:rFonts w:ascii="Times New Roman" w:eastAsia="Times New Roman" w:hAnsi="Times New Roman" w:cs="Times New Roman"/>
                <w:b/>
                <w:sz w:val="24"/>
                <w:szCs w:val="24"/>
                <w:lang w:eastAsia="uk-UA"/>
              </w:rPr>
            </w:pPr>
            <w:r w:rsidRPr="00E367A3">
              <w:rPr>
                <w:rFonts w:ascii="Times New Roman" w:eastAsia="Times New Roman" w:hAnsi="Times New Roman" w:cs="Times New Roman"/>
                <w:b/>
                <w:sz w:val="24"/>
                <w:szCs w:val="24"/>
                <w:lang w:eastAsia="uk-UA"/>
              </w:rPr>
              <w:t>складову плати за здійснення будівництва та/або технічного переоснащення електричних мереж систем розподілу, яка визначається як добуток величини замовленої до приєднання потужності, ставки плати за нестандартне приєднання потужності та складової плати за створення електричних мереж системи розподілу лінійної частини приєднання;</w:t>
            </w:r>
          </w:p>
          <w:p w:rsidR="00E367A3" w:rsidRPr="00E367A3" w:rsidRDefault="00E367A3" w:rsidP="00E367A3">
            <w:pPr>
              <w:shd w:val="clear" w:color="auto" w:fill="FFFFFF"/>
              <w:ind w:firstLine="610"/>
              <w:jc w:val="both"/>
              <w:rPr>
                <w:rFonts w:ascii="Times New Roman" w:eastAsia="Times New Roman" w:hAnsi="Times New Roman" w:cs="Times New Roman"/>
                <w:b/>
                <w:sz w:val="24"/>
                <w:szCs w:val="24"/>
                <w:lang w:eastAsia="uk-UA"/>
              </w:rPr>
            </w:pPr>
            <w:r w:rsidRPr="00E367A3">
              <w:rPr>
                <w:rFonts w:ascii="Times New Roman" w:eastAsia="Times New Roman" w:hAnsi="Times New Roman" w:cs="Times New Roman"/>
                <w:b/>
                <w:sz w:val="24"/>
                <w:szCs w:val="24"/>
                <w:lang w:eastAsia="uk-UA"/>
              </w:rPr>
              <w:t xml:space="preserve">складову плати за здійснення будівництва та/або технічного переоснащення електричних мереж системи передачі, яка визначається згідно з узгодженою </w:t>
            </w:r>
            <w:proofErr w:type="spellStart"/>
            <w:r w:rsidRPr="00E367A3">
              <w:rPr>
                <w:rFonts w:ascii="Times New Roman" w:eastAsia="Times New Roman" w:hAnsi="Times New Roman" w:cs="Times New Roman"/>
                <w:b/>
                <w:sz w:val="24"/>
                <w:szCs w:val="24"/>
                <w:lang w:eastAsia="uk-UA"/>
              </w:rPr>
              <w:t>проєктно</w:t>
            </w:r>
            <w:proofErr w:type="spellEnd"/>
            <w:r w:rsidRPr="00E367A3">
              <w:rPr>
                <w:rFonts w:ascii="Times New Roman" w:eastAsia="Times New Roman" w:hAnsi="Times New Roman" w:cs="Times New Roman"/>
                <w:b/>
                <w:sz w:val="24"/>
                <w:szCs w:val="24"/>
                <w:lang w:eastAsia="uk-UA"/>
              </w:rPr>
              <w:t>-кошторисною документацією;</w:t>
            </w:r>
          </w:p>
          <w:p w:rsidR="00156F6C" w:rsidRPr="00651365" w:rsidRDefault="00E367A3" w:rsidP="00E367A3">
            <w:pPr>
              <w:shd w:val="clear" w:color="auto" w:fill="FFFFFF"/>
              <w:ind w:firstLine="610"/>
              <w:jc w:val="both"/>
              <w:rPr>
                <w:rFonts w:ascii="Times New Roman" w:eastAsia="Times New Roman" w:hAnsi="Times New Roman" w:cs="Times New Roman"/>
                <w:sz w:val="24"/>
                <w:szCs w:val="24"/>
                <w:lang w:eastAsia="uk-UA"/>
              </w:rPr>
            </w:pPr>
            <w:r w:rsidRPr="00E367A3">
              <w:rPr>
                <w:rFonts w:ascii="Times New Roman" w:eastAsia="Times New Roman" w:hAnsi="Times New Roman" w:cs="Times New Roman"/>
                <w:b/>
                <w:sz w:val="24"/>
                <w:szCs w:val="24"/>
                <w:lang w:eastAsia="uk-UA"/>
              </w:rPr>
              <w:t xml:space="preserve">складову плати за здійснення будівництва та/або технічного переоснащення електричних мереж інших суб’єктів господарювання, яка визначається згідно з узгодженою </w:t>
            </w:r>
            <w:proofErr w:type="spellStart"/>
            <w:r w:rsidRPr="00E367A3">
              <w:rPr>
                <w:rFonts w:ascii="Times New Roman" w:eastAsia="Times New Roman" w:hAnsi="Times New Roman" w:cs="Times New Roman"/>
                <w:b/>
                <w:sz w:val="24"/>
                <w:szCs w:val="24"/>
                <w:lang w:eastAsia="uk-UA"/>
              </w:rPr>
              <w:t>проєктно</w:t>
            </w:r>
            <w:proofErr w:type="spellEnd"/>
            <w:r w:rsidRPr="00E367A3">
              <w:rPr>
                <w:rFonts w:ascii="Times New Roman" w:eastAsia="Times New Roman" w:hAnsi="Times New Roman" w:cs="Times New Roman"/>
                <w:b/>
                <w:sz w:val="24"/>
                <w:szCs w:val="24"/>
                <w:lang w:eastAsia="uk-UA"/>
              </w:rPr>
              <w:t>-кошторисною документацією.</w:t>
            </w:r>
          </w:p>
        </w:tc>
      </w:tr>
      <w:tr w:rsidR="00156F6C" w:rsidRPr="00651365" w:rsidTr="002C2E91">
        <w:trPr>
          <w:trHeight w:val="349"/>
        </w:trPr>
        <w:tc>
          <w:tcPr>
            <w:tcW w:w="15877" w:type="dxa"/>
            <w:gridSpan w:val="2"/>
          </w:tcPr>
          <w:p w:rsidR="00156F6C" w:rsidRPr="00651365" w:rsidRDefault="00156F6C" w:rsidP="00156F6C">
            <w:pPr>
              <w:shd w:val="clear" w:color="auto" w:fill="FFFFFF"/>
              <w:spacing w:after="150"/>
              <w:ind w:firstLine="606"/>
              <w:jc w:val="center"/>
              <w:rPr>
                <w:rFonts w:ascii="Times New Roman" w:eastAsia="Times New Roman" w:hAnsi="Times New Roman" w:cs="Times New Roman"/>
                <w:b/>
                <w:sz w:val="24"/>
                <w:szCs w:val="24"/>
                <w:lang w:eastAsia="uk-UA"/>
              </w:rPr>
            </w:pPr>
            <w:r w:rsidRPr="00651365">
              <w:rPr>
                <w:rFonts w:ascii="Times New Roman" w:eastAsia="Times New Roman" w:hAnsi="Times New Roman" w:cs="Times New Roman"/>
                <w:b/>
                <w:sz w:val="24"/>
                <w:szCs w:val="24"/>
                <w:lang w:eastAsia="uk-UA"/>
              </w:rPr>
              <w:t>6. Плата за приєднання до електричних мереж системи передачі</w:t>
            </w:r>
          </w:p>
        </w:tc>
      </w:tr>
      <w:tr w:rsidR="009E68B2" w:rsidRPr="00651365" w:rsidTr="0018178C">
        <w:trPr>
          <w:trHeight w:val="708"/>
        </w:trPr>
        <w:tc>
          <w:tcPr>
            <w:tcW w:w="7938" w:type="dxa"/>
          </w:tcPr>
          <w:p w:rsidR="009E68B2" w:rsidRPr="00651365" w:rsidRDefault="00E367A3" w:rsidP="00156F6C">
            <w:pPr>
              <w:ind w:firstLine="606"/>
              <w:jc w:val="both"/>
              <w:rPr>
                <w:rFonts w:ascii="Times New Roman" w:eastAsia="Times New Roman" w:hAnsi="Times New Roman" w:cs="Times New Roman"/>
                <w:sz w:val="24"/>
                <w:szCs w:val="24"/>
              </w:rPr>
            </w:pPr>
            <w:r w:rsidRPr="00651365">
              <w:rPr>
                <w:rFonts w:ascii="Times New Roman" w:eastAsia="Times New Roman" w:hAnsi="Times New Roman" w:cs="Times New Roman"/>
                <w:sz w:val="24"/>
                <w:szCs w:val="24"/>
              </w:rPr>
              <w:lastRenderedPageBreak/>
              <w:t xml:space="preserve">6.1. Плата за приєднання до електричних мереж оператора системи передачі визначається згідно з кошторисом, який є невід'ємною частиною відповідної </w:t>
            </w:r>
            <w:proofErr w:type="spellStart"/>
            <w:r w:rsidRPr="00651365">
              <w:rPr>
                <w:rFonts w:ascii="Times New Roman" w:eastAsia="Times New Roman" w:hAnsi="Times New Roman" w:cs="Times New Roman"/>
                <w:sz w:val="24"/>
                <w:szCs w:val="24"/>
              </w:rPr>
              <w:t>проєктної</w:t>
            </w:r>
            <w:proofErr w:type="spellEnd"/>
            <w:r w:rsidRPr="00651365">
              <w:rPr>
                <w:rFonts w:ascii="Times New Roman" w:eastAsia="Times New Roman" w:hAnsi="Times New Roman" w:cs="Times New Roman"/>
                <w:sz w:val="24"/>
                <w:szCs w:val="24"/>
              </w:rPr>
              <w:t xml:space="preserve"> документації, розробленої з урахуванням вимог Кодексу системи передачі.</w:t>
            </w:r>
          </w:p>
        </w:tc>
        <w:tc>
          <w:tcPr>
            <w:tcW w:w="7939" w:type="dxa"/>
          </w:tcPr>
          <w:p w:rsidR="00E367A3" w:rsidRPr="00263988" w:rsidRDefault="00E367A3" w:rsidP="00E367A3">
            <w:pPr>
              <w:shd w:val="clear" w:color="auto" w:fill="FFFFFF"/>
              <w:ind w:firstLine="610"/>
              <w:jc w:val="both"/>
              <w:rPr>
                <w:rFonts w:ascii="Times New Roman" w:hAnsi="Times New Roman" w:cs="Times New Roman"/>
                <w:sz w:val="24"/>
                <w:szCs w:val="24"/>
              </w:rPr>
            </w:pPr>
            <w:r w:rsidRPr="00263988">
              <w:rPr>
                <w:rFonts w:ascii="Times New Roman" w:hAnsi="Times New Roman" w:cs="Times New Roman"/>
                <w:sz w:val="24"/>
                <w:szCs w:val="24"/>
              </w:rPr>
              <w:t xml:space="preserve">6.1. Плата за приєднання до електричних мереж оператора системи передачі визначається згідно з кошторисом, який є невід'ємною частиною відповідної </w:t>
            </w:r>
            <w:proofErr w:type="spellStart"/>
            <w:r w:rsidRPr="00263988">
              <w:rPr>
                <w:rFonts w:ascii="Times New Roman" w:hAnsi="Times New Roman" w:cs="Times New Roman"/>
                <w:sz w:val="24"/>
                <w:szCs w:val="24"/>
              </w:rPr>
              <w:t>проєктної</w:t>
            </w:r>
            <w:proofErr w:type="spellEnd"/>
            <w:r w:rsidRPr="00263988">
              <w:rPr>
                <w:rFonts w:ascii="Times New Roman" w:hAnsi="Times New Roman" w:cs="Times New Roman"/>
                <w:sz w:val="24"/>
                <w:szCs w:val="24"/>
              </w:rPr>
              <w:t xml:space="preserve"> документації, розробленої з урахуванням вимог Кодексу системи передачі.</w:t>
            </w:r>
          </w:p>
          <w:p w:rsidR="00E367A3" w:rsidRPr="00E367A3" w:rsidRDefault="00E367A3" w:rsidP="00E367A3">
            <w:pPr>
              <w:shd w:val="clear" w:color="auto" w:fill="FFFFFF"/>
              <w:ind w:firstLine="610"/>
              <w:jc w:val="both"/>
              <w:rPr>
                <w:rFonts w:ascii="Times New Roman" w:hAnsi="Times New Roman" w:cs="Times New Roman"/>
                <w:b/>
                <w:sz w:val="24"/>
                <w:szCs w:val="24"/>
              </w:rPr>
            </w:pPr>
            <w:r w:rsidRPr="00E367A3">
              <w:rPr>
                <w:rFonts w:ascii="Times New Roman" w:hAnsi="Times New Roman" w:cs="Times New Roman"/>
                <w:b/>
                <w:sz w:val="24"/>
                <w:szCs w:val="24"/>
              </w:rPr>
              <w:t xml:space="preserve">Сума витрат замовника, пов’язаних з розробленням та узгодження з іншими заінтересованими сторонами </w:t>
            </w:r>
            <w:proofErr w:type="spellStart"/>
            <w:r w:rsidRPr="00E367A3">
              <w:rPr>
                <w:rFonts w:ascii="Times New Roman" w:hAnsi="Times New Roman" w:cs="Times New Roman"/>
                <w:b/>
                <w:sz w:val="24"/>
                <w:szCs w:val="24"/>
              </w:rPr>
              <w:t>проєктної</w:t>
            </w:r>
            <w:proofErr w:type="spellEnd"/>
            <w:r w:rsidRPr="00E367A3">
              <w:rPr>
                <w:rFonts w:ascii="Times New Roman" w:hAnsi="Times New Roman" w:cs="Times New Roman"/>
                <w:b/>
                <w:sz w:val="24"/>
                <w:szCs w:val="24"/>
              </w:rPr>
              <w:t xml:space="preserve">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виключається із загальної величини плати за приєднання  до електричних мереж оператора системи передачі за умови безоплатної передачі оператору системи передачі такої </w:t>
            </w:r>
            <w:proofErr w:type="spellStart"/>
            <w:r w:rsidRPr="00E367A3">
              <w:rPr>
                <w:rFonts w:ascii="Times New Roman" w:hAnsi="Times New Roman" w:cs="Times New Roman"/>
                <w:b/>
                <w:sz w:val="24"/>
                <w:szCs w:val="24"/>
              </w:rPr>
              <w:t>про</w:t>
            </w:r>
            <w:r w:rsidR="00E22980">
              <w:rPr>
                <w:rFonts w:ascii="Times New Roman" w:hAnsi="Times New Roman" w:cs="Times New Roman"/>
                <w:b/>
                <w:sz w:val="24"/>
                <w:szCs w:val="24"/>
              </w:rPr>
              <w:t>є</w:t>
            </w:r>
            <w:r w:rsidRPr="00E367A3">
              <w:rPr>
                <w:rFonts w:ascii="Times New Roman" w:hAnsi="Times New Roman" w:cs="Times New Roman"/>
                <w:b/>
                <w:sz w:val="24"/>
                <w:szCs w:val="24"/>
              </w:rPr>
              <w:t>ктної</w:t>
            </w:r>
            <w:proofErr w:type="spellEnd"/>
            <w:r w:rsidRPr="00E367A3">
              <w:rPr>
                <w:rFonts w:ascii="Times New Roman" w:hAnsi="Times New Roman" w:cs="Times New Roman"/>
                <w:b/>
                <w:sz w:val="24"/>
                <w:szCs w:val="24"/>
              </w:rPr>
              <w:t xml:space="preserve"> документації з авторськими правами на неї.</w:t>
            </w:r>
          </w:p>
          <w:p w:rsidR="009E68B2" w:rsidRDefault="00E367A3" w:rsidP="00E367A3">
            <w:pPr>
              <w:pStyle w:val="rvps2"/>
              <w:spacing w:before="0" w:beforeAutospacing="0" w:after="0" w:afterAutospacing="0"/>
              <w:ind w:firstLine="610"/>
              <w:jc w:val="both"/>
            </w:pPr>
            <w:r w:rsidRPr="00E367A3">
              <w:rPr>
                <w:b/>
              </w:rPr>
              <w:t xml:space="preserve">Підставою виключення суми витрат замовника, пов'язаних з виконанням </w:t>
            </w:r>
            <w:proofErr w:type="spellStart"/>
            <w:r w:rsidRPr="00E367A3">
              <w:rPr>
                <w:b/>
              </w:rPr>
              <w:t>проєктних</w:t>
            </w:r>
            <w:proofErr w:type="spellEnd"/>
            <w:r w:rsidRPr="00E367A3">
              <w:rPr>
                <w:b/>
              </w:rPr>
              <w:t xml:space="preserve"> робіт суб'єктом господарювання, який має право на здійснення відповідного виду діяльності згідно з вимогами законодавства, є надсилання замовником оператору системи передачі </w:t>
            </w:r>
            <w:proofErr w:type="spellStart"/>
            <w:r w:rsidRPr="00E367A3">
              <w:rPr>
                <w:b/>
              </w:rPr>
              <w:t>акт</w:t>
            </w:r>
            <w:r w:rsidR="00E22980">
              <w:rPr>
                <w:b/>
              </w:rPr>
              <w:t>а</w:t>
            </w:r>
            <w:proofErr w:type="spellEnd"/>
            <w:r w:rsidRPr="00E367A3">
              <w:rPr>
                <w:b/>
              </w:rPr>
              <w:t xml:space="preserve"> виконаних робіт на про</w:t>
            </w:r>
            <w:r w:rsidR="00E22980">
              <w:rPr>
                <w:b/>
              </w:rPr>
              <w:t>є</w:t>
            </w:r>
            <w:r w:rsidRPr="00E367A3">
              <w:rPr>
                <w:b/>
              </w:rPr>
              <w:t xml:space="preserve">ктування, що підтверджує виконання </w:t>
            </w:r>
            <w:proofErr w:type="spellStart"/>
            <w:r w:rsidRPr="00E367A3">
              <w:rPr>
                <w:b/>
              </w:rPr>
              <w:t>проєктних</w:t>
            </w:r>
            <w:proofErr w:type="spellEnd"/>
            <w:r w:rsidRPr="00E367A3">
              <w:rPr>
                <w:b/>
              </w:rPr>
              <w:t xml:space="preserve"> робіт у повному обсязі на підставі укладеного договору на виконання </w:t>
            </w:r>
            <w:proofErr w:type="spellStart"/>
            <w:r w:rsidRPr="00E367A3">
              <w:rPr>
                <w:b/>
              </w:rPr>
              <w:t>проєктно</w:t>
            </w:r>
            <w:proofErr w:type="spellEnd"/>
            <w:r w:rsidRPr="00E367A3">
              <w:rPr>
                <w:b/>
              </w:rPr>
              <w:t>-вишукувальних робіт, додатком до якого є кошторис.</w:t>
            </w:r>
          </w:p>
        </w:tc>
      </w:tr>
      <w:tr w:rsidR="004D58C2" w:rsidRPr="00651365" w:rsidTr="0018178C">
        <w:trPr>
          <w:trHeight w:val="708"/>
        </w:trPr>
        <w:tc>
          <w:tcPr>
            <w:tcW w:w="7938" w:type="dxa"/>
          </w:tcPr>
          <w:p w:rsidR="004D58C2" w:rsidRPr="0077487B" w:rsidRDefault="009E7ADF" w:rsidP="00156F6C">
            <w:pPr>
              <w:ind w:firstLine="606"/>
              <w:jc w:val="both"/>
              <w:rPr>
                <w:rFonts w:ascii="Times New Roman" w:eastAsia="Times New Roman" w:hAnsi="Times New Roman" w:cs="Times New Roman"/>
                <w:i/>
                <w:sz w:val="24"/>
                <w:szCs w:val="24"/>
              </w:rPr>
            </w:pPr>
            <w:r w:rsidRPr="0077487B">
              <w:rPr>
                <w:rFonts w:ascii="Times New Roman" w:eastAsia="Times New Roman" w:hAnsi="Times New Roman" w:cs="Times New Roman"/>
                <w:i/>
                <w:sz w:val="24"/>
                <w:szCs w:val="24"/>
              </w:rPr>
              <w:t>Пункт відсутній</w:t>
            </w:r>
          </w:p>
        </w:tc>
        <w:tc>
          <w:tcPr>
            <w:tcW w:w="7939" w:type="dxa"/>
          </w:tcPr>
          <w:p w:rsidR="00E367A3" w:rsidRPr="00E367A3" w:rsidRDefault="00E367A3" w:rsidP="00E367A3">
            <w:pPr>
              <w:ind w:firstLine="610"/>
              <w:jc w:val="both"/>
              <w:rPr>
                <w:rFonts w:ascii="Times New Roman" w:hAnsi="Times New Roman" w:cs="Times New Roman"/>
                <w:b/>
                <w:sz w:val="24"/>
                <w:szCs w:val="24"/>
              </w:rPr>
            </w:pPr>
            <w:r w:rsidRPr="00E367A3">
              <w:rPr>
                <w:rFonts w:ascii="Times New Roman" w:hAnsi="Times New Roman" w:cs="Times New Roman"/>
                <w:b/>
                <w:sz w:val="24"/>
                <w:szCs w:val="24"/>
              </w:rPr>
              <w:t>6.2. Замовник має оплатити частину вартості плати за приєднання електроустановок до електричних мереж системи передачі оператору системи передачі в розмірі 10 євро за 1 кВт замовленої до приєднання потужності відповідно до офіційного курсу, встановленого Національним банком України на день виставлення йому рахунк</w:t>
            </w:r>
            <w:r w:rsidR="00E22980">
              <w:rPr>
                <w:rFonts w:ascii="Times New Roman" w:hAnsi="Times New Roman" w:cs="Times New Roman"/>
                <w:b/>
                <w:sz w:val="24"/>
                <w:szCs w:val="24"/>
              </w:rPr>
              <w:t>а</w:t>
            </w:r>
            <w:r w:rsidRPr="00E367A3">
              <w:rPr>
                <w:rFonts w:ascii="Times New Roman" w:hAnsi="Times New Roman" w:cs="Times New Roman"/>
                <w:b/>
                <w:sz w:val="24"/>
                <w:szCs w:val="24"/>
              </w:rPr>
              <w:t>.</w:t>
            </w:r>
          </w:p>
          <w:p w:rsidR="004D58C2" w:rsidRPr="00156F6C" w:rsidRDefault="00E367A3" w:rsidP="00E367A3">
            <w:pPr>
              <w:shd w:val="clear" w:color="auto" w:fill="FFFFFF"/>
              <w:ind w:firstLine="610"/>
              <w:jc w:val="both"/>
              <w:rPr>
                <w:rFonts w:ascii="Times New Roman" w:hAnsi="Times New Roman" w:cs="Times New Roman"/>
                <w:b/>
                <w:sz w:val="24"/>
                <w:szCs w:val="24"/>
              </w:rPr>
            </w:pPr>
            <w:r w:rsidRPr="00E367A3">
              <w:rPr>
                <w:rFonts w:ascii="Times New Roman" w:hAnsi="Times New Roman" w:cs="Times New Roman"/>
                <w:b/>
                <w:sz w:val="24"/>
                <w:szCs w:val="24"/>
              </w:rPr>
              <w:t>Якщо замовник на підставі отриманих технічних умов на приєднання протягом 12 місяців з дня їх отримання забезпечив розроблення та узгодження з оператором системи передачі та іншими заінтересованими сторонами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та передав її оператору системи передачі, частина вартості плати за приєднання, сплачена замовником, зараховується як складова плати за приєднання до електричних мереж оператора системи передачі.</w:t>
            </w:r>
          </w:p>
        </w:tc>
      </w:tr>
      <w:tr w:rsidR="00156F6C" w:rsidRPr="00651365" w:rsidTr="0018178C">
        <w:trPr>
          <w:trHeight w:val="708"/>
        </w:trPr>
        <w:tc>
          <w:tcPr>
            <w:tcW w:w="7938" w:type="dxa"/>
          </w:tcPr>
          <w:p w:rsidR="00156F6C" w:rsidRPr="00651365" w:rsidRDefault="00E367A3" w:rsidP="00156F6C">
            <w:pPr>
              <w:ind w:firstLine="606"/>
              <w:jc w:val="both"/>
              <w:rPr>
                <w:rFonts w:ascii="Times New Roman" w:eastAsia="Times New Roman" w:hAnsi="Times New Roman" w:cs="Times New Roman"/>
                <w:sz w:val="24"/>
                <w:szCs w:val="24"/>
              </w:rPr>
            </w:pPr>
            <w:r w:rsidRPr="00E367A3">
              <w:rPr>
                <w:rFonts w:ascii="Times New Roman" w:eastAsia="Times New Roman" w:hAnsi="Times New Roman" w:cs="Times New Roman"/>
                <w:sz w:val="24"/>
                <w:szCs w:val="24"/>
              </w:rPr>
              <w:lastRenderedPageBreak/>
              <w:t xml:space="preserve">6.2.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на конкурентних засадах змінилась вартість виконання будівельно-монтажних робіт порівняно із узгодженою </w:t>
            </w:r>
            <w:proofErr w:type="spellStart"/>
            <w:r w:rsidRPr="00E367A3">
              <w:rPr>
                <w:rFonts w:ascii="Times New Roman" w:eastAsia="Times New Roman" w:hAnsi="Times New Roman" w:cs="Times New Roman"/>
                <w:sz w:val="24"/>
                <w:szCs w:val="24"/>
              </w:rPr>
              <w:t>проєктною</w:t>
            </w:r>
            <w:proofErr w:type="spellEnd"/>
            <w:r w:rsidRPr="00E367A3">
              <w:rPr>
                <w:rFonts w:ascii="Times New Roman" w:eastAsia="Times New Roman" w:hAnsi="Times New Roman" w:cs="Times New Roman"/>
                <w:sz w:val="24"/>
                <w:szCs w:val="24"/>
              </w:rPr>
              <w:t xml:space="preserve"> документацією, оператор системи передачі та замовник вносять зміни до договору про приєднання щодо зміни величини вартості надання послуги з приєднання електроустановок до електричних мереж.</w:t>
            </w:r>
          </w:p>
        </w:tc>
        <w:tc>
          <w:tcPr>
            <w:tcW w:w="7939" w:type="dxa"/>
          </w:tcPr>
          <w:p w:rsidR="00E367A3" w:rsidRDefault="00E367A3" w:rsidP="00E367A3">
            <w:pPr>
              <w:pStyle w:val="rvps2"/>
              <w:spacing w:before="0" w:beforeAutospacing="0" w:after="0" w:afterAutospacing="0"/>
              <w:ind w:firstLine="610"/>
              <w:jc w:val="both"/>
            </w:pPr>
            <w:r>
              <w:t>6.</w:t>
            </w:r>
            <w:r w:rsidRPr="00E367A3">
              <w:rPr>
                <w:b/>
              </w:rPr>
              <w:t>3</w:t>
            </w:r>
            <w:r>
              <w:t xml:space="preserve">. Якщо за результатами проведення закупівлі товарів, робіт і послуг з будівництва, реконструкції та/або технічного переоснащення об’єктів електроенергетики на конкурентних засадах змінилась вартість виконання будівельно-монтажних робіт порівняно із узгодженою </w:t>
            </w:r>
            <w:proofErr w:type="spellStart"/>
            <w:r>
              <w:t>проєктною</w:t>
            </w:r>
            <w:proofErr w:type="spellEnd"/>
            <w:r>
              <w:t xml:space="preserve"> документацією, оператор системи передачі та замовник </w:t>
            </w:r>
            <w:r w:rsidRPr="00E367A3">
              <w:rPr>
                <w:b/>
              </w:rPr>
              <w:t xml:space="preserve">після виконання робіт і послуг з будівництва, реконструкції та/або технічного переоснащення об'єктів електроенергетики </w:t>
            </w:r>
            <w:r w:rsidRPr="00E367A3">
              <w:t>вносять зміни до договору про приєднання щодо зміни величини вартості надання послуги з приєднання електроустановок до електричних мереж</w:t>
            </w:r>
            <w:r>
              <w:t>.</w:t>
            </w:r>
          </w:p>
          <w:p w:rsidR="00E367A3" w:rsidRPr="00E367A3" w:rsidRDefault="00E367A3" w:rsidP="00E367A3">
            <w:pPr>
              <w:pStyle w:val="rvps2"/>
              <w:spacing w:before="0" w:beforeAutospacing="0" w:after="0" w:afterAutospacing="0"/>
              <w:ind w:firstLine="610"/>
              <w:jc w:val="both"/>
              <w:rPr>
                <w:b/>
              </w:rPr>
            </w:pPr>
            <w:r w:rsidRPr="00E367A3">
              <w:rPr>
                <w:b/>
              </w:rPr>
              <w:t>У разі якщо визначена відповідно до вимог цього пункту плата за приєднання до електричних мереж оператора системи передачі є меншою ніж вартість частини плати за приєднання, сплачена замовником  відповідно до пунктів 6.</w:t>
            </w:r>
            <w:r>
              <w:rPr>
                <w:b/>
              </w:rPr>
              <w:t>2</w:t>
            </w:r>
            <w:r w:rsidRPr="00E367A3">
              <w:rPr>
                <w:b/>
              </w:rPr>
              <w:t xml:space="preserve"> та 6.</w:t>
            </w:r>
            <w:r>
              <w:rPr>
                <w:b/>
              </w:rPr>
              <w:t>4</w:t>
            </w:r>
            <w:r w:rsidRPr="00E367A3">
              <w:rPr>
                <w:b/>
              </w:rPr>
              <w:t xml:space="preserve"> цієї глави, то після внесення змін до договору про приєднання щодо визначення плати за приєднання відповідно до абзацу першого цього пункту оператор системи передачі повертає замовнику частину вартості плати за приєднання,  що, з урахуванням раніше здійснених замовником платежів,  перевищує визначену в договорі про приєднання вартість плати за приєднання.</w:t>
            </w:r>
          </w:p>
          <w:p w:rsidR="00156F6C" w:rsidRPr="00651365" w:rsidRDefault="00E367A3" w:rsidP="00E367A3">
            <w:pPr>
              <w:pStyle w:val="rvps2"/>
              <w:spacing w:before="0" w:beforeAutospacing="0" w:after="0" w:afterAutospacing="0"/>
              <w:ind w:firstLine="610"/>
              <w:jc w:val="both"/>
            </w:pPr>
            <w:r w:rsidRPr="00E367A3">
              <w:rPr>
                <w:b/>
              </w:rPr>
              <w:t>Кошти, що були сплачені замовником, але фактично не використані для закупівлі товарів, робіт і послуг з будівництва, реконструкції та/або технічного переоснащення об’єктів електроенергетики, оператор системи передачі повертає замовнику протягом 10 робочих днів після підписання акту про надання послуги з приєднання на розрахунковий рахунок</w:t>
            </w:r>
            <w:r w:rsidR="00E22980">
              <w:rPr>
                <w:b/>
              </w:rPr>
              <w:t>,</w:t>
            </w:r>
            <w:bookmarkStart w:id="11" w:name="_GoBack"/>
            <w:bookmarkEnd w:id="11"/>
            <w:r w:rsidRPr="00E367A3">
              <w:rPr>
                <w:b/>
              </w:rPr>
              <w:t xml:space="preserve"> зазначений в договорі про приєднання.</w:t>
            </w:r>
          </w:p>
        </w:tc>
      </w:tr>
      <w:tr w:rsidR="00156F6C" w:rsidRPr="00651365" w:rsidTr="0018178C">
        <w:trPr>
          <w:trHeight w:val="708"/>
        </w:trPr>
        <w:tc>
          <w:tcPr>
            <w:tcW w:w="7938" w:type="dxa"/>
          </w:tcPr>
          <w:p w:rsidR="00156F6C" w:rsidRPr="00651365" w:rsidRDefault="00F21F05" w:rsidP="00156F6C">
            <w:pPr>
              <w:pStyle w:val="rvps2"/>
              <w:ind w:firstLine="606"/>
              <w:jc w:val="both"/>
            </w:pPr>
            <w:r w:rsidRPr="0077487B">
              <w:rPr>
                <w:i/>
              </w:rPr>
              <w:t>Пункт відсутній</w:t>
            </w:r>
          </w:p>
        </w:tc>
        <w:tc>
          <w:tcPr>
            <w:tcW w:w="7939" w:type="dxa"/>
          </w:tcPr>
          <w:p w:rsidR="00E367A3" w:rsidRPr="00E367A3" w:rsidRDefault="00E367A3" w:rsidP="00E367A3">
            <w:pPr>
              <w:pStyle w:val="rvps2"/>
              <w:spacing w:before="0" w:beforeAutospacing="0" w:after="0" w:afterAutospacing="0"/>
              <w:ind w:firstLine="610"/>
              <w:jc w:val="both"/>
              <w:rPr>
                <w:b/>
              </w:rPr>
            </w:pPr>
            <w:r w:rsidRPr="00E367A3">
              <w:rPr>
                <w:b/>
              </w:rPr>
              <w:t>6.4. У разі звернення замовника бронювання потужності до оператора системи передачі, з яким укладено договір про бронювання потужності, у строк, визначений таким договором, із заявою про приєднання електроустановок, схема видачі потужності яких заброньована за договором про бронювання потужності, плата за бронювання потужності, сплачена за договором про бронювання потужності, зараховується як складова плати за приєднання таких електроустановок.</w:t>
            </w:r>
          </w:p>
          <w:p w:rsidR="00156F6C" w:rsidRPr="00651365" w:rsidRDefault="00E367A3" w:rsidP="00E367A3">
            <w:pPr>
              <w:pStyle w:val="rvps2"/>
              <w:spacing w:before="0" w:beforeAutospacing="0" w:after="0" w:afterAutospacing="0"/>
              <w:ind w:firstLine="610"/>
              <w:jc w:val="both"/>
            </w:pPr>
            <w:r w:rsidRPr="00E367A3">
              <w:rPr>
                <w:b/>
              </w:rPr>
              <w:t xml:space="preserve">Вартість плати за бронювання потужності визначається оператором системи передачі в розмірі, еквівалентному 5 євро за 1 кВт потужності, що бронюється за договором про бронювання потужності, </w:t>
            </w:r>
            <w:r w:rsidRPr="00E367A3">
              <w:rPr>
                <w:b/>
              </w:rPr>
              <w:lastRenderedPageBreak/>
              <w:t>відповідно до офіційного курсу, встановленого Національним банком України на дату укладання договору про бронювання потужності.</w:t>
            </w:r>
          </w:p>
        </w:tc>
      </w:tr>
      <w:tr w:rsidR="00BE78D8" w:rsidRPr="00651365" w:rsidTr="0018178C">
        <w:trPr>
          <w:trHeight w:val="708"/>
        </w:trPr>
        <w:tc>
          <w:tcPr>
            <w:tcW w:w="7938" w:type="dxa"/>
          </w:tcPr>
          <w:p w:rsidR="00BE78D8" w:rsidRPr="00BE78D8" w:rsidRDefault="00BE78D8" w:rsidP="00156F6C">
            <w:pPr>
              <w:pStyle w:val="rvps2"/>
              <w:shd w:val="clear" w:color="auto" w:fill="FFFFFF"/>
              <w:spacing w:before="0" w:beforeAutospacing="0" w:after="0" w:afterAutospacing="0"/>
              <w:ind w:firstLine="606"/>
              <w:jc w:val="both"/>
              <w:rPr>
                <w:i/>
              </w:rPr>
            </w:pPr>
            <w:r w:rsidRPr="00BE78D8">
              <w:rPr>
                <w:i/>
              </w:rPr>
              <w:lastRenderedPageBreak/>
              <w:t>Додаток відсутній</w:t>
            </w:r>
          </w:p>
        </w:tc>
        <w:tc>
          <w:tcPr>
            <w:tcW w:w="7939" w:type="dxa"/>
          </w:tcPr>
          <w:tbl>
            <w:tblPr>
              <w:tblW w:w="5000" w:type="pct"/>
              <w:tblCellMar>
                <w:left w:w="0" w:type="dxa"/>
                <w:right w:w="0" w:type="dxa"/>
              </w:tblCellMar>
              <w:tblLook w:val="04A0" w:firstRow="1" w:lastRow="0" w:firstColumn="1" w:lastColumn="0" w:noHBand="0" w:noVBand="1"/>
            </w:tblPr>
            <w:tblGrid>
              <w:gridCol w:w="7723"/>
            </w:tblGrid>
            <w:tr w:rsidR="00BE78D8" w:rsidRPr="00BE78D8" w:rsidTr="00BE78D8">
              <w:tc>
                <w:tcPr>
                  <w:tcW w:w="2000" w:type="pct"/>
                  <w:hideMark/>
                </w:tcPr>
                <w:p w:rsidR="00BE78D8" w:rsidRPr="00BE78D8" w:rsidRDefault="00BE78D8" w:rsidP="00BE78D8">
                  <w:pPr>
                    <w:spacing w:before="150" w:after="150" w:line="240" w:lineRule="auto"/>
                    <w:jc w:val="right"/>
                    <w:rPr>
                      <w:rFonts w:ascii="Times New Roman" w:eastAsia="Times New Roman" w:hAnsi="Times New Roman" w:cs="Times New Roman"/>
                      <w:b/>
                      <w:sz w:val="24"/>
                      <w:szCs w:val="24"/>
                      <w:lang w:eastAsia="uk-UA"/>
                    </w:rPr>
                  </w:pPr>
                  <w:r w:rsidRPr="00BE78D8">
                    <w:rPr>
                      <w:rFonts w:ascii="Times New Roman" w:eastAsia="Times New Roman" w:hAnsi="Times New Roman" w:cs="Times New Roman"/>
                      <w:b/>
                      <w:sz w:val="24"/>
                      <w:szCs w:val="24"/>
                      <w:lang w:eastAsia="uk-UA"/>
                    </w:rPr>
                    <w:br/>
                    <w:t>Додаток 10</w:t>
                  </w:r>
                  <w:r w:rsidRPr="00BE78D8">
                    <w:rPr>
                      <w:rFonts w:ascii="Times New Roman" w:eastAsia="Times New Roman" w:hAnsi="Times New Roman" w:cs="Times New Roman"/>
                      <w:b/>
                      <w:sz w:val="24"/>
                      <w:szCs w:val="24"/>
                      <w:lang w:eastAsia="uk-UA"/>
                    </w:rPr>
                    <w:br/>
                    <w:t>до Методики (порядку)</w:t>
                  </w:r>
                  <w:r w:rsidRPr="00BE78D8">
                    <w:rPr>
                      <w:rFonts w:ascii="Times New Roman" w:eastAsia="Times New Roman" w:hAnsi="Times New Roman" w:cs="Times New Roman"/>
                      <w:b/>
                      <w:sz w:val="24"/>
                      <w:szCs w:val="24"/>
                      <w:lang w:eastAsia="uk-UA"/>
                    </w:rPr>
                    <w:br/>
                    <w:t>формування плати за приєднання</w:t>
                  </w:r>
                  <w:r w:rsidRPr="00BE78D8">
                    <w:rPr>
                      <w:rFonts w:ascii="Times New Roman" w:eastAsia="Times New Roman" w:hAnsi="Times New Roman" w:cs="Times New Roman"/>
                      <w:b/>
                      <w:sz w:val="24"/>
                      <w:szCs w:val="24"/>
                      <w:lang w:eastAsia="uk-UA"/>
                    </w:rPr>
                    <w:br/>
                    <w:t>до системи передачі та системи розподілу</w:t>
                  </w:r>
                </w:p>
              </w:tc>
            </w:tr>
          </w:tbl>
          <w:p w:rsidR="00BE78D8" w:rsidRPr="00BE78D8" w:rsidRDefault="00BE78D8" w:rsidP="00BE78D8">
            <w:pPr>
              <w:shd w:val="clear" w:color="auto" w:fill="FFFFFF"/>
              <w:spacing w:before="150" w:after="150"/>
              <w:ind w:left="450" w:right="450"/>
              <w:jc w:val="center"/>
              <w:rPr>
                <w:rFonts w:ascii="Times New Roman" w:eastAsia="Times New Roman" w:hAnsi="Times New Roman" w:cs="Times New Roman"/>
                <w:b/>
                <w:sz w:val="24"/>
                <w:szCs w:val="24"/>
                <w:lang w:eastAsia="uk-UA"/>
              </w:rPr>
            </w:pPr>
            <w:bookmarkStart w:id="12" w:name="n152"/>
            <w:bookmarkEnd w:id="12"/>
            <w:r w:rsidRPr="00BE78D8">
              <w:rPr>
                <w:rFonts w:ascii="Times New Roman" w:eastAsia="Times New Roman" w:hAnsi="Times New Roman" w:cs="Times New Roman"/>
                <w:b/>
                <w:bCs/>
                <w:sz w:val="28"/>
                <w:szCs w:val="28"/>
                <w:lang w:eastAsia="uk-UA"/>
              </w:rPr>
              <w:t>КОЕФІЦІЄНТ</w:t>
            </w:r>
            <w:r w:rsidRPr="00BE78D8">
              <w:rPr>
                <w:rFonts w:ascii="Times New Roman" w:eastAsia="Times New Roman" w:hAnsi="Times New Roman" w:cs="Times New Roman"/>
                <w:b/>
                <w:sz w:val="24"/>
                <w:szCs w:val="24"/>
                <w:lang w:eastAsia="uk-UA"/>
              </w:rPr>
              <w:br/>
              <w:t xml:space="preserve">ступеня стандартного приєднання </w:t>
            </w:r>
            <w:proofErr w:type="spellStart"/>
            <w:r w:rsidRPr="00BE78D8">
              <w:rPr>
                <w:rFonts w:ascii="Times New Roman" w:eastAsia="Times New Roman" w:hAnsi="Times New Roman" w:cs="Times New Roman"/>
                <w:b/>
                <w:sz w:val="24"/>
                <w:szCs w:val="24"/>
                <w:lang w:eastAsia="uk-UA"/>
              </w:rPr>
              <w:t>К</w:t>
            </w:r>
            <w:r w:rsidRPr="00BE78D8">
              <w:rPr>
                <w:rFonts w:ascii="Times New Roman" w:eastAsia="Times New Roman" w:hAnsi="Times New Roman" w:cs="Times New Roman"/>
                <w:b/>
                <w:sz w:val="24"/>
                <w:szCs w:val="24"/>
                <w:vertAlign w:val="subscript"/>
                <w:lang w:eastAsia="uk-UA"/>
              </w:rPr>
              <w:t>с</w:t>
            </w:r>
            <w:proofErr w:type="spellEnd"/>
          </w:p>
          <w:tbl>
            <w:tblPr>
              <w:tblW w:w="5000" w:type="pct"/>
              <w:tblCellMar>
                <w:top w:w="15" w:type="dxa"/>
                <w:left w:w="15" w:type="dxa"/>
                <w:bottom w:w="15" w:type="dxa"/>
                <w:right w:w="15" w:type="dxa"/>
              </w:tblCellMar>
              <w:tblLook w:val="04A0" w:firstRow="1" w:lastRow="0" w:firstColumn="1" w:lastColumn="0" w:noHBand="0" w:noVBand="1"/>
            </w:tblPr>
            <w:tblGrid>
              <w:gridCol w:w="1810"/>
              <w:gridCol w:w="1494"/>
              <w:gridCol w:w="1494"/>
              <w:gridCol w:w="1494"/>
              <w:gridCol w:w="1415"/>
            </w:tblGrid>
            <w:tr w:rsidR="00BE78D8" w:rsidRPr="00BE78D8" w:rsidTr="00BE78D8">
              <w:tc>
                <w:tcPr>
                  <w:tcW w:w="1810" w:type="dxa"/>
                  <w:tcBorders>
                    <w:top w:val="single" w:sz="6" w:space="0" w:color="000000"/>
                    <w:left w:val="single" w:sz="6" w:space="0" w:color="000000"/>
                    <w:bottom w:val="single" w:sz="6" w:space="0" w:color="000000"/>
                    <w:right w:val="single" w:sz="6" w:space="0" w:color="000000"/>
                  </w:tcBorders>
                  <w:hideMark/>
                </w:tcPr>
                <w:p w:rsidR="00BE78D8" w:rsidRPr="00BE78D8" w:rsidRDefault="00BE78D8" w:rsidP="00BE78D8">
                  <w:pPr>
                    <w:spacing w:before="150" w:after="150" w:line="240" w:lineRule="auto"/>
                    <w:jc w:val="center"/>
                    <w:rPr>
                      <w:rFonts w:ascii="Times New Roman" w:eastAsia="Times New Roman" w:hAnsi="Times New Roman" w:cs="Times New Roman"/>
                      <w:b/>
                      <w:sz w:val="24"/>
                      <w:szCs w:val="24"/>
                      <w:lang w:eastAsia="uk-UA"/>
                    </w:rPr>
                  </w:pPr>
                  <w:bookmarkStart w:id="13" w:name="n304"/>
                  <w:bookmarkEnd w:id="13"/>
                  <w:r w:rsidRPr="00BE78D8">
                    <w:rPr>
                      <w:rFonts w:ascii="Times New Roman" w:eastAsia="Times New Roman" w:hAnsi="Times New Roman" w:cs="Times New Roman"/>
                      <w:b/>
                      <w:sz w:val="24"/>
                      <w:szCs w:val="24"/>
                      <w:lang w:eastAsia="uk-UA"/>
                    </w:rPr>
                    <w:t>Ступінь стандартного приєднання відповідно до Кодексу систем розподілу</w:t>
                  </w:r>
                </w:p>
              </w:tc>
              <w:tc>
                <w:tcPr>
                  <w:tcW w:w="1494" w:type="dxa"/>
                  <w:tcBorders>
                    <w:top w:val="single" w:sz="6" w:space="0" w:color="000000"/>
                    <w:left w:val="single" w:sz="6" w:space="0" w:color="000000"/>
                    <w:bottom w:val="single" w:sz="6" w:space="0" w:color="000000"/>
                    <w:right w:val="single" w:sz="6" w:space="0" w:color="000000"/>
                  </w:tcBorders>
                  <w:hideMark/>
                </w:tcPr>
                <w:p w:rsidR="00BE78D8" w:rsidRPr="00BE78D8" w:rsidRDefault="00BE78D8" w:rsidP="00BE78D8">
                  <w:pPr>
                    <w:spacing w:before="150" w:after="150" w:line="240" w:lineRule="auto"/>
                    <w:jc w:val="center"/>
                    <w:rPr>
                      <w:rFonts w:ascii="Times New Roman" w:eastAsia="Times New Roman" w:hAnsi="Times New Roman" w:cs="Times New Roman"/>
                      <w:b/>
                      <w:sz w:val="24"/>
                      <w:szCs w:val="24"/>
                      <w:lang w:eastAsia="uk-UA"/>
                    </w:rPr>
                  </w:pPr>
                  <w:r w:rsidRPr="00BE78D8">
                    <w:rPr>
                      <w:rFonts w:ascii="Times New Roman" w:eastAsia="Times New Roman" w:hAnsi="Times New Roman" w:cs="Times New Roman"/>
                      <w:b/>
                      <w:sz w:val="24"/>
                      <w:szCs w:val="24"/>
                      <w:lang w:eastAsia="uk-UA"/>
                    </w:rPr>
                    <w:t>I</w:t>
                  </w:r>
                </w:p>
              </w:tc>
              <w:tc>
                <w:tcPr>
                  <w:tcW w:w="1494" w:type="dxa"/>
                  <w:tcBorders>
                    <w:top w:val="single" w:sz="6" w:space="0" w:color="000000"/>
                    <w:left w:val="single" w:sz="6" w:space="0" w:color="000000"/>
                    <w:bottom w:val="single" w:sz="6" w:space="0" w:color="000000"/>
                    <w:right w:val="single" w:sz="6" w:space="0" w:color="000000"/>
                  </w:tcBorders>
                  <w:hideMark/>
                </w:tcPr>
                <w:p w:rsidR="00BE78D8" w:rsidRPr="00BE78D8" w:rsidRDefault="00BE78D8" w:rsidP="00BE78D8">
                  <w:pPr>
                    <w:spacing w:before="150" w:after="150" w:line="240" w:lineRule="auto"/>
                    <w:jc w:val="center"/>
                    <w:rPr>
                      <w:rFonts w:ascii="Times New Roman" w:eastAsia="Times New Roman" w:hAnsi="Times New Roman" w:cs="Times New Roman"/>
                      <w:b/>
                      <w:sz w:val="24"/>
                      <w:szCs w:val="24"/>
                      <w:lang w:eastAsia="uk-UA"/>
                    </w:rPr>
                  </w:pPr>
                  <w:r w:rsidRPr="00BE78D8">
                    <w:rPr>
                      <w:rFonts w:ascii="Times New Roman" w:eastAsia="Times New Roman" w:hAnsi="Times New Roman" w:cs="Times New Roman"/>
                      <w:b/>
                      <w:sz w:val="24"/>
                      <w:szCs w:val="24"/>
                      <w:lang w:eastAsia="uk-UA"/>
                    </w:rPr>
                    <w:t>II</w:t>
                  </w:r>
                </w:p>
              </w:tc>
              <w:tc>
                <w:tcPr>
                  <w:tcW w:w="1494" w:type="dxa"/>
                  <w:tcBorders>
                    <w:top w:val="single" w:sz="6" w:space="0" w:color="000000"/>
                    <w:left w:val="single" w:sz="6" w:space="0" w:color="000000"/>
                    <w:bottom w:val="single" w:sz="6" w:space="0" w:color="000000"/>
                    <w:right w:val="single" w:sz="6" w:space="0" w:color="000000"/>
                  </w:tcBorders>
                  <w:hideMark/>
                </w:tcPr>
                <w:p w:rsidR="00BE78D8" w:rsidRPr="00BE78D8" w:rsidRDefault="00BE78D8" w:rsidP="00BE78D8">
                  <w:pPr>
                    <w:spacing w:before="150" w:after="150" w:line="240" w:lineRule="auto"/>
                    <w:jc w:val="center"/>
                    <w:rPr>
                      <w:rFonts w:ascii="Times New Roman" w:eastAsia="Times New Roman" w:hAnsi="Times New Roman" w:cs="Times New Roman"/>
                      <w:b/>
                      <w:sz w:val="24"/>
                      <w:szCs w:val="24"/>
                      <w:lang w:eastAsia="uk-UA"/>
                    </w:rPr>
                  </w:pPr>
                  <w:r w:rsidRPr="00BE78D8">
                    <w:rPr>
                      <w:rFonts w:ascii="Times New Roman" w:eastAsia="Times New Roman" w:hAnsi="Times New Roman" w:cs="Times New Roman"/>
                      <w:b/>
                      <w:sz w:val="24"/>
                      <w:szCs w:val="24"/>
                      <w:lang w:eastAsia="uk-UA"/>
                    </w:rPr>
                    <w:t>III</w:t>
                  </w:r>
                </w:p>
              </w:tc>
              <w:tc>
                <w:tcPr>
                  <w:tcW w:w="1415" w:type="dxa"/>
                  <w:tcBorders>
                    <w:top w:val="single" w:sz="6" w:space="0" w:color="000000"/>
                    <w:left w:val="single" w:sz="6" w:space="0" w:color="000000"/>
                    <w:bottom w:val="single" w:sz="6" w:space="0" w:color="000000"/>
                    <w:right w:val="single" w:sz="6" w:space="0" w:color="000000"/>
                  </w:tcBorders>
                </w:tcPr>
                <w:p w:rsidR="00BE78D8" w:rsidRPr="00BE78D8" w:rsidRDefault="00BE78D8" w:rsidP="00BE78D8">
                  <w:pPr>
                    <w:spacing w:before="150" w:after="15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val="en-US" w:eastAsia="uk-UA"/>
                    </w:rPr>
                    <w:t>IV</w:t>
                  </w:r>
                </w:p>
              </w:tc>
            </w:tr>
            <w:tr w:rsidR="00BE78D8" w:rsidRPr="00BE78D8" w:rsidTr="00BE78D8">
              <w:tc>
                <w:tcPr>
                  <w:tcW w:w="1810" w:type="dxa"/>
                  <w:tcBorders>
                    <w:top w:val="single" w:sz="6" w:space="0" w:color="000000"/>
                    <w:left w:val="single" w:sz="6" w:space="0" w:color="000000"/>
                    <w:bottom w:val="single" w:sz="6" w:space="0" w:color="000000"/>
                    <w:right w:val="single" w:sz="6" w:space="0" w:color="000000"/>
                  </w:tcBorders>
                  <w:hideMark/>
                </w:tcPr>
                <w:p w:rsidR="00BE78D8" w:rsidRPr="00BE78D8" w:rsidRDefault="00BE78D8" w:rsidP="00BE78D8">
                  <w:pPr>
                    <w:spacing w:before="150" w:after="150" w:line="240"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noProof/>
                      <w:sz w:val="24"/>
                      <w:szCs w:val="24"/>
                      <w:lang w:eastAsia="uk-UA"/>
                    </w:rPr>
                    <w:t>К</w:t>
                  </w:r>
                  <w:r w:rsidRPr="00BE78D8">
                    <w:rPr>
                      <w:rFonts w:ascii="Times New Roman" w:eastAsia="Times New Roman" w:hAnsi="Times New Roman" w:cs="Times New Roman"/>
                      <w:b/>
                      <w:noProof/>
                      <w:sz w:val="24"/>
                      <w:szCs w:val="24"/>
                      <w:vertAlign w:val="subscript"/>
                      <w:lang w:eastAsia="uk-UA"/>
                    </w:rPr>
                    <w:t>с</w:t>
                  </w:r>
                </w:p>
              </w:tc>
              <w:tc>
                <w:tcPr>
                  <w:tcW w:w="1494" w:type="dxa"/>
                  <w:tcBorders>
                    <w:top w:val="single" w:sz="6" w:space="0" w:color="000000"/>
                    <w:left w:val="single" w:sz="6" w:space="0" w:color="000000"/>
                    <w:bottom w:val="single" w:sz="6" w:space="0" w:color="000000"/>
                    <w:right w:val="single" w:sz="6" w:space="0" w:color="000000"/>
                  </w:tcBorders>
                  <w:hideMark/>
                </w:tcPr>
                <w:p w:rsidR="00BE78D8" w:rsidRPr="00263988" w:rsidRDefault="00BE78D8" w:rsidP="00BE78D8">
                  <w:pPr>
                    <w:spacing w:before="150" w:after="150" w:line="240" w:lineRule="auto"/>
                    <w:jc w:val="center"/>
                    <w:rPr>
                      <w:rFonts w:ascii="Times New Roman" w:eastAsia="Times New Roman" w:hAnsi="Times New Roman" w:cs="Times New Roman"/>
                      <w:b/>
                      <w:sz w:val="24"/>
                      <w:szCs w:val="24"/>
                      <w:lang w:eastAsia="uk-UA"/>
                    </w:rPr>
                  </w:pPr>
                  <w:r w:rsidRPr="00263988">
                    <w:rPr>
                      <w:rFonts w:ascii="Times New Roman" w:eastAsia="Times New Roman" w:hAnsi="Times New Roman" w:cs="Times New Roman"/>
                      <w:b/>
                      <w:sz w:val="24"/>
                      <w:szCs w:val="24"/>
                      <w:lang w:eastAsia="uk-UA"/>
                    </w:rPr>
                    <w:t>0,</w:t>
                  </w:r>
                  <w:r w:rsidR="00A75292" w:rsidRPr="00263988">
                    <w:rPr>
                      <w:rFonts w:ascii="Times New Roman" w:eastAsia="Times New Roman" w:hAnsi="Times New Roman" w:cs="Times New Roman"/>
                      <w:b/>
                      <w:sz w:val="24"/>
                      <w:szCs w:val="24"/>
                      <w:lang w:eastAsia="uk-UA"/>
                    </w:rPr>
                    <w:t>8</w:t>
                  </w:r>
                </w:p>
              </w:tc>
              <w:tc>
                <w:tcPr>
                  <w:tcW w:w="1494" w:type="dxa"/>
                  <w:tcBorders>
                    <w:top w:val="single" w:sz="6" w:space="0" w:color="000000"/>
                    <w:left w:val="single" w:sz="6" w:space="0" w:color="000000"/>
                    <w:bottom w:val="single" w:sz="6" w:space="0" w:color="000000"/>
                    <w:right w:val="single" w:sz="6" w:space="0" w:color="000000"/>
                  </w:tcBorders>
                  <w:hideMark/>
                </w:tcPr>
                <w:p w:rsidR="00BE78D8" w:rsidRPr="00263988" w:rsidRDefault="00BE78D8" w:rsidP="00BE78D8">
                  <w:pPr>
                    <w:spacing w:before="150" w:after="150" w:line="240" w:lineRule="auto"/>
                    <w:jc w:val="center"/>
                    <w:rPr>
                      <w:rFonts w:ascii="Times New Roman" w:eastAsia="Times New Roman" w:hAnsi="Times New Roman" w:cs="Times New Roman"/>
                      <w:b/>
                      <w:sz w:val="24"/>
                      <w:szCs w:val="24"/>
                      <w:lang w:eastAsia="uk-UA"/>
                    </w:rPr>
                  </w:pPr>
                  <w:r w:rsidRPr="00263988">
                    <w:rPr>
                      <w:rFonts w:ascii="Times New Roman" w:eastAsia="Times New Roman" w:hAnsi="Times New Roman" w:cs="Times New Roman"/>
                      <w:b/>
                      <w:sz w:val="24"/>
                      <w:szCs w:val="24"/>
                      <w:lang w:eastAsia="uk-UA"/>
                    </w:rPr>
                    <w:t>1,0</w:t>
                  </w:r>
                </w:p>
              </w:tc>
              <w:tc>
                <w:tcPr>
                  <w:tcW w:w="1494" w:type="dxa"/>
                  <w:tcBorders>
                    <w:top w:val="single" w:sz="6" w:space="0" w:color="000000"/>
                    <w:left w:val="single" w:sz="6" w:space="0" w:color="000000"/>
                    <w:bottom w:val="single" w:sz="6" w:space="0" w:color="000000"/>
                    <w:right w:val="single" w:sz="6" w:space="0" w:color="000000"/>
                  </w:tcBorders>
                  <w:hideMark/>
                </w:tcPr>
                <w:p w:rsidR="00BE78D8" w:rsidRPr="00263988" w:rsidRDefault="00BE78D8" w:rsidP="00BE78D8">
                  <w:pPr>
                    <w:spacing w:before="150" w:after="150" w:line="240" w:lineRule="auto"/>
                    <w:jc w:val="center"/>
                    <w:rPr>
                      <w:rFonts w:ascii="Times New Roman" w:eastAsia="Times New Roman" w:hAnsi="Times New Roman" w:cs="Times New Roman"/>
                      <w:b/>
                      <w:sz w:val="24"/>
                      <w:szCs w:val="24"/>
                      <w:lang w:eastAsia="uk-UA"/>
                    </w:rPr>
                  </w:pPr>
                  <w:r w:rsidRPr="00263988">
                    <w:rPr>
                      <w:rFonts w:ascii="Times New Roman" w:eastAsia="Times New Roman" w:hAnsi="Times New Roman" w:cs="Times New Roman"/>
                      <w:b/>
                      <w:sz w:val="24"/>
                      <w:szCs w:val="24"/>
                      <w:lang w:eastAsia="uk-UA"/>
                    </w:rPr>
                    <w:t>1,2</w:t>
                  </w:r>
                </w:p>
              </w:tc>
              <w:tc>
                <w:tcPr>
                  <w:tcW w:w="1415" w:type="dxa"/>
                  <w:tcBorders>
                    <w:top w:val="single" w:sz="6" w:space="0" w:color="000000"/>
                    <w:left w:val="single" w:sz="6" w:space="0" w:color="000000"/>
                    <w:bottom w:val="single" w:sz="6" w:space="0" w:color="000000"/>
                    <w:right w:val="single" w:sz="6" w:space="0" w:color="000000"/>
                  </w:tcBorders>
                </w:tcPr>
                <w:p w:rsidR="00BE78D8" w:rsidRPr="00263988" w:rsidRDefault="00BE78D8" w:rsidP="00BE78D8">
                  <w:pPr>
                    <w:spacing w:before="150" w:after="150" w:line="240" w:lineRule="auto"/>
                    <w:jc w:val="center"/>
                    <w:rPr>
                      <w:rFonts w:ascii="Times New Roman" w:eastAsia="Times New Roman" w:hAnsi="Times New Roman" w:cs="Times New Roman"/>
                      <w:b/>
                      <w:sz w:val="24"/>
                      <w:szCs w:val="24"/>
                      <w:lang w:eastAsia="uk-UA"/>
                    </w:rPr>
                  </w:pPr>
                  <w:r w:rsidRPr="00263988">
                    <w:rPr>
                      <w:rFonts w:ascii="Times New Roman" w:eastAsia="Times New Roman" w:hAnsi="Times New Roman" w:cs="Times New Roman"/>
                      <w:b/>
                      <w:sz w:val="24"/>
                      <w:szCs w:val="24"/>
                      <w:lang w:eastAsia="uk-UA"/>
                    </w:rPr>
                    <w:t>1,5</w:t>
                  </w:r>
                </w:p>
              </w:tc>
            </w:tr>
          </w:tbl>
          <w:p w:rsidR="00BE78D8" w:rsidRPr="00651365" w:rsidRDefault="00BE78D8" w:rsidP="00156F6C">
            <w:pPr>
              <w:pStyle w:val="rvps2"/>
              <w:shd w:val="clear" w:color="auto" w:fill="FFFFFF"/>
              <w:spacing w:before="0" w:beforeAutospacing="0" w:after="0" w:afterAutospacing="0"/>
              <w:ind w:firstLine="448"/>
              <w:jc w:val="both"/>
              <w:rPr>
                <w:rStyle w:val="rvts0"/>
                <w:b/>
              </w:rPr>
            </w:pPr>
          </w:p>
        </w:tc>
      </w:tr>
    </w:tbl>
    <w:p w:rsidR="0021706D" w:rsidRPr="00651365" w:rsidRDefault="0021706D" w:rsidP="00647D68">
      <w:pPr>
        <w:rPr>
          <w:rFonts w:ascii="Times New Roman" w:hAnsi="Times New Roman" w:cs="Times New Roman"/>
          <w:b/>
          <w:sz w:val="28"/>
          <w:szCs w:val="28"/>
        </w:rPr>
      </w:pPr>
    </w:p>
    <w:sectPr w:rsidR="0021706D" w:rsidRPr="00651365" w:rsidSect="00647D68">
      <w:pgSz w:w="16838" w:h="11906" w:orient="landscape"/>
      <w:pgMar w:top="426"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733"/>
    <w:rsid w:val="00005B5D"/>
    <w:rsid w:val="00006018"/>
    <w:rsid w:val="00015D60"/>
    <w:rsid w:val="000200C2"/>
    <w:rsid w:val="00035C28"/>
    <w:rsid w:val="000364E5"/>
    <w:rsid w:val="000473B1"/>
    <w:rsid w:val="00047CAF"/>
    <w:rsid w:val="00051427"/>
    <w:rsid w:val="000568D6"/>
    <w:rsid w:val="00060732"/>
    <w:rsid w:val="00085338"/>
    <w:rsid w:val="00093958"/>
    <w:rsid w:val="000C0E83"/>
    <w:rsid w:val="000C5E45"/>
    <w:rsid w:val="000E2608"/>
    <w:rsid w:val="000E47DD"/>
    <w:rsid w:val="000F7F70"/>
    <w:rsid w:val="00101910"/>
    <w:rsid w:val="00110A18"/>
    <w:rsid w:val="001121BD"/>
    <w:rsid w:val="00117128"/>
    <w:rsid w:val="0014370C"/>
    <w:rsid w:val="00150ACC"/>
    <w:rsid w:val="00153B2B"/>
    <w:rsid w:val="00156F6C"/>
    <w:rsid w:val="0016020C"/>
    <w:rsid w:val="00172C86"/>
    <w:rsid w:val="0018178C"/>
    <w:rsid w:val="00183F9E"/>
    <w:rsid w:val="001B16A7"/>
    <w:rsid w:val="001B4926"/>
    <w:rsid w:val="001B5339"/>
    <w:rsid w:val="001C1503"/>
    <w:rsid w:val="001D4CC4"/>
    <w:rsid w:val="001D4CDC"/>
    <w:rsid w:val="001D733C"/>
    <w:rsid w:val="001E6219"/>
    <w:rsid w:val="001E6DA7"/>
    <w:rsid w:val="001F3DBE"/>
    <w:rsid w:val="001F6D57"/>
    <w:rsid w:val="0020038C"/>
    <w:rsid w:val="0020226D"/>
    <w:rsid w:val="00205387"/>
    <w:rsid w:val="0021706D"/>
    <w:rsid w:val="00220DD5"/>
    <w:rsid w:val="00224B60"/>
    <w:rsid w:val="00242ACA"/>
    <w:rsid w:val="00245761"/>
    <w:rsid w:val="00263988"/>
    <w:rsid w:val="0026777E"/>
    <w:rsid w:val="002731D9"/>
    <w:rsid w:val="002736B0"/>
    <w:rsid w:val="00281235"/>
    <w:rsid w:val="0028574F"/>
    <w:rsid w:val="002A6687"/>
    <w:rsid w:val="002C2E91"/>
    <w:rsid w:val="002D3E20"/>
    <w:rsid w:val="002E1C38"/>
    <w:rsid w:val="002E74C3"/>
    <w:rsid w:val="002F1F3F"/>
    <w:rsid w:val="00305DED"/>
    <w:rsid w:val="00312FF2"/>
    <w:rsid w:val="00315542"/>
    <w:rsid w:val="00335B22"/>
    <w:rsid w:val="00346150"/>
    <w:rsid w:val="00351356"/>
    <w:rsid w:val="00352060"/>
    <w:rsid w:val="00360B3E"/>
    <w:rsid w:val="00361E33"/>
    <w:rsid w:val="00366543"/>
    <w:rsid w:val="0036740E"/>
    <w:rsid w:val="00381D5A"/>
    <w:rsid w:val="003949BC"/>
    <w:rsid w:val="003A07BF"/>
    <w:rsid w:val="003E4A67"/>
    <w:rsid w:val="004036E8"/>
    <w:rsid w:val="004104E1"/>
    <w:rsid w:val="00417C62"/>
    <w:rsid w:val="004307BB"/>
    <w:rsid w:val="004321C7"/>
    <w:rsid w:val="0043596A"/>
    <w:rsid w:val="0044622E"/>
    <w:rsid w:val="00453E11"/>
    <w:rsid w:val="004601A2"/>
    <w:rsid w:val="00465659"/>
    <w:rsid w:val="0047531D"/>
    <w:rsid w:val="0049233D"/>
    <w:rsid w:val="004C2238"/>
    <w:rsid w:val="004C7927"/>
    <w:rsid w:val="004D58C2"/>
    <w:rsid w:val="004E4488"/>
    <w:rsid w:val="004F770B"/>
    <w:rsid w:val="005057E7"/>
    <w:rsid w:val="005058F6"/>
    <w:rsid w:val="00506330"/>
    <w:rsid w:val="00510E84"/>
    <w:rsid w:val="005125AD"/>
    <w:rsid w:val="00513D43"/>
    <w:rsid w:val="0051675E"/>
    <w:rsid w:val="00522E30"/>
    <w:rsid w:val="005478CE"/>
    <w:rsid w:val="00550821"/>
    <w:rsid w:val="005638C0"/>
    <w:rsid w:val="0056480A"/>
    <w:rsid w:val="00590392"/>
    <w:rsid w:val="005A18BC"/>
    <w:rsid w:val="005B0265"/>
    <w:rsid w:val="005C06AE"/>
    <w:rsid w:val="005C4A86"/>
    <w:rsid w:val="005C4CE8"/>
    <w:rsid w:val="005C5EE1"/>
    <w:rsid w:val="005E37FB"/>
    <w:rsid w:val="005F78BC"/>
    <w:rsid w:val="00605360"/>
    <w:rsid w:val="00613026"/>
    <w:rsid w:val="00616FD8"/>
    <w:rsid w:val="00617707"/>
    <w:rsid w:val="00620441"/>
    <w:rsid w:val="006222D3"/>
    <w:rsid w:val="00647D68"/>
    <w:rsid w:val="00650E74"/>
    <w:rsid w:val="00651365"/>
    <w:rsid w:val="00656E00"/>
    <w:rsid w:val="00676053"/>
    <w:rsid w:val="00676A19"/>
    <w:rsid w:val="00681465"/>
    <w:rsid w:val="00690733"/>
    <w:rsid w:val="006B0A3B"/>
    <w:rsid w:val="006B1BC7"/>
    <w:rsid w:val="006C2667"/>
    <w:rsid w:val="006C712D"/>
    <w:rsid w:val="006D20C3"/>
    <w:rsid w:val="006D28F5"/>
    <w:rsid w:val="006D76EF"/>
    <w:rsid w:val="006D7E2A"/>
    <w:rsid w:val="006E27EA"/>
    <w:rsid w:val="006E2FE1"/>
    <w:rsid w:val="007033FA"/>
    <w:rsid w:val="007079EE"/>
    <w:rsid w:val="00714194"/>
    <w:rsid w:val="0072208A"/>
    <w:rsid w:val="00742CAE"/>
    <w:rsid w:val="00762EB6"/>
    <w:rsid w:val="00764F9B"/>
    <w:rsid w:val="0077487B"/>
    <w:rsid w:val="0079103B"/>
    <w:rsid w:val="00792A24"/>
    <w:rsid w:val="007A1ECC"/>
    <w:rsid w:val="007A3560"/>
    <w:rsid w:val="007A6AF0"/>
    <w:rsid w:val="007B08D6"/>
    <w:rsid w:val="007C5F0B"/>
    <w:rsid w:val="007D15BA"/>
    <w:rsid w:val="007D4581"/>
    <w:rsid w:val="007D619B"/>
    <w:rsid w:val="007F5230"/>
    <w:rsid w:val="00805EF3"/>
    <w:rsid w:val="00810E46"/>
    <w:rsid w:val="008322AA"/>
    <w:rsid w:val="00840040"/>
    <w:rsid w:val="00840E43"/>
    <w:rsid w:val="00844BE9"/>
    <w:rsid w:val="0085016C"/>
    <w:rsid w:val="00852B1C"/>
    <w:rsid w:val="008609E0"/>
    <w:rsid w:val="0086274E"/>
    <w:rsid w:val="00864695"/>
    <w:rsid w:val="00872F43"/>
    <w:rsid w:val="0087507D"/>
    <w:rsid w:val="00880D84"/>
    <w:rsid w:val="00892E0B"/>
    <w:rsid w:val="00894337"/>
    <w:rsid w:val="008B675D"/>
    <w:rsid w:val="008C201D"/>
    <w:rsid w:val="008C242E"/>
    <w:rsid w:val="008D5D3F"/>
    <w:rsid w:val="008E345E"/>
    <w:rsid w:val="008E3F03"/>
    <w:rsid w:val="008F73E4"/>
    <w:rsid w:val="00901686"/>
    <w:rsid w:val="00926FD5"/>
    <w:rsid w:val="0093433D"/>
    <w:rsid w:val="00942EA0"/>
    <w:rsid w:val="00947862"/>
    <w:rsid w:val="00953EA3"/>
    <w:rsid w:val="009645B0"/>
    <w:rsid w:val="00994828"/>
    <w:rsid w:val="00996846"/>
    <w:rsid w:val="009A00EB"/>
    <w:rsid w:val="009B280D"/>
    <w:rsid w:val="009B4306"/>
    <w:rsid w:val="009C388D"/>
    <w:rsid w:val="009C4FBA"/>
    <w:rsid w:val="009C5FE0"/>
    <w:rsid w:val="009E68B2"/>
    <w:rsid w:val="009E7ADF"/>
    <w:rsid w:val="009F1A3A"/>
    <w:rsid w:val="009F1E38"/>
    <w:rsid w:val="009F3F3D"/>
    <w:rsid w:val="00A11C96"/>
    <w:rsid w:val="00A14509"/>
    <w:rsid w:val="00A17353"/>
    <w:rsid w:val="00A238BE"/>
    <w:rsid w:val="00A25FE8"/>
    <w:rsid w:val="00A36834"/>
    <w:rsid w:val="00A547B8"/>
    <w:rsid w:val="00A61B75"/>
    <w:rsid w:val="00A7160A"/>
    <w:rsid w:val="00A75292"/>
    <w:rsid w:val="00A823B5"/>
    <w:rsid w:val="00A87021"/>
    <w:rsid w:val="00AA0640"/>
    <w:rsid w:val="00AD1BA7"/>
    <w:rsid w:val="00AD2947"/>
    <w:rsid w:val="00AE32AC"/>
    <w:rsid w:val="00AF62BB"/>
    <w:rsid w:val="00B04357"/>
    <w:rsid w:val="00B1746D"/>
    <w:rsid w:val="00B2239D"/>
    <w:rsid w:val="00B23E08"/>
    <w:rsid w:val="00B33A62"/>
    <w:rsid w:val="00B42F3C"/>
    <w:rsid w:val="00B5205D"/>
    <w:rsid w:val="00B560E4"/>
    <w:rsid w:val="00B84B2B"/>
    <w:rsid w:val="00B87E7D"/>
    <w:rsid w:val="00BA1EE3"/>
    <w:rsid w:val="00BA33CC"/>
    <w:rsid w:val="00BA53B5"/>
    <w:rsid w:val="00BB2ABA"/>
    <w:rsid w:val="00BB2F38"/>
    <w:rsid w:val="00BC5088"/>
    <w:rsid w:val="00BD4160"/>
    <w:rsid w:val="00BD609F"/>
    <w:rsid w:val="00BE6A7A"/>
    <w:rsid w:val="00BE78D8"/>
    <w:rsid w:val="00BE7B97"/>
    <w:rsid w:val="00BF07B9"/>
    <w:rsid w:val="00C157F1"/>
    <w:rsid w:val="00C1614D"/>
    <w:rsid w:val="00C26471"/>
    <w:rsid w:val="00C435CE"/>
    <w:rsid w:val="00C4475B"/>
    <w:rsid w:val="00C57DA6"/>
    <w:rsid w:val="00C752C3"/>
    <w:rsid w:val="00C86684"/>
    <w:rsid w:val="00C86D80"/>
    <w:rsid w:val="00C8777D"/>
    <w:rsid w:val="00CA14BC"/>
    <w:rsid w:val="00CC5B9F"/>
    <w:rsid w:val="00CF0723"/>
    <w:rsid w:val="00CF1791"/>
    <w:rsid w:val="00D012B4"/>
    <w:rsid w:val="00D10E75"/>
    <w:rsid w:val="00D2328A"/>
    <w:rsid w:val="00D426BB"/>
    <w:rsid w:val="00D62CED"/>
    <w:rsid w:val="00D66DEE"/>
    <w:rsid w:val="00D73500"/>
    <w:rsid w:val="00D87C5D"/>
    <w:rsid w:val="00DA21E9"/>
    <w:rsid w:val="00DB41E8"/>
    <w:rsid w:val="00DC52E3"/>
    <w:rsid w:val="00DE17D6"/>
    <w:rsid w:val="00DF4DF7"/>
    <w:rsid w:val="00DF7D1C"/>
    <w:rsid w:val="00E00EC5"/>
    <w:rsid w:val="00E03728"/>
    <w:rsid w:val="00E079B6"/>
    <w:rsid w:val="00E152F1"/>
    <w:rsid w:val="00E22980"/>
    <w:rsid w:val="00E24788"/>
    <w:rsid w:val="00E367A3"/>
    <w:rsid w:val="00E615F1"/>
    <w:rsid w:val="00E62FCD"/>
    <w:rsid w:val="00E80C91"/>
    <w:rsid w:val="00EA4236"/>
    <w:rsid w:val="00EA6998"/>
    <w:rsid w:val="00EA6D2C"/>
    <w:rsid w:val="00EB31FF"/>
    <w:rsid w:val="00EB57E3"/>
    <w:rsid w:val="00EB6139"/>
    <w:rsid w:val="00EC4CA9"/>
    <w:rsid w:val="00EC7AD4"/>
    <w:rsid w:val="00ED305E"/>
    <w:rsid w:val="00ED5210"/>
    <w:rsid w:val="00EE006B"/>
    <w:rsid w:val="00EF1540"/>
    <w:rsid w:val="00EF5507"/>
    <w:rsid w:val="00EF6D1A"/>
    <w:rsid w:val="00F01199"/>
    <w:rsid w:val="00F14CB4"/>
    <w:rsid w:val="00F21F05"/>
    <w:rsid w:val="00F27E65"/>
    <w:rsid w:val="00F32405"/>
    <w:rsid w:val="00F51DC0"/>
    <w:rsid w:val="00F546FF"/>
    <w:rsid w:val="00F71706"/>
    <w:rsid w:val="00F82ABD"/>
    <w:rsid w:val="00F837DF"/>
    <w:rsid w:val="00F85086"/>
    <w:rsid w:val="00F859C4"/>
    <w:rsid w:val="00F90056"/>
    <w:rsid w:val="00FA2D35"/>
    <w:rsid w:val="00FB3DF3"/>
    <w:rsid w:val="00FD21BC"/>
    <w:rsid w:val="00FD524C"/>
    <w:rsid w:val="00FF46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6447B"/>
  <w15:chartTrackingRefBased/>
  <w15:docId w15:val="{09ECA8FC-C1CE-4BDF-9261-048ABDB7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0733"/>
  </w:style>
  <w:style w:type="paragraph" w:styleId="3">
    <w:name w:val="heading 3"/>
    <w:basedOn w:val="a"/>
    <w:link w:val="30"/>
    <w:uiPriority w:val="9"/>
    <w:qFormat/>
    <w:rsid w:val="00690733"/>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90733"/>
    <w:rPr>
      <w:rFonts w:ascii="Times New Roman" w:eastAsiaTheme="minorEastAsia" w:hAnsi="Times New Roman" w:cs="Times New Roman"/>
      <w:b/>
      <w:bCs/>
      <w:sz w:val="27"/>
      <w:szCs w:val="27"/>
      <w:lang w:eastAsia="uk-UA"/>
    </w:rPr>
  </w:style>
  <w:style w:type="table" w:styleId="a3">
    <w:name w:val="Table Grid"/>
    <w:basedOn w:val="a1"/>
    <w:uiPriority w:val="39"/>
    <w:rsid w:val="00690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690733"/>
  </w:style>
  <w:style w:type="paragraph" w:customStyle="1" w:styleId="rvps2">
    <w:name w:val="rvps2"/>
    <w:basedOn w:val="a"/>
    <w:link w:val="rvps2Char"/>
    <w:qFormat/>
    <w:rsid w:val="0069073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690733"/>
  </w:style>
  <w:style w:type="character" w:customStyle="1" w:styleId="rvts40">
    <w:name w:val="rvts40"/>
    <w:basedOn w:val="a0"/>
    <w:rsid w:val="00690733"/>
  </w:style>
  <w:style w:type="paragraph" w:customStyle="1" w:styleId="rvps12">
    <w:name w:val="rvps12"/>
    <w:basedOn w:val="a"/>
    <w:rsid w:val="0069073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unhideWhenUsed/>
    <w:rsid w:val="00690733"/>
    <w:rPr>
      <w:color w:val="0000FF"/>
      <w:u w:val="single"/>
    </w:rPr>
  </w:style>
  <w:style w:type="paragraph" w:customStyle="1" w:styleId="rvps11">
    <w:name w:val="rvps11"/>
    <w:basedOn w:val="a"/>
    <w:rsid w:val="0069073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69073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Placeholder Text"/>
    <w:basedOn w:val="a0"/>
    <w:uiPriority w:val="99"/>
    <w:semiHidden/>
    <w:rsid w:val="00A11C96"/>
    <w:rPr>
      <w:color w:val="808080"/>
    </w:rPr>
  </w:style>
  <w:style w:type="character" w:customStyle="1" w:styleId="rvts37">
    <w:name w:val="rvts37"/>
    <w:basedOn w:val="a0"/>
    <w:rsid w:val="009A00EB"/>
  </w:style>
  <w:style w:type="character" w:customStyle="1" w:styleId="rvts46">
    <w:name w:val="rvts46"/>
    <w:basedOn w:val="a0"/>
    <w:rsid w:val="009A00EB"/>
  </w:style>
  <w:style w:type="character" w:customStyle="1" w:styleId="rvts80">
    <w:name w:val="rvts80"/>
    <w:basedOn w:val="a0"/>
    <w:rsid w:val="009A00EB"/>
  </w:style>
  <w:style w:type="character" w:styleId="a6">
    <w:name w:val="Unresolved Mention"/>
    <w:basedOn w:val="a0"/>
    <w:uiPriority w:val="99"/>
    <w:semiHidden/>
    <w:unhideWhenUsed/>
    <w:rsid w:val="00EA6D2C"/>
    <w:rPr>
      <w:color w:val="605E5C"/>
      <w:shd w:val="clear" w:color="auto" w:fill="E1DFDD"/>
    </w:rPr>
  </w:style>
  <w:style w:type="paragraph" w:customStyle="1" w:styleId="rvps7">
    <w:name w:val="rvps7"/>
    <w:basedOn w:val="a"/>
    <w:rsid w:val="002857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28574F"/>
  </w:style>
  <w:style w:type="paragraph" w:customStyle="1" w:styleId="rvps8">
    <w:name w:val="rvps8"/>
    <w:basedOn w:val="a"/>
    <w:rsid w:val="00764F9B"/>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annotation reference"/>
    <w:basedOn w:val="a0"/>
    <w:uiPriority w:val="99"/>
    <w:semiHidden/>
    <w:unhideWhenUsed/>
    <w:rsid w:val="008B675D"/>
    <w:rPr>
      <w:sz w:val="16"/>
      <w:szCs w:val="16"/>
    </w:rPr>
  </w:style>
  <w:style w:type="paragraph" w:styleId="a8">
    <w:name w:val="annotation text"/>
    <w:basedOn w:val="a"/>
    <w:link w:val="a9"/>
    <w:uiPriority w:val="99"/>
    <w:semiHidden/>
    <w:unhideWhenUsed/>
    <w:rsid w:val="008B675D"/>
    <w:pPr>
      <w:spacing w:line="240" w:lineRule="auto"/>
    </w:pPr>
    <w:rPr>
      <w:sz w:val="20"/>
      <w:szCs w:val="20"/>
    </w:rPr>
  </w:style>
  <w:style w:type="character" w:customStyle="1" w:styleId="a9">
    <w:name w:val="Текст примітки Знак"/>
    <w:basedOn w:val="a0"/>
    <w:link w:val="a8"/>
    <w:uiPriority w:val="99"/>
    <w:semiHidden/>
    <w:rsid w:val="008B675D"/>
    <w:rPr>
      <w:sz w:val="20"/>
      <w:szCs w:val="20"/>
    </w:rPr>
  </w:style>
  <w:style w:type="paragraph" w:styleId="aa">
    <w:name w:val="Balloon Text"/>
    <w:basedOn w:val="a"/>
    <w:link w:val="ab"/>
    <w:uiPriority w:val="99"/>
    <w:semiHidden/>
    <w:unhideWhenUsed/>
    <w:rsid w:val="008B675D"/>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8B675D"/>
    <w:rPr>
      <w:rFonts w:ascii="Segoe UI" w:hAnsi="Segoe UI" w:cs="Segoe UI"/>
      <w:sz w:val="18"/>
      <w:szCs w:val="18"/>
    </w:rPr>
  </w:style>
  <w:style w:type="paragraph" w:styleId="ac">
    <w:name w:val="List Paragraph"/>
    <w:basedOn w:val="a"/>
    <w:uiPriority w:val="34"/>
    <w:qFormat/>
    <w:rsid w:val="001B16A7"/>
    <w:pPr>
      <w:spacing w:after="200" w:line="276" w:lineRule="auto"/>
      <w:ind w:left="720"/>
      <w:contextualSpacing/>
    </w:pPr>
  </w:style>
  <w:style w:type="character" w:customStyle="1" w:styleId="rvts58">
    <w:name w:val="rvts58"/>
    <w:basedOn w:val="a0"/>
    <w:rsid w:val="00550821"/>
  </w:style>
  <w:style w:type="character" w:customStyle="1" w:styleId="rvts19">
    <w:name w:val="rvts19"/>
    <w:basedOn w:val="a0"/>
    <w:rsid w:val="00BE78D8"/>
  </w:style>
  <w:style w:type="character" w:customStyle="1" w:styleId="rvps2Char">
    <w:name w:val="rvps2 Char"/>
    <w:link w:val="rvps2"/>
    <w:rsid w:val="004F770B"/>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4094">
      <w:bodyDiv w:val="1"/>
      <w:marLeft w:val="0"/>
      <w:marRight w:val="0"/>
      <w:marTop w:val="0"/>
      <w:marBottom w:val="0"/>
      <w:divBdr>
        <w:top w:val="none" w:sz="0" w:space="0" w:color="auto"/>
        <w:left w:val="none" w:sz="0" w:space="0" w:color="auto"/>
        <w:bottom w:val="none" w:sz="0" w:space="0" w:color="auto"/>
        <w:right w:val="none" w:sz="0" w:space="0" w:color="auto"/>
      </w:divBdr>
      <w:divsChild>
        <w:div w:id="1034815039">
          <w:marLeft w:val="0"/>
          <w:marRight w:val="0"/>
          <w:marTop w:val="150"/>
          <w:marBottom w:val="150"/>
          <w:divBdr>
            <w:top w:val="none" w:sz="0" w:space="0" w:color="auto"/>
            <w:left w:val="none" w:sz="0" w:space="0" w:color="auto"/>
            <w:bottom w:val="none" w:sz="0" w:space="0" w:color="auto"/>
            <w:right w:val="none" w:sz="0" w:space="0" w:color="auto"/>
          </w:divBdr>
        </w:div>
      </w:divsChild>
    </w:div>
    <w:div w:id="75322707">
      <w:bodyDiv w:val="1"/>
      <w:marLeft w:val="0"/>
      <w:marRight w:val="0"/>
      <w:marTop w:val="0"/>
      <w:marBottom w:val="0"/>
      <w:divBdr>
        <w:top w:val="none" w:sz="0" w:space="0" w:color="auto"/>
        <w:left w:val="none" w:sz="0" w:space="0" w:color="auto"/>
        <w:bottom w:val="none" w:sz="0" w:space="0" w:color="auto"/>
        <w:right w:val="none" w:sz="0" w:space="0" w:color="auto"/>
      </w:divBdr>
      <w:divsChild>
        <w:div w:id="848325373">
          <w:marLeft w:val="0"/>
          <w:marRight w:val="0"/>
          <w:marTop w:val="0"/>
          <w:marBottom w:val="150"/>
          <w:divBdr>
            <w:top w:val="none" w:sz="0" w:space="0" w:color="auto"/>
            <w:left w:val="none" w:sz="0" w:space="0" w:color="auto"/>
            <w:bottom w:val="none" w:sz="0" w:space="0" w:color="auto"/>
            <w:right w:val="none" w:sz="0" w:space="0" w:color="auto"/>
          </w:divBdr>
        </w:div>
      </w:divsChild>
    </w:div>
    <w:div w:id="262539324">
      <w:bodyDiv w:val="1"/>
      <w:marLeft w:val="0"/>
      <w:marRight w:val="0"/>
      <w:marTop w:val="0"/>
      <w:marBottom w:val="0"/>
      <w:divBdr>
        <w:top w:val="none" w:sz="0" w:space="0" w:color="auto"/>
        <w:left w:val="none" w:sz="0" w:space="0" w:color="auto"/>
        <w:bottom w:val="none" w:sz="0" w:space="0" w:color="auto"/>
        <w:right w:val="none" w:sz="0" w:space="0" w:color="auto"/>
      </w:divBdr>
      <w:divsChild>
        <w:div w:id="982002141">
          <w:marLeft w:val="0"/>
          <w:marRight w:val="0"/>
          <w:marTop w:val="0"/>
          <w:marBottom w:val="150"/>
          <w:divBdr>
            <w:top w:val="none" w:sz="0" w:space="0" w:color="auto"/>
            <w:left w:val="none" w:sz="0" w:space="0" w:color="auto"/>
            <w:bottom w:val="none" w:sz="0" w:space="0" w:color="auto"/>
            <w:right w:val="none" w:sz="0" w:space="0" w:color="auto"/>
          </w:divBdr>
        </w:div>
        <w:div w:id="667749221">
          <w:marLeft w:val="0"/>
          <w:marRight w:val="0"/>
          <w:marTop w:val="0"/>
          <w:marBottom w:val="150"/>
          <w:divBdr>
            <w:top w:val="none" w:sz="0" w:space="0" w:color="auto"/>
            <w:left w:val="none" w:sz="0" w:space="0" w:color="auto"/>
            <w:bottom w:val="none" w:sz="0" w:space="0" w:color="auto"/>
            <w:right w:val="none" w:sz="0" w:space="0" w:color="auto"/>
          </w:divBdr>
        </w:div>
      </w:divsChild>
    </w:div>
    <w:div w:id="392434521">
      <w:bodyDiv w:val="1"/>
      <w:marLeft w:val="0"/>
      <w:marRight w:val="0"/>
      <w:marTop w:val="0"/>
      <w:marBottom w:val="0"/>
      <w:divBdr>
        <w:top w:val="none" w:sz="0" w:space="0" w:color="auto"/>
        <w:left w:val="none" w:sz="0" w:space="0" w:color="auto"/>
        <w:bottom w:val="none" w:sz="0" w:space="0" w:color="auto"/>
        <w:right w:val="none" w:sz="0" w:space="0" w:color="auto"/>
      </w:divBdr>
      <w:divsChild>
        <w:div w:id="462774788">
          <w:marLeft w:val="0"/>
          <w:marRight w:val="0"/>
          <w:marTop w:val="0"/>
          <w:marBottom w:val="0"/>
          <w:divBdr>
            <w:top w:val="none" w:sz="0" w:space="0" w:color="auto"/>
            <w:left w:val="none" w:sz="0" w:space="0" w:color="auto"/>
            <w:bottom w:val="none" w:sz="0" w:space="0" w:color="auto"/>
            <w:right w:val="none" w:sz="0" w:space="0" w:color="auto"/>
          </w:divBdr>
        </w:div>
        <w:div w:id="1349987326">
          <w:marLeft w:val="0"/>
          <w:marRight w:val="0"/>
          <w:marTop w:val="0"/>
          <w:marBottom w:val="0"/>
          <w:divBdr>
            <w:top w:val="none" w:sz="0" w:space="0" w:color="auto"/>
            <w:left w:val="none" w:sz="0" w:space="0" w:color="auto"/>
            <w:bottom w:val="none" w:sz="0" w:space="0" w:color="auto"/>
            <w:right w:val="none" w:sz="0" w:space="0" w:color="auto"/>
          </w:divBdr>
        </w:div>
        <w:div w:id="1912812847">
          <w:marLeft w:val="0"/>
          <w:marRight w:val="0"/>
          <w:marTop w:val="0"/>
          <w:marBottom w:val="0"/>
          <w:divBdr>
            <w:top w:val="none" w:sz="0" w:space="0" w:color="auto"/>
            <w:left w:val="none" w:sz="0" w:space="0" w:color="auto"/>
            <w:bottom w:val="none" w:sz="0" w:space="0" w:color="auto"/>
            <w:right w:val="none" w:sz="0" w:space="0" w:color="auto"/>
          </w:divBdr>
        </w:div>
        <w:div w:id="1690254694">
          <w:marLeft w:val="0"/>
          <w:marRight w:val="0"/>
          <w:marTop w:val="0"/>
          <w:marBottom w:val="0"/>
          <w:divBdr>
            <w:top w:val="none" w:sz="0" w:space="0" w:color="auto"/>
            <w:left w:val="none" w:sz="0" w:space="0" w:color="auto"/>
            <w:bottom w:val="none" w:sz="0" w:space="0" w:color="auto"/>
            <w:right w:val="none" w:sz="0" w:space="0" w:color="auto"/>
          </w:divBdr>
        </w:div>
      </w:divsChild>
    </w:div>
    <w:div w:id="425463285">
      <w:bodyDiv w:val="1"/>
      <w:marLeft w:val="0"/>
      <w:marRight w:val="0"/>
      <w:marTop w:val="0"/>
      <w:marBottom w:val="0"/>
      <w:divBdr>
        <w:top w:val="none" w:sz="0" w:space="0" w:color="auto"/>
        <w:left w:val="none" w:sz="0" w:space="0" w:color="auto"/>
        <w:bottom w:val="none" w:sz="0" w:space="0" w:color="auto"/>
        <w:right w:val="none" w:sz="0" w:space="0" w:color="auto"/>
      </w:divBdr>
      <w:divsChild>
        <w:div w:id="1879589733">
          <w:marLeft w:val="0"/>
          <w:marRight w:val="0"/>
          <w:marTop w:val="0"/>
          <w:marBottom w:val="150"/>
          <w:divBdr>
            <w:top w:val="none" w:sz="0" w:space="0" w:color="auto"/>
            <w:left w:val="none" w:sz="0" w:space="0" w:color="auto"/>
            <w:bottom w:val="none" w:sz="0" w:space="0" w:color="auto"/>
            <w:right w:val="none" w:sz="0" w:space="0" w:color="auto"/>
          </w:divBdr>
        </w:div>
        <w:div w:id="1580600361">
          <w:marLeft w:val="0"/>
          <w:marRight w:val="0"/>
          <w:marTop w:val="0"/>
          <w:marBottom w:val="150"/>
          <w:divBdr>
            <w:top w:val="none" w:sz="0" w:space="0" w:color="auto"/>
            <w:left w:val="none" w:sz="0" w:space="0" w:color="auto"/>
            <w:bottom w:val="none" w:sz="0" w:space="0" w:color="auto"/>
            <w:right w:val="none" w:sz="0" w:space="0" w:color="auto"/>
          </w:divBdr>
        </w:div>
      </w:divsChild>
    </w:div>
    <w:div w:id="443423340">
      <w:bodyDiv w:val="1"/>
      <w:marLeft w:val="0"/>
      <w:marRight w:val="0"/>
      <w:marTop w:val="0"/>
      <w:marBottom w:val="0"/>
      <w:divBdr>
        <w:top w:val="none" w:sz="0" w:space="0" w:color="auto"/>
        <w:left w:val="none" w:sz="0" w:space="0" w:color="auto"/>
        <w:bottom w:val="none" w:sz="0" w:space="0" w:color="auto"/>
        <w:right w:val="none" w:sz="0" w:space="0" w:color="auto"/>
      </w:divBdr>
    </w:div>
    <w:div w:id="445660875">
      <w:bodyDiv w:val="1"/>
      <w:marLeft w:val="0"/>
      <w:marRight w:val="0"/>
      <w:marTop w:val="0"/>
      <w:marBottom w:val="0"/>
      <w:divBdr>
        <w:top w:val="none" w:sz="0" w:space="0" w:color="auto"/>
        <w:left w:val="none" w:sz="0" w:space="0" w:color="auto"/>
        <w:bottom w:val="none" w:sz="0" w:space="0" w:color="auto"/>
        <w:right w:val="none" w:sz="0" w:space="0" w:color="auto"/>
      </w:divBdr>
    </w:div>
    <w:div w:id="515196796">
      <w:bodyDiv w:val="1"/>
      <w:marLeft w:val="0"/>
      <w:marRight w:val="0"/>
      <w:marTop w:val="0"/>
      <w:marBottom w:val="0"/>
      <w:divBdr>
        <w:top w:val="none" w:sz="0" w:space="0" w:color="auto"/>
        <w:left w:val="none" w:sz="0" w:space="0" w:color="auto"/>
        <w:bottom w:val="none" w:sz="0" w:space="0" w:color="auto"/>
        <w:right w:val="none" w:sz="0" w:space="0" w:color="auto"/>
      </w:divBdr>
    </w:div>
    <w:div w:id="671840477">
      <w:bodyDiv w:val="1"/>
      <w:marLeft w:val="0"/>
      <w:marRight w:val="0"/>
      <w:marTop w:val="0"/>
      <w:marBottom w:val="0"/>
      <w:divBdr>
        <w:top w:val="none" w:sz="0" w:space="0" w:color="auto"/>
        <w:left w:val="none" w:sz="0" w:space="0" w:color="auto"/>
        <w:bottom w:val="none" w:sz="0" w:space="0" w:color="auto"/>
        <w:right w:val="none" w:sz="0" w:space="0" w:color="auto"/>
      </w:divBdr>
      <w:divsChild>
        <w:div w:id="1616642503">
          <w:marLeft w:val="0"/>
          <w:marRight w:val="0"/>
          <w:marTop w:val="0"/>
          <w:marBottom w:val="150"/>
          <w:divBdr>
            <w:top w:val="none" w:sz="0" w:space="0" w:color="auto"/>
            <w:left w:val="none" w:sz="0" w:space="0" w:color="auto"/>
            <w:bottom w:val="none" w:sz="0" w:space="0" w:color="auto"/>
            <w:right w:val="none" w:sz="0" w:space="0" w:color="auto"/>
          </w:divBdr>
        </w:div>
      </w:divsChild>
    </w:div>
    <w:div w:id="698238269">
      <w:bodyDiv w:val="1"/>
      <w:marLeft w:val="0"/>
      <w:marRight w:val="0"/>
      <w:marTop w:val="0"/>
      <w:marBottom w:val="0"/>
      <w:divBdr>
        <w:top w:val="none" w:sz="0" w:space="0" w:color="auto"/>
        <w:left w:val="none" w:sz="0" w:space="0" w:color="auto"/>
        <w:bottom w:val="none" w:sz="0" w:space="0" w:color="auto"/>
        <w:right w:val="none" w:sz="0" w:space="0" w:color="auto"/>
      </w:divBdr>
      <w:divsChild>
        <w:div w:id="1527475851">
          <w:marLeft w:val="0"/>
          <w:marRight w:val="0"/>
          <w:marTop w:val="0"/>
          <w:marBottom w:val="150"/>
          <w:divBdr>
            <w:top w:val="none" w:sz="0" w:space="0" w:color="auto"/>
            <w:left w:val="none" w:sz="0" w:space="0" w:color="auto"/>
            <w:bottom w:val="none" w:sz="0" w:space="0" w:color="auto"/>
            <w:right w:val="none" w:sz="0" w:space="0" w:color="auto"/>
          </w:divBdr>
        </w:div>
      </w:divsChild>
    </w:div>
    <w:div w:id="700546151">
      <w:bodyDiv w:val="1"/>
      <w:marLeft w:val="0"/>
      <w:marRight w:val="0"/>
      <w:marTop w:val="0"/>
      <w:marBottom w:val="0"/>
      <w:divBdr>
        <w:top w:val="none" w:sz="0" w:space="0" w:color="auto"/>
        <w:left w:val="none" w:sz="0" w:space="0" w:color="auto"/>
        <w:bottom w:val="none" w:sz="0" w:space="0" w:color="auto"/>
        <w:right w:val="none" w:sz="0" w:space="0" w:color="auto"/>
      </w:divBdr>
      <w:divsChild>
        <w:div w:id="929434926">
          <w:marLeft w:val="0"/>
          <w:marRight w:val="0"/>
          <w:marTop w:val="0"/>
          <w:marBottom w:val="150"/>
          <w:divBdr>
            <w:top w:val="none" w:sz="0" w:space="0" w:color="auto"/>
            <w:left w:val="none" w:sz="0" w:space="0" w:color="auto"/>
            <w:bottom w:val="none" w:sz="0" w:space="0" w:color="auto"/>
            <w:right w:val="none" w:sz="0" w:space="0" w:color="auto"/>
          </w:divBdr>
        </w:div>
      </w:divsChild>
    </w:div>
    <w:div w:id="773137532">
      <w:bodyDiv w:val="1"/>
      <w:marLeft w:val="0"/>
      <w:marRight w:val="0"/>
      <w:marTop w:val="0"/>
      <w:marBottom w:val="0"/>
      <w:divBdr>
        <w:top w:val="none" w:sz="0" w:space="0" w:color="auto"/>
        <w:left w:val="none" w:sz="0" w:space="0" w:color="auto"/>
        <w:bottom w:val="none" w:sz="0" w:space="0" w:color="auto"/>
        <w:right w:val="none" w:sz="0" w:space="0" w:color="auto"/>
      </w:divBdr>
      <w:divsChild>
        <w:div w:id="1492214090">
          <w:marLeft w:val="0"/>
          <w:marRight w:val="0"/>
          <w:marTop w:val="0"/>
          <w:marBottom w:val="150"/>
          <w:divBdr>
            <w:top w:val="none" w:sz="0" w:space="0" w:color="auto"/>
            <w:left w:val="none" w:sz="0" w:space="0" w:color="auto"/>
            <w:bottom w:val="none" w:sz="0" w:space="0" w:color="auto"/>
            <w:right w:val="none" w:sz="0" w:space="0" w:color="auto"/>
          </w:divBdr>
        </w:div>
      </w:divsChild>
    </w:div>
    <w:div w:id="840395674">
      <w:bodyDiv w:val="1"/>
      <w:marLeft w:val="0"/>
      <w:marRight w:val="0"/>
      <w:marTop w:val="0"/>
      <w:marBottom w:val="0"/>
      <w:divBdr>
        <w:top w:val="none" w:sz="0" w:space="0" w:color="auto"/>
        <w:left w:val="none" w:sz="0" w:space="0" w:color="auto"/>
        <w:bottom w:val="none" w:sz="0" w:space="0" w:color="auto"/>
        <w:right w:val="none" w:sz="0" w:space="0" w:color="auto"/>
      </w:divBdr>
    </w:div>
    <w:div w:id="852843405">
      <w:bodyDiv w:val="1"/>
      <w:marLeft w:val="0"/>
      <w:marRight w:val="0"/>
      <w:marTop w:val="0"/>
      <w:marBottom w:val="0"/>
      <w:divBdr>
        <w:top w:val="none" w:sz="0" w:space="0" w:color="auto"/>
        <w:left w:val="none" w:sz="0" w:space="0" w:color="auto"/>
        <w:bottom w:val="none" w:sz="0" w:space="0" w:color="auto"/>
        <w:right w:val="none" w:sz="0" w:space="0" w:color="auto"/>
      </w:divBdr>
    </w:div>
    <w:div w:id="900098038">
      <w:bodyDiv w:val="1"/>
      <w:marLeft w:val="0"/>
      <w:marRight w:val="0"/>
      <w:marTop w:val="0"/>
      <w:marBottom w:val="0"/>
      <w:divBdr>
        <w:top w:val="none" w:sz="0" w:space="0" w:color="auto"/>
        <w:left w:val="none" w:sz="0" w:space="0" w:color="auto"/>
        <w:bottom w:val="none" w:sz="0" w:space="0" w:color="auto"/>
        <w:right w:val="none" w:sz="0" w:space="0" w:color="auto"/>
      </w:divBdr>
      <w:divsChild>
        <w:div w:id="854030920">
          <w:marLeft w:val="0"/>
          <w:marRight w:val="0"/>
          <w:marTop w:val="0"/>
          <w:marBottom w:val="150"/>
          <w:divBdr>
            <w:top w:val="none" w:sz="0" w:space="0" w:color="auto"/>
            <w:left w:val="none" w:sz="0" w:space="0" w:color="auto"/>
            <w:bottom w:val="none" w:sz="0" w:space="0" w:color="auto"/>
            <w:right w:val="none" w:sz="0" w:space="0" w:color="auto"/>
          </w:divBdr>
        </w:div>
        <w:div w:id="69469910">
          <w:marLeft w:val="0"/>
          <w:marRight w:val="0"/>
          <w:marTop w:val="0"/>
          <w:marBottom w:val="150"/>
          <w:divBdr>
            <w:top w:val="none" w:sz="0" w:space="0" w:color="auto"/>
            <w:left w:val="none" w:sz="0" w:space="0" w:color="auto"/>
            <w:bottom w:val="none" w:sz="0" w:space="0" w:color="auto"/>
            <w:right w:val="none" w:sz="0" w:space="0" w:color="auto"/>
          </w:divBdr>
        </w:div>
        <w:div w:id="249393505">
          <w:marLeft w:val="0"/>
          <w:marRight w:val="0"/>
          <w:marTop w:val="0"/>
          <w:marBottom w:val="150"/>
          <w:divBdr>
            <w:top w:val="none" w:sz="0" w:space="0" w:color="auto"/>
            <w:left w:val="none" w:sz="0" w:space="0" w:color="auto"/>
            <w:bottom w:val="none" w:sz="0" w:space="0" w:color="auto"/>
            <w:right w:val="none" w:sz="0" w:space="0" w:color="auto"/>
          </w:divBdr>
        </w:div>
      </w:divsChild>
    </w:div>
    <w:div w:id="914358808">
      <w:bodyDiv w:val="1"/>
      <w:marLeft w:val="0"/>
      <w:marRight w:val="0"/>
      <w:marTop w:val="0"/>
      <w:marBottom w:val="0"/>
      <w:divBdr>
        <w:top w:val="none" w:sz="0" w:space="0" w:color="auto"/>
        <w:left w:val="none" w:sz="0" w:space="0" w:color="auto"/>
        <w:bottom w:val="none" w:sz="0" w:space="0" w:color="auto"/>
        <w:right w:val="none" w:sz="0" w:space="0" w:color="auto"/>
      </w:divBdr>
    </w:div>
    <w:div w:id="1105267707">
      <w:bodyDiv w:val="1"/>
      <w:marLeft w:val="0"/>
      <w:marRight w:val="0"/>
      <w:marTop w:val="0"/>
      <w:marBottom w:val="0"/>
      <w:divBdr>
        <w:top w:val="none" w:sz="0" w:space="0" w:color="auto"/>
        <w:left w:val="none" w:sz="0" w:space="0" w:color="auto"/>
        <w:bottom w:val="none" w:sz="0" w:space="0" w:color="auto"/>
        <w:right w:val="none" w:sz="0" w:space="0" w:color="auto"/>
      </w:divBdr>
    </w:div>
    <w:div w:id="1273122773">
      <w:bodyDiv w:val="1"/>
      <w:marLeft w:val="0"/>
      <w:marRight w:val="0"/>
      <w:marTop w:val="0"/>
      <w:marBottom w:val="0"/>
      <w:divBdr>
        <w:top w:val="none" w:sz="0" w:space="0" w:color="auto"/>
        <w:left w:val="none" w:sz="0" w:space="0" w:color="auto"/>
        <w:bottom w:val="none" w:sz="0" w:space="0" w:color="auto"/>
        <w:right w:val="none" w:sz="0" w:space="0" w:color="auto"/>
      </w:divBdr>
      <w:divsChild>
        <w:div w:id="248201197">
          <w:marLeft w:val="0"/>
          <w:marRight w:val="0"/>
          <w:marTop w:val="0"/>
          <w:marBottom w:val="0"/>
          <w:divBdr>
            <w:top w:val="none" w:sz="0" w:space="0" w:color="auto"/>
            <w:left w:val="none" w:sz="0" w:space="0" w:color="auto"/>
            <w:bottom w:val="none" w:sz="0" w:space="0" w:color="auto"/>
            <w:right w:val="none" w:sz="0" w:space="0" w:color="auto"/>
          </w:divBdr>
        </w:div>
      </w:divsChild>
    </w:div>
    <w:div w:id="1336305954">
      <w:bodyDiv w:val="1"/>
      <w:marLeft w:val="0"/>
      <w:marRight w:val="0"/>
      <w:marTop w:val="0"/>
      <w:marBottom w:val="0"/>
      <w:divBdr>
        <w:top w:val="none" w:sz="0" w:space="0" w:color="auto"/>
        <w:left w:val="none" w:sz="0" w:space="0" w:color="auto"/>
        <w:bottom w:val="none" w:sz="0" w:space="0" w:color="auto"/>
        <w:right w:val="none" w:sz="0" w:space="0" w:color="auto"/>
      </w:divBdr>
      <w:divsChild>
        <w:div w:id="31537815">
          <w:marLeft w:val="0"/>
          <w:marRight w:val="0"/>
          <w:marTop w:val="0"/>
          <w:marBottom w:val="0"/>
          <w:divBdr>
            <w:top w:val="none" w:sz="0" w:space="0" w:color="auto"/>
            <w:left w:val="none" w:sz="0" w:space="0" w:color="auto"/>
            <w:bottom w:val="none" w:sz="0" w:space="0" w:color="auto"/>
            <w:right w:val="none" w:sz="0" w:space="0" w:color="auto"/>
          </w:divBdr>
        </w:div>
      </w:divsChild>
    </w:div>
    <w:div w:id="1369183213">
      <w:bodyDiv w:val="1"/>
      <w:marLeft w:val="0"/>
      <w:marRight w:val="0"/>
      <w:marTop w:val="0"/>
      <w:marBottom w:val="0"/>
      <w:divBdr>
        <w:top w:val="none" w:sz="0" w:space="0" w:color="auto"/>
        <w:left w:val="none" w:sz="0" w:space="0" w:color="auto"/>
        <w:bottom w:val="none" w:sz="0" w:space="0" w:color="auto"/>
        <w:right w:val="none" w:sz="0" w:space="0" w:color="auto"/>
      </w:divBdr>
      <w:divsChild>
        <w:div w:id="1551258322">
          <w:marLeft w:val="0"/>
          <w:marRight w:val="0"/>
          <w:marTop w:val="0"/>
          <w:marBottom w:val="150"/>
          <w:divBdr>
            <w:top w:val="none" w:sz="0" w:space="0" w:color="auto"/>
            <w:left w:val="none" w:sz="0" w:space="0" w:color="auto"/>
            <w:bottom w:val="none" w:sz="0" w:space="0" w:color="auto"/>
            <w:right w:val="none" w:sz="0" w:space="0" w:color="auto"/>
          </w:divBdr>
        </w:div>
      </w:divsChild>
    </w:div>
    <w:div w:id="1423838625">
      <w:bodyDiv w:val="1"/>
      <w:marLeft w:val="0"/>
      <w:marRight w:val="0"/>
      <w:marTop w:val="0"/>
      <w:marBottom w:val="0"/>
      <w:divBdr>
        <w:top w:val="none" w:sz="0" w:space="0" w:color="auto"/>
        <w:left w:val="none" w:sz="0" w:space="0" w:color="auto"/>
        <w:bottom w:val="none" w:sz="0" w:space="0" w:color="auto"/>
        <w:right w:val="none" w:sz="0" w:space="0" w:color="auto"/>
      </w:divBdr>
      <w:divsChild>
        <w:div w:id="2054500347">
          <w:marLeft w:val="0"/>
          <w:marRight w:val="0"/>
          <w:marTop w:val="0"/>
          <w:marBottom w:val="0"/>
          <w:divBdr>
            <w:top w:val="none" w:sz="0" w:space="0" w:color="auto"/>
            <w:left w:val="none" w:sz="0" w:space="0" w:color="auto"/>
            <w:bottom w:val="none" w:sz="0" w:space="0" w:color="auto"/>
            <w:right w:val="none" w:sz="0" w:space="0" w:color="auto"/>
          </w:divBdr>
        </w:div>
      </w:divsChild>
    </w:div>
    <w:div w:id="1487940346">
      <w:bodyDiv w:val="1"/>
      <w:marLeft w:val="0"/>
      <w:marRight w:val="0"/>
      <w:marTop w:val="0"/>
      <w:marBottom w:val="0"/>
      <w:divBdr>
        <w:top w:val="none" w:sz="0" w:space="0" w:color="auto"/>
        <w:left w:val="none" w:sz="0" w:space="0" w:color="auto"/>
        <w:bottom w:val="none" w:sz="0" w:space="0" w:color="auto"/>
        <w:right w:val="none" w:sz="0" w:space="0" w:color="auto"/>
      </w:divBdr>
    </w:div>
    <w:div w:id="1531258787">
      <w:bodyDiv w:val="1"/>
      <w:marLeft w:val="0"/>
      <w:marRight w:val="0"/>
      <w:marTop w:val="0"/>
      <w:marBottom w:val="0"/>
      <w:divBdr>
        <w:top w:val="none" w:sz="0" w:space="0" w:color="auto"/>
        <w:left w:val="none" w:sz="0" w:space="0" w:color="auto"/>
        <w:bottom w:val="none" w:sz="0" w:space="0" w:color="auto"/>
        <w:right w:val="none" w:sz="0" w:space="0" w:color="auto"/>
      </w:divBdr>
    </w:div>
    <w:div w:id="1684437251">
      <w:bodyDiv w:val="1"/>
      <w:marLeft w:val="0"/>
      <w:marRight w:val="0"/>
      <w:marTop w:val="0"/>
      <w:marBottom w:val="0"/>
      <w:divBdr>
        <w:top w:val="none" w:sz="0" w:space="0" w:color="auto"/>
        <w:left w:val="none" w:sz="0" w:space="0" w:color="auto"/>
        <w:bottom w:val="none" w:sz="0" w:space="0" w:color="auto"/>
        <w:right w:val="none" w:sz="0" w:space="0" w:color="auto"/>
      </w:divBdr>
      <w:divsChild>
        <w:div w:id="956521327">
          <w:marLeft w:val="0"/>
          <w:marRight w:val="0"/>
          <w:marTop w:val="0"/>
          <w:marBottom w:val="0"/>
          <w:divBdr>
            <w:top w:val="none" w:sz="0" w:space="0" w:color="auto"/>
            <w:left w:val="none" w:sz="0" w:space="0" w:color="auto"/>
            <w:bottom w:val="none" w:sz="0" w:space="0" w:color="auto"/>
            <w:right w:val="none" w:sz="0" w:space="0" w:color="auto"/>
          </w:divBdr>
        </w:div>
      </w:divsChild>
    </w:div>
    <w:div w:id="1691026214">
      <w:bodyDiv w:val="1"/>
      <w:marLeft w:val="0"/>
      <w:marRight w:val="0"/>
      <w:marTop w:val="0"/>
      <w:marBottom w:val="0"/>
      <w:divBdr>
        <w:top w:val="none" w:sz="0" w:space="0" w:color="auto"/>
        <w:left w:val="none" w:sz="0" w:space="0" w:color="auto"/>
        <w:bottom w:val="none" w:sz="0" w:space="0" w:color="auto"/>
        <w:right w:val="none" w:sz="0" w:space="0" w:color="auto"/>
      </w:divBdr>
      <w:divsChild>
        <w:div w:id="1597136401">
          <w:marLeft w:val="0"/>
          <w:marRight w:val="0"/>
          <w:marTop w:val="0"/>
          <w:marBottom w:val="0"/>
          <w:divBdr>
            <w:top w:val="none" w:sz="0" w:space="0" w:color="auto"/>
            <w:left w:val="none" w:sz="0" w:space="0" w:color="auto"/>
            <w:bottom w:val="none" w:sz="0" w:space="0" w:color="auto"/>
            <w:right w:val="none" w:sz="0" w:space="0" w:color="auto"/>
          </w:divBdr>
        </w:div>
      </w:divsChild>
    </w:div>
    <w:div w:id="1750299618">
      <w:bodyDiv w:val="1"/>
      <w:marLeft w:val="0"/>
      <w:marRight w:val="0"/>
      <w:marTop w:val="0"/>
      <w:marBottom w:val="0"/>
      <w:divBdr>
        <w:top w:val="none" w:sz="0" w:space="0" w:color="auto"/>
        <w:left w:val="none" w:sz="0" w:space="0" w:color="auto"/>
        <w:bottom w:val="none" w:sz="0" w:space="0" w:color="auto"/>
        <w:right w:val="none" w:sz="0" w:space="0" w:color="auto"/>
      </w:divBdr>
      <w:divsChild>
        <w:div w:id="938953400">
          <w:marLeft w:val="0"/>
          <w:marRight w:val="0"/>
          <w:marTop w:val="0"/>
          <w:marBottom w:val="150"/>
          <w:divBdr>
            <w:top w:val="none" w:sz="0" w:space="0" w:color="auto"/>
            <w:left w:val="none" w:sz="0" w:space="0" w:color="auto"/>
            <w:bottom w:val="none" w:sz="0" w:space="0" w:color="auto"/>
            <w:right w:val="none" w:sz="0" w:space="0" w:color="auto"/>
          </w:divBdr>
        </w:div>
      </w:divsChild>
    </w:div>
    <w:div w:id="1808087426">
      <w:bodyDiv w:val="1"/>
      <w:marLeft w:val="0"/>
      <w:marRight w:val="0"/>
      <w:marTop w:val="0"/>
      <w:marBottom w:val="0"/>
      <w:divBdr>
        <w:top w:val="none" w:sz="0" w:space="0" w:color="auto"/>
        <w:left w:val="none" w:sz="0" w:space="0" w:color="auto"/>
        <w:bottom w:val="none" w:sz="0" w:space="0" w:color="auto"/>
        <w:right w:val="none" w:sz="0" w:space="0" w:color="auto"/>
      </w:divBdr>
      <w:divsChild>
        <w:div w:id="366686935">
          <w:marLeft w:val="0"/>
          <w:marRight w:val="0"/>
          <w:marTop w:val="0"/>
          <w:marBottom w:val="0"/>
          <w:divBdr>
            <w:top w:val="none" w:sz="0" w:space="0" w:color="auto"/>
            <w:left w:val="none" w:sz="0" w:space="0" w:color="auto"/>
            <w:bottom w:val="none" w:sz="0" w:space="0" w:color="auto"/>
            <w:right w:val="none" w:sz="0" w:space="0" w:color="auto"/>
          </w:divBdr>
        </w:div>
      </w:divsChild>
    </w:div>
    <w:div w:id="1848933935">
      <w:bodyDiv w:val="1"/>
      <w:marLeft w:val="0"/>
      <w:marRight w:val="0"/>
      <w:marTop w:val="0"/>
      <w:marBottom w:val="0"/>
      <w:divBdr>
        <w:top w:val="none" w:sz="0" w:space="0" w:color="auto"/>
        <w:left w:val="none" w:sz="0" w:space="0" w:color="auto"/>
        <w:bottom w:val="none" w:sz="0" w:space="0" w:color="auto"/>
        <w:right w:val="none" w:sz="0" w:space="0" w:color="auto"/>
      </w:divBdr>
    </w:div>
    <w:div w:id="1885097179">
      <w:bodyDiv w:val="1"/>
      <w:marLeft w:val="0"/>
      <w:marRight w:val="0"/>
      <w:marTop w:val="0"/>
      <w:marBottom w:val="0"/>
      <w:divBdr>
        <w:top w:val="none" w:sz="0" w:space="0" w:color="auto"/>
        <w:left w:val="none" w:sz="0" w:space="0" w:color="auto"/>
        <w:bottom w:val="none" w:sz="0" w:space="0" w:color="auto"/>
        <w:right w:val="none" w:sz="0" w:space="0" w:color="auto"/>
      </w:divBdr>
      <w:divsChild>
        <w:div w:id="806967888">
          <w:marLeft w:val="0"/>
          <w:marRight w:val="0"/>
          <w:marTop w:val="0"/>
          <w:marBottom w:val="0"/>
          <w:divBdr>
            <w:top w:val="none" w:sz="0" w:space="0" w:color="auto"/>
            <w:left w:val="none" w:sz="0" w:space="0" w:color="auto"/>
            <w:bottom w:val="none" w:sz="0" w:space="0" w:color="auto"/>
            <w:right w:val="none" w:sz="0" w:space="0" w:color="auto"/>
          </w:divBdr>
        </w:div>
        <w:div w:id="1682051012">
          <w:marLeft w:val="0"/>
          <w:marRight w:val="0"/>
          <w:marTop w:val="0"/>
          <w:marBottom w:val="0"/>
          <w:divBdr>
            <w:top w:val="none" w:sz="0" w:space="0" w:color="auto"/>
            <w:left w:val="none" w:sz="0" w:space="0" w:color="auto"/>
            <w:bottom w:val="none" w:sz="0" w:space="0" w:color="auto"/>
            <w:right w:val="none" w:sz="0" w:space="0" w:color="auto"/>
          </w:divBdr>
        </w:div>
        <w:div w:id="391974901">
          <w:marLeft w:val="0"/>
          <w:marRight w:val="0"/>
          <w:marTop w:val="0"/>
          <w:marBottom w:val="0"/>
          <w:divBdr>
            <w:top w:val="none" w:sz="0" w:space="0" w:color="auto"/>
            <w:left w:val="none" w:sz="0" w:space="0" w:color="auto"/>
            <w:bottom w:val="none" w:sz="0" w:space="0" w:color="auto"/>
            <w:right w:val="none" w:sz="0" w:space="0" w:color="auto"/>
          </w:divBdr>
        </w:div>
      </w:divsChild>
    </w:div>
    <w:div w:id="1962567298">
      <w:bodyDiv w:val="1"/>
      <w:marLeft w:val="0"/>
      <w:marRight w:val="0"/>
      <w:marTop w:val="0"/>
      <w:marBottom w:val="0"/>
      <w:divBdr>
        <w:top w:val="none" w:sz="0" w:space="0" w:color="auto"/>
        <w:left w:val="none" w:sz="0" w:space="0" w:color="auto"/>
        <w:bottom w:val="none" w:sz="0" w:space="0" w:color="auto"/>
        <w:right w:val="none" w:sz="0" w:space="0" w:color="auto"/>
      </w:divBdr>
      <w:divsChild>
        <w:div w:id="817184222">
          <w:marLeft w:val="0"/>
          <w:marRight w:val="0"/>
          <w:marTop w:val="0"/>
          <w:marBottom w:val="150"/>
          <w:divBdr>
            <w:top w:val="none" w:sz="0" w:space="0" w:color="auto"/>
            <w:left w:val="none" w:sz="0" w:space="0" w:color="auto"/>
            <w:bottom w:val="none" w:sz="0" w:space="0" w:color="auto"/>
            <w:right w:val="none" w:sz="0" w:space="0" w:color="auto"/>
          </w:divBdr>
        </w:div>
      </w:divsChild>
    </w:div>
    <w:div w:id="1977106920">
      <w:bodyDiv w:val="1"/>
      <w:marLeft w:val="0"/>
      <w:marRight w:val="0"/>
      <w:marTop w:val="0"/>
      <w:marBottom w:val="0"/>
      <w:divBdr>
        <w:top w:val="none" w:sz="0" w:space="0" w:color="auto"/>
        <w:left w:val="none" w:sz="0" w:space="0" w:color="auto"/>
        <w:bottom w:val="none" w:sz="0" w:space="0" w:color="auto"/>
        <w:right w:val="none" w:sz="0" w:space="0" w:color="auto"/>
      </w:divBdr>
    </w:div>
    <w:div w:id="2008701895">
      <w:bodyDiv w:val="1"/>
      <w:marLeft w:val="0"/>
      <w:marRight w:val="0"/>
      <w:marTop w:val="0"/>
      <w:marBottom w:val="0"/>
      <w:divBdr>
        <w:top w:val="none" w:sz="0" w:space="0" w:color="auto"/>
        <w:left w:val="none" w:sz="0" w:space="0" w:color="auto"/>
        <w:bottom w:val="none" w:sz="0" w:space="0" w:color="auto"/>
        <w:right w:val="none" w:sz="0" w:space="0" w:color="auto"/>
      </w:divBdr>
      <w:divsChild>
        <w:div w:id="600186588">
          <w:marLeft w:val="0"/>
          <w:marRight w:val="0"/>
          <w:marTop w:val="0"/>
          <w:marBottom w:val="0"/>
          <w:divBdr>
            <w:top w:val="none" w:sz="0" w:space="0" w:color="auto"/>
            <w:left w:val="none" w:sz="0" w:space="0" w:color="auto"/>
            <w:bottom w:val="none" w:sz="0" w:space="0" w:color="auto"/>
            <w:right w:val="none" w:sz="0" w:space="0" w:color="auto"/>
          </w:divBdr>
          <w:divsChild>
            <w:div w:id="29294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73191">
      <w:bodyDiv w:val="1"/>
      <w:marLeft w:val="0"/>
      <w:marRight w:val="0"/>
      <w:marTop w:val="0"/>
      <w:marBottom w:val="0"/>
      <w:divBdr>
        <w:top w:val="none" w:sz="0" w:space="0" w:color="auto"/>
        <w:left w:val="none" w:sz="0" w:space="0" w:color="auto"/>
        <w:bottom w:val="none" w:sz="0" w:space="0" w:color="auto"/>
        <w:right w:val="none" w:sz="0" w:space="0" w:color="auto"/>
      </w:divBdr>
      <w:divsChild>
        <w:div w:id="529487423">
          <w:marLeft w:val="0"/>
          <w:marRight w:val="0"/>
          <w:marTop w:val="0"/>
          <w:marBottom w:val="0"/>
          <w:divBdr>
            <w:top w:val="none" w:sz="0" w:space="0" w:color="auto"/>
            <w:left w:val="none" w:sz="0" w:space="0" w:color="auto"/>
            <w:bottom w:val="none" w:sz="0" w:space="0" w:color="auto"/>
            <w:right w:val="none" w:sz="0" w:space="0" w:color="auto"/>
          </w:divBdr>
        </w:div>
        <w:div w:id="965769908">
          <w:marLeft w:val="0"/>
          <w:marRight w:val="0"/>
          <w:marTop w:val="0"/>
          <w:marBottom w:val="0"/>
          <w:divBdr>
            <w:top w:val="none" w:sz="0" w:space="0" w:color="auto"/>
            <w:left w:val="none" w:sz="0" w:space="0" w:color="auto"/>
            <w:bottom w:val="none" w:sz="0" w:space="0" w:color="auto"/>
            <w:right w:val="none" w:sz="0" w:space="0" w:color="auto"/>
          </w:divBdr>
        </w:div>
      </w:divsChild>
    </w:div>
    <w:div w:id="2121146497">
      <w:bodyDiv w:val="1"/>
      <w:marLeft w:val="0"/>
      <w:marRight w:val="0"/>
      <w:marTop w:val="0"/>
      <w:marBottom w:val="0"/>
      <w:divBdr>
        <w:top w:val="none" w:sz="0" w:space="0" w:color="auto"/>
        <w:left w:val="none" w:sz="0" w:space="0" w:color="auto"/>
        <w:bottom w:val="none" w:sz="0" w:space="0" w:color="auto"/>
        <w:right w:val="none" w:sz="0" w:space="0" w:color="auto"/>
      </w:divBdr>
      <w:divsChild>
        <w:div w:id="131432982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imgs/117/p480243n233v1-2.bmp" TargetMode="External"/><Relationship Id="rId13"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yperlink" Target="https://zakon.rada.gov.ua/laws/file/imgs/117/p480243n434-4.bmp"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file/imgs/85/p480243n232-1.emf" TargetMode="External"/><Relationship Id="rId11" Type="http://schemas.openxmlformats.org/officeDocument/2006/relationships/image" Target="media/image4.gif"/><Relationship Id="rId5" Type="http://schemas.openxmlformats.org/officeDocument/2006/relationships/image" Target="media/image1.gif"/><Relationship Id="rId15" Type="http://schemas.openxmlformats.org/officeDocument/2006/relationships/image" Target="media/image6.gif"/><Relationship Id="rId10" Type="http://schemas.openxmlformats.org/officeDocument/2006/relationships/hyperlink" Target="https://zakon.rada.gov.ua/laws/file/imgs/117/p480243n433-3.bmp" TargetMode="External"/><Relationship Id="rId4" Type="http://schemas.openxmlformats.org/officeDocument/2006/relationships/hyperlink" Target="https://zakon.rada.gov.ua/laws/file/imgs/85/p480243n231.bmp" TargetMode="External"/><Relationship Id="rId9" Type="http://schemas.openxmlformats.org/officeDocument/2006/relationships/image" Target="media/image3.gif"/><Relationship Id="rId14" Type="http://schemas.openxmlformats.org/officeDocument/2006/relationships/hyperlink" Target="https://zakon.rada.gov.ua/laws/file/imgs/117/p480243n481-40.bmp"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2281</TotalTime>
  <Pages>10</Pages>
  <Words>15182</Words>
  <Characters>8654</Characters>
  <Application>Microsoft Office Word</Application>
  <DocSecurity>0</DocSecurity>
  <Lines>72</Lines>
  <Paragraphs>47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Максим Кічковський</cp:lastModifiedBy>
  <cp:revision>51</cp:revision>
  <cp:lastPrinted>2025-04-29T11:21:00Z</cp:lastPrinted>
  <dcterms:created xsi:type="dcterms:W3CDTF">2024-03-08T13:07:00Z</dcterms:created>
  <dcterms:modified xsi:type="dcterms:W3CDTF">2025-05-07T12:46:00Z</dcterms:modified>
</cp:coreProperties>
</file>