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8AF61" w14:textId="77777777" w:rsidR="00913219" w:rsidRPr="00BE2255" w:rsidRDefault="00913219" w:rsidP="009132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b/>
          <w:sz w:val="28"/>
          <w:szCs w:val="28"/>
          <w:lang w:val="uk-UA"/>
        </w:rPr>
        <w:t>Аналіз регуляторного впливу</w:t>
      </w:r>
    </w:p>
    <w:p w14:paraId="128B8C5E" w14:textId="77777777" w:rsidR="00272453" w:rsidRPr="00BE2255" w:rsidRDefault="00913219" w:rsidP="00272453">
      <w:pPr>
        <w:pStyle w:val="a4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проєкту </w:t>
      </w:r>
      <w:bookmarkStart w:id="0" w:name="_Hlk152319467"/>
      <w:r w:rsidR="00272453" w:rsidRPr="00BE2255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Закону України «Про внесення змін до статті 9</w:t>
      </w:r>
      <w:r w:rsidR="00272453" w:rsidRPr="00BE2255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uk-UA"/>
        </w:rPr>
        <w:t>7</w:t>
      </w:r>
      <w:r w:rsidR="00272453" w:rsidRPr="00BE22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Закону України «Про альтернативні джерела енергії» </w:t>
      </w:r>
    </w:p>
    <w:bookmarkEnd w:id="0"/>
    <w:p w14:paraId="0EAD20A4" w14:textId="2F2DFE8F" w:rsidR="00412487" w:rsidRPr="00BE2255" w:rsidRDefault="00412487" w:rsidP="009132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6785858" w14:textId="5B7A4C62" w:rsidR="00913219" w:rsidRPr="00BE2255" w:rsidRDefault="00913219" w:rsidP="00244AE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b/>
          <w:sz w:val="28"/>
          <w:szCs w:val="28"/>
          <w:lang w:val="uk-UA"/>
        </w:rPr>
        <w:t>І. Визначення проблеми</w:t>
      </w:r>
    </w:p>
    <w:p w14:paraId="6CD4FFBF" w14:textId="08699751" w:rsidR="008D2FDA" w:rsidRPr="008D2FDA" w:rsidRDefault="008D2FDA" w:rsidP="008D2F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D2F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Україні створено законодавче підґрунтя для функціонування системи гарантій походження електроенергії, виробленої з відновлюваних джерел енергії. Закон</w:t>
      </w:r>
      <w:r w:rsidR="00F34A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</w:t>
      </w:r>
      <w:r w:rsidRPr="008D2F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 «Про</w:t>
      </w:r>
      <w:r w:rsidR="00F34A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альтернативні джерела енергії»</w:t>
      </w:r>
      <w:r w:rsidRPr="008D2F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визначено основні правові засади для впровадження гарантій походження, зокрема створення реєстру гарантій походження та надання повноважень </w:t>
      </w:r>
      <w:r w:rsidRPr="008D2FDA">
        <w:rPr>
          <w:rFonts w:ascii="Times New Roman" w:hAnsi="Times New Roman" w:cs="Times New Roman"/>
          <w:sz w:val="28"/>
          <w:szCs w:val="28"/>
          <w:lang w:val="uk-UA"/>
        </w:rPr>
        <w:t>НКРЕКП</w:t>
      </w:r>
      <w:r w:rsidRPr="008D2F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як органу, відповідальному за їх видачу, обіг та погашення. Подальший розвиток нормативної бази забезпечено прийняттям постанови Кабіне</w:t>
      </w:r>
      <w:r w:rsidR="0032341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ту Міністрів України від 27.02.</w:t>
      </w:r>
      <w:r w:rsidRPr="008D2F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2024 № 227</w:t>
      </w:r>
      <w:r w:rsidR="00F34A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</w:t>
      </w:r>
      <w:r w:rsidR="00F34A13" w:rsidRPr="00F34A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запровадження гарантій походження електричної енергії, виробленої з відновлюваних джерел енергії</w:t>
      </w:r>
      <w:r w:rsidR="00F34A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 </w:t>
      </w:r>
      <w:r w:rsidRPr="008D2F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низки нормативно-правових актів НКРЕКП. </w:t>
      </w:r>
    </w:p>
    <w:p w14:paraId="42643327" w14:textId="3E38050B" w:rsidR="008D2FDA" w:rsidRPr="008D2FDA" w:rsidRDefault="008D2FDA" w:rsidP="008D2F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D2F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с</w:t>
      </w:r>
      <w:r w:rsidR="00670E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ерпня 2024 року НКРЕКП розпочала</w:t>
      </w:r>
      <w:r w:rsidRPr="008D2F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процес створення облікових записів у реєстрі гарантій походження, а також процес видачі гарантій походження.</w:t>
      </w:r>
    </w:p>
    <w:p w14:paraId="190B473F" w14:textId="79C6452C" w:rsidR="008D2FDA" w:rsidRPr="008D2FDA" w:rsidRDefault="008D2FDA" w:rsidP="008D2F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D2F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національному рівні розпочато торгівлю гарантіями походження, зокрема на платформах АТ «Оператор ринку» (з жовтня 2024 року) та </w:t>
      </w:r>
      <w:r w:rsidR="00AF3FB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Pr="008D2F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ТОВ «Українська енергетична біржа» (з грудня 2024 року).</w:t>
      </w:r>
    </w:p>
    <w:p w14:paraId="60B8FAD3" w14:textId="05B6AF03" w:rsidR="008D2FDA" w:rsidRPr="008D2FDA" w:rsidRDefault="008D2FDA" w:rsidP="008D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2FDA">
        <w:rPr>
          <w:rFonts w:ascii="Times New Roman" w:hAnsi="Times New Roman" w:cs="Times New Roman"/>
          <w:sz w:val="28"/>
          <w:szCs w:val="28"/>
          <w:lang w:val="uk-UA"/>
        </w:rPr>
        <w:t>30 травня 2024 року за рішенням Загальних зборів AIB Україна в особі НКРЕКП набула офіційного статусу члена Асоціації органів-емітентів</w:t>
      </w:r>
      <w:r w:rsidR="00AF3FB8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8D2FDA">
        <w:rPr>
          <w:rFonts w:ascii="Times New Roman" w:hAnsi="Times New Roman" w:cs="Times New Roman"/>
          <w:sz w:val="28"/>
          <w:szCs w:val="28"/>
          <w:lang w:val="uk-UA"/>
        </w:rPr>
        <w:t xml:space="preserve">(далі – </w:t>
      </w:r>
      <w:r w:rsidRPr="008D2F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АІВ)</w:t>
      </w:r>
      <w:r w:rsidRPr="008D2FDA">
        <w:rPr>
          <w:rFonts w:ascii="Times New Roman" w:hAnsi="Times New Roman" w:cs="Times New Roman"/>
          <w:sz w:val="28"/>
          <w:szCs w:val="28"/>
          <w:lang w:val="uk-UA"/>
        </w:rPr>
        <w:t xml:space="preserve">. Це ключовий крок для започаткування роботи української системи гарантій походження за принципами та правилами ЄС. </w:t>
      </w:r>
    </w:p>
    <w:p w14:paraId="337B60AC" w14:textId="77777777" w:rsidR="008D2FDA" w:rsidRPr="008D2FDA" w:rsidRDefault="008D2FDA" w:rsidP="008D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2FDA">
        <w:rPr>
          <w:rFonts w:ascii="Times New Roman" w:hAnsi="Times New Roman" w:cs="Times New Roman"/>
          <w:sz w:val="28"/>
          <w:szCs w:val="28"/>
          <w:lang w:val="uk-UA"/>
        </w:rPr>
        <w:t xml:space="preserve">Наступним етапом є приєднання НКРЕКП до Групи «Електричної Схеми» AIB за умови успішного проходження аудиту з боку АІВ (який вже розпочато в жовтні 2024 року). Також АІВ та НКРЕКП мають погодити протокол домену України, який за шаблонним документом АІВ описує роботу механізму гарантій походження в Україні. </w:t>
      </w:r>
    </w:p>
    <w:p w14:paraId="1F386F2B" w14:textId="22B686F8" w:rsidR="008D2FDA" w:rsidRPr="008D2FDA" w:rsidRDefault="008D2FDA" w:rsidP="008D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2FDA">
        <w:rPr>
          <w:rFonts w:ascii="Times New Roman" w:hAnsi="Times New Roman" w:cs="Times New Roman"/>
          <w:sz w:val="28"/>
          <w:szCs w:val="28"/>
          <w:lang w:val="uk-UA"/>
        </w:rPr>
        <w:t>Повноцінна інтеграція до АІВ засвідчить відповідність української системи гарантій походження стандартизованим правилам AIB – EECS (</w:t>
      </w:r>
      <w:proofErr w:type="spellStart"/>
      <w:r w:rsidRPr="008D2FDA">
        <w:rPr>
          <w:rFonts w:ascii="Times New Roman" w:hAnsi="Times New Roman" w:cs="Times New Roman"/>
          <w:sz w:val="28"/>
          <w:szCs w:val="28"/>
          <w:lang w:val="uk-UA"/>
        </w:rPr>
        <w:t>European</w:t>
      </w:r>
      <w:proofErr w:type="spellEnd"/>
      <w:r w:rsidRPr="008D2F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D2FDA">
        <w:rPr>
          <w:rFonts w:ascii="Times New Roman" w:hAnsi="Times New Roman" w:cs="Times New Roman"/>
          <w:sz w:val="28"/>
          <w:szCs w:val="28"/>
          <w:lang w:val="uk-UA"/>
        </w:rPr>
        <w:t>Energy</w:t>
      </w:r>
      <w:proofErr w:type="spellEnd"/>
      <w:r w:rsidRPr="008D2F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D2FDA">
        <w:rPr>
          <w:rFonts w:ascii="Times New Roman" w:hAnsi="Times New Roman" w:cs="Times New Roman"/>
          <w:sz w:val="28"/>
          <w:szCs w:val="28"/>
          <w:lang w:val="uk-UA"/>
        </w:rPr>
        <w:t>Certificate</w:t>
      </w:r>
      <w:proofErr w:type="spellEnd"/>
      <w:r w:rsidRPr="008D2F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D2FDA">
        <w:rPr>
          <w:rFonts w:ascii="Times New Roman" w:hAnsi="Times New Roman" w:cs="Times New Roman"/>
          <w:sz w:val="28"/>
          <w:szCs w:val="28"/>
          <w:lang w:val="uk-UA"/>
        </w:rPr>
        <w:t>System</w:t>
      </w:r>
      <w:proofErr w:type="spellEnd"/>
      <w:r w:rsidRPr="008D2FDA">
        <w:rPr>
          <w:rFonts w:ascii="Times New Roman" w:hAnsi="Times New Roman" w:cs="Times New Roman"/>
          <w:sz w:val="28"/>
          <w:szCs w:val="28"/>
          <w:lang w:val="uk-UA"/>
        </w:rPr>
        <w:t xml:space="preserve"> – Європейська систе</w:t>
      </w:r>
      <w:r w:rsidR="0032341E">
        <w:rPr>
          <w:rFonts w:ascii="Times New Roman" w:hAnsi="Times New Roman" w:cs="Times New Roman"/>
          <w:sz w:val="28"/>
          <w:szCs w:val="28"/>
          <w:lang w:val="uk-UA"/>
        </w:rPr>
        <w:t>ма сертифікації енергії), які, у</w:t>
      </w:r>
      <w:r w:rsidRPr="008D2FDA">
        <w:rPr>
          <w:rFonts w:ascii="Times New Roman" w:hAnsi="Times New Roman" w:cs="Times New Roman"/>
          <w:sz w:val="28"/>
          <w:szCs w:val="28"/>
          <w:lang w:val="uk-UA"/>
        </w:rPr>
        <w:t xml:space="preserve"> свою чергу, ґрунтуються на вимогах обов’язкового </w:t>
      </w:r>
      <w:r w:rsidR="00725C1C" w:rsidRPr="008D2FDA">
        <w:rPr>
          <w:rFonts w:ascii="Times New Roman" w:hAnsi="Times New Roman" w:cs="Times New Roman"/>
          <w:sz w:val="28"/>
          <w:szCs w:val="28"/>
          <w:lang w:val="uk-UA"/>
        </w:rPr>
        <w:t>стандарту CEN-EN 16325</w:t>
      </w:r>
      <w:r w:rsidR="00725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2FD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частини 6 статті 19 </w:t>
      </w:r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>Директиви Європейського парламенту та Ради (ЄС) 2018/2001 від 11 грудня 2018 року про стимулювання використання енергії з відновлюваних джерел (зі змінами) (</w:t>
      </w:r>
      <w:proofErr w:type="spellStart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>Directive</w:t>
      </w:r>
      <w:proofErr w:type="spellEnd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(EU) 2018/2001 </w:t>
      </w:r>
      <w:proofErr w:type="spellStart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>European</w:t>
      </w:r>
      <w:proofErr w:type="spellEnd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>Parliament</w:t>
      </w:r>
      <w:proofErr w:type="spellEnd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>Council</w:t>
      </w:r>
      <w:proofErr w:type="spellEnd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11 </w:t>
      </w:r>
      <w:proofErr w:type="spellStart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>December</w:t>
      </w:r>
      <w:proofErr w:type="spellEnd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2018 </w:t>
      </w:r>
      <w:proofErr w:type="spellStart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>on</w:t>
      </w:r>
      <w:proofErr w:type="spellEnd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>promotion</w:t>
      </w:r>
      <w:proofErr w:type="spellEnd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>use</w:t>
      </w:r>
      <w:proofErr w:type="spellEnd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>energy</w:t>
      </w:r>
      <w:proofErr w:type="spellEnd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>renewable</w:t>
      </w:r>
      <w:proofErr w:type="spellEnd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>sources</w:t>
      </w:r>
      <w:proofErr w:type="spellEnd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>recast</w:t>
      </w:r>
      <w:proofErr w:type="spellEnd"/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6F7D7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6F7D79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далі – </w:t>
      </w:r>
      <w:r w:rsidRPr="008D2FDA">
        <w:rPr>
          <w:rFonts w:ascii="Times New Roman" w:hAnsi="Times New Roman" w:cs="Times New Roman"/>
          <w:sz w:val="28"/>
          <w:szCs w:val="28"/>
          <w:lang w:val="uk-UA"/>
        </w:rPr>
        <w:t>Директиви RED II</w:t>
      </w:r>
      <w:r w:rsidR="006F7D7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8D2FD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74FBFBF" w14:textId="753BF619" w:rsidR="007061EF" w:rsidRPr="008D2FDA" w:rsidRDefault="004A0C93" w:rsidP="008D2F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2FDA">
        <w:rPr>
          <w:rFonts w:ascii="Times New Roman" w:hAnsi="Times New Roman" w:cs="Times New Roman"/>
          <w:sz w:val="28"/>
          <w:szCs w:val="28"/>
          <w:lang w:val="uk-UA"/>
        </w:rPr>
        <w:t>Незважаючи на запровадження в Україні законодавчої та інституційної бази для функціонування системи гарантій походження електричної енергії</w:t>
      </w:r>
      <w:r w:rsidR="00F3473E" w:rsidRPr="008D2FDA">
        <w:rPr>
          <w:rFonts w:ascii="Times New Roman" w:hAnsi="Times New Roman" w:cs="Times New Roman"/>
          <w:sz w:val="28"/>
          <w:szCs w:val="28"/>
          <w:lang w:val="uk-UA"/>
        </w:rPr>
        <w:t>, виробленої</w:t>
      </w:r>
      <w:r w:rsidRPr="008D2FDA">
        <w:rPr>
          <w:rFonts w:ascii="Times New Roman" w:hAnsi="Times New Roman" w:cs="Times New Roman"/>
          <w:sz w:val="28"/>
          <w:szCs w:val="28"/>
          <w:lang w:val="uk-UA"/>
        </w:rPr>
        <w:t xml:space="preserve"> з відновлюваних джерел енергії</w:t>
      </w:r>
      <w:r w:rsidR="005A4FC2" w:rsidRPr="008D2FDA">
        <w:rPr>
          <w:rFonts w:ascii="Times New Roman" w:hAnsi="Times New Roman" w:cs="Times New Roman"/>
          <w:sz w:val="28"/>
          <w:szCs w:val="28"/>
          <w:lang w:val="uk-UA"/>
        </w:rPr>
        <w:t xml:space="preserve"> (далі – гарантії походження)</w:t>
      </w:r>
      <w:r w:rsidRPr="008D2FDA">
        <w:rPr>
          <w:rFonts w:ascii="Times New Roman" w:hAnsi="Times New Roman" w:cs="Times New Roman"/>
          <w:sz w:val="28"/>
          <w:szCs w:val="28"/>
          <w:lang w:val="uk-UA"/>
        </w:rPr>
        <w:t>, наявна нормативно-правова база потр</w:t>
      </w:r>
      <w:r w:rsidR="005A4FC2" w:rsidRPr="008D2FDA">
        <w:rPr>
          <w:rFonts w:ascii="Times New Roman" w:hAnsi="Times New Roman" w:cs="Times New Roman"/>
          <w:sz w:val="28"/>
          <w:szCs w:val="28"/>
          <w:lang w:val="uk-UA"/>
        </w:rPr>
        <w:t xml:space="preserve">ебує уточнення та вдосконалення, </w:t>
      </w:r>
      <w:r w:rsidR="005A4FC2" w:rsidRPr="008D2F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зокрема для врахування попередніх спостережень в рамках аудиту АІВ. </w:t>
      </w:r>
      <w:r w:rsidRPr="008D2F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C74070D" w14:textId="64DD2471" w:rsidR="004A0C93" w:rsidRPr="00BE2255" w:rsidRDefault="003903D4" w:rsidP="008D2F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Внесення </w:t>
      </w:r>
      <w:r w:rsidR="00670EE4">
        <w:rPr>
          <w:rFonts w:ascii="Times New Roman" w:hAnsi="Times New Roman" w:cs="Times New Roman"/>
          <w:sz w:val="28"/>
          <w:szCs w:val="28"/>
          <w:lang w:val="uk-UA"/>
        </w:rPr>
        <w:t xml:space="preserve">змін до Закону </w:t>
      </w:r>
      <w:r w:rsidR="00670EE4" w:rsidRPr="008D2F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України «Про</w:t>
      </w:r>
      <w:r w:rsidR="00670E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альтернативні джерела енергії»</w:t>
      </w:r>
      <w:r w:rsidR="00670EE4" w:rsidRPr="008D2F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A0C93" w:rsidRPr="00BE2255">
        <w:rPr>
          <w:rFonts w:ascii="Times New Roman" w:hAnsi="Times New Roman" w:cs="Times New Roman"/>
          <w:sz w:val="28"/>
          <w:szCs w:val="28"/>
          <w:lang w:val="uk-UA"/>
        </w:rPr>
        <w:t>зумовлен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A0C93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4FC2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необхідністю вдосконалення </w:t>
      </w:r>
      <w:r w:rsidR="004A0C93" w:rsidRPr="00BE2255">
        <w:rPr>
          <w:rFonts w:ascii="Times New Roman" w:hAnsi="Times New Roman" w:cs="Times New Roman"/>
          <w:sz w:val="28"/>
          <w:szCs w:val="28"/>
          <w:lang w:val="uk-UA"/>
        </w:rPr>
        <w:t>положень</w:t>
      </w:r>
      <w:r w:rsidR="005A4FC2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чинного законодавства України</w:t>
      </w:r>
      <w:r w:rsidR="004A0C93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що</w:t>
      </w:r>
      <w:r w:rsidR="005A4FC2" w:rsidRPr="00BE2255">
        <w:rPr>
          <w:rFonts w:ascii="Times New Roman" w:hAnsi="Times New Roman" w:cs="Times New Roman"/>
          <w:sz w:val="28"/>
          <w:szCs w:val="28"/>
          <w:lang w:val="uk-UA"/>
        </w:rPr>
        <w:t>до визнання гарантій походження</w:t>
      </w:r>
      <w:r w:rsidR="004A0C93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0EE4">
        <w:rPr>
          <w:rFonts w:ascii="Times New Roman" w:hAnsi="Times New Roman" w:cs="Times New Roman"/>
          <w:sz w:val="28"/>
          <w:szCs w:val="28"/>
          <w:lang w:val="uk-UA"/>
        </w:rPr>
        <w:t>відповідно до положен</w:t>
      </w:r>
      <w:r w:rsidR="00BE2255" w:rsidRPr="00BE2255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5A4FC2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341E">
        <w:rPr>
          <w:rFonts w:ascii="Times New Roman" w:hAnsi="Times New Roman" w:cs="Times New Roman"/>
          <w:sz w:val="28"/>
          <w:szCs w:val="28"/>
          <w:lang w:val="uk-UA"/>
        </w:rPr>
        <w:br/>
      </w:r>
      <w:r w:rsidR="005A4FC2" w:rsidRPr="00BE2255">
        <w:rPr>
          <w:rFonts w:ascii="Times New Roman" w:hAnsi="Times New Roman" w:cs="Times New Roman"/>
          <w:sz w:val="28"/>
          <w:szCs w:val="28"/>
          <w:lang w:val="uk-UA"/>
        </w:rPr>
        <w:t>статті 19 Директиви RED II щодо застосування європейського підходу до визнання гарантій походження, випущених іншими країнами, а також процедури невизнання таких гарантій.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Крім цього</w:t>
      </w:r>
      <w:r w:rsidR="004A0C93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, нормативно-правові акти не передбачають </w:t>
      </w:r>
      <w:r>
        <w:rPr>
          <w:rFonts w:ascii="Times New Roman" w:hAnsi="Times New Roman" w:cs="Times New Roman"/>
          <w:sz w:val="28"/>
          <w:szCs w:val="28"/>
          <w:lang w:val="uk-UA"/>
        </w:rPr>
        <w:t>положень</w:t>
      </w:r>
      <w:r w:rsidR="00833282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щодо затвердження методики </w:t>
      </w:r>
      <w:r w:rsidR="004A0C93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розрахунку та оприлюднення залишкового енергетичного міксу відповідно до вимог </w:t>
      </w:r>
      <w:r w:rsidR="004A6E4E">
        <w:rPr>
          <w:rFonts w:ascii="Times New Roman" w:hAnsi="Times New Roman" w:cs="Times New Roman"/>
          <w:sz w:val="28"/>
          <w:szCs w:val="28"/>
          <w:lang w:val="uk-UA"/>
        </w:rPr>
        <w:br/>
      </w:r>
      <w:bookmarkStart w:id="1" w:name="_GoBack"/>
      <w:bookmarkEnd w:id="1"/>
      <w:r w:rsidR="004A0C93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статті 19 </w:t>
      </w:r>
      <w:r w:rsidR="00AE7EC4" w:rsidRPr="00BE2255">
        <w:rPr>
          <w:rFonts w:ascii="Times New Roman" w:hAnsi="Times New Roman" w:cs="Times New Roman"/>
          <w:sz w:val="28"/>
          <w:szCs w:val="28"/>
          <w:lang w:val="uk-UA"/>
        </w:rPr>
        <w:t>Директива RED II</w:t>
      </w:r>
      <w:r w:rsidR="004A0C93" w:rsidRPr="00BE22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B1EA7C5" w14:textId="28470E1A" w:rsidR="004A0C93" w:rsidRDefault="004A0C93" w:rsidP="008D2F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>З початку функціонування реєстру гарантій походження у серпні 2024 року та старту їх торгівлі на національному рівні (жовтень</w:t>
      </w:r>
      <w:r w:rsidR="003903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25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903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грудень 2024 року) виникла практична необхідність забезпечити взаємне визнання гарантій походження, у тому числі в межах транскордонного обміну. </w:t>
      </w:r>
      <w:r w:rsidR="00220EB4" w:rsidRPr="00BE225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ількість виданих гарантій походження постійно зростає, однак відсутність механізмів міжнародного обігу </w:t>
      </w:r>
      <w:r w:rsidR="00220EB4" w:rsidRPr="00BE2255">
        <w:rPr>
          <w:rFonts w:ascii="Times New Roman" w:hAnsi="Times New Roman" w:cs="Times New Roman"/>
          <w:sz w:val="28"/>
          <w:szCs w:val="28"/>
          <w:lang w:val="uk-UA"/>
        </w:rPr>
        <w:t>гарантій походження</w:t>
      </w: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стримує розвиток ринку.</w:t>
      </w:r>
    </w:p>
    <w:p w14:paraId="0DDFA40D" w14:textId="25FC526A" w:rsidR="008D2FDA" w:rsidRDefault="008D2FDA" w:rsidP="008D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1610">
        <w:rPr>
          <w:rFonts w:ascii="Times New Roman" w:hAnsi="Times New Roman" w:cs="Times New Roman"/>
          <w:sz w:val="28"/>
          <w:szCs w:val="28"/>
          <w:lang w:val="uk-UA"/>
        </w:rPr>
        <w:t>Отже, законопроєкт спрямований на імплементацію принципів та алгоритмів, визначених законодавством Європейського Союзу, а саме Директивою RED II, яка є обов’язковою для імплементації Україною відповідно до Договору про створення Енергетичного Співтовариства та рішення Ради Міністрів Енергетичного Співтовариства від 30.11.2021 №</w:t>
      </w:r>
      <w:r w:rsidR="00C966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1610">
        <w:rPr>
          <w:rFonts w:ascii="Times New Roman" w:hAnsi="Times New Roman" w:cs="Times New Roman"/>
          <w:sz w:val="28"/>
          <w:szCs w:val="28"/>
          <w:lang w:val="uk-UA"/>
        </w:rPr>
        <w:t>2021/14/МС-</w:t>
      </w:r>
      <w:proofErr w:type="spellStart"/>
      <w:r w:rsidRPr="00C71610">
        <w:rPr>
          <w:rFonts w:ascii="Times New Roman" w:hAnsi="Times New Roman" w:cs="Times New Roman"/>
          <w:sz w:val="28"/>
          <w:szCs w:val="28"/>
          <w:lang w:val="uk-UA"/>
        </w:rPr>
        <w:t>ЕnС</w:t>
      </w:r>
      <w:proofErr w:type="spellEnd"/>
      <w:r w:rsidRPr="00C71610">
        <w:rPr>
          <w:rFonts w:ascii="Times New Roman" w:hAnsi="Times New Roman" w:cs="Times New Roman"/>
          <w:sz w:val="28"/>
          <w:szCs w:val="28"/>
          <w:lang w:val="uk-UA"/>
        </w:rPr>
        <w:t xml:space="preserve">, а також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C71610">
        <w:rPr>
          <w:rFonts w:ascii="Times New Roman" w:hAnsi="Times New Roman" w:cs="Times New Roman"/>
          <w:sz w:val="28"/>
          <w:szCs w:val="28"/>
          <w:lang w:val="uk-UA"/>
        </w:rPr>
        <w:t>забезпечення належної імплементації міжнародних зобов’язань України, взятих у межах Угоди про асоціацію між Україною та Європейським Союзом.</w:t>
      </w:r>
    </w:p>
    <w:p w14:paraId="0EE3BF8E" w14:textId="6BF2778A" w:rsidR="008D2FDA" w:rsidRDefault="008D2FDA" w:rsidP="008D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2FDA">
        <w:rPr>
          <w:rFonts w:ascii="Times New Roman" w:hAnsi="Times New Roman" w:cs="Times New Roman"/>
          <w:sz w:val="28"/>
          <w:szCs w:val="28"/>
          <w:lang w:val="uk-UA"/>
        </w:rPr>
        <w:t>Реалізація положень законопроєкту сприятиме поступовій інтеграції української системи гарантій походження до європейського ринку та відкриє шлях до їх потенційного визнання на рівні Енергетичного Співтовариства та Європейського Союзу.</w:t>
      </w:r>
    </w:p>
    <w:p w14:paraId="4A2D1F34" w14:textId="77777777" w:rsidR="008D2FDA" w:rsidRPr="00C71610" w:rsidRDefault="008D2FDA" w:rsidP="008D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1610">
        <w:rPr>
          <w:rFonts w:ascii="Times New Roman" w:hAnsi="Times New Roman" w:cs="Times New Roman"/>
          <w:sz w:val="28"/>
          <w:szCs w:val="28"/>
          <w:lang w:val="uk-UA"/>
        </w:rPr>
        <w:t>Законопроєкт розроблено на виконання:</w:t>
      </w:r>
    </w:p>
    <w:p w14:paraId="26EF378D" w14:textId="2C48EA6B" w:rsidR="008D2FDA" w:rsidRPr="00C71610" w:rsidRDefault="008D2FDA" w:rsidP="008D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1610">
        <w:rPr>
          <w:rFonts w:ascii="Times New Roman" w:hAnsi="Times New Roman" w:cs="Times New Roman"/>
          <w:sz w:val="28"/>
          <w:szCs w:val="28"/>
          <w:lang w:val="uk-UA"/>
        </w:rPr>
        <w:t xml:space="preserve">пункту 45  Плану законопроєктної роботи Верховної Ради України на </w:t>
      </w:r>
      <w:r w:rsidR="0032341E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C71610">
        <w:rPr>
          <w:rFonts w:ascii="Times New Roman" w:hAnsi="Times New Roman" w:cs="Times New Roman"/>
          <w:sz w:val="28"/>
          <w:szCs w:val="28"/>
          <w:lang w:val="uk-UA"/>
        </w:rPr>
        <w:t>2025 рік, затвердженого постановою Верховної Ради України від 11.02</w:t>
      </w:r>
      <w:r w:rsidR="00670EE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71610">
        <w:rPr>
          <w:rFonts w:ascii="Times New Roman" w:hAnsi="Times New Roman" w:cs="Times New Roman"/>
          <w:sz w:val="28"/>
          <w:szCs w:val="28"/>
          <w:lang w:val="uk-UA"/>
        </w:rPr>
        <w:t>2025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C71610">
        <w:rPr>
          <w:rFonts w:ascii="Times New Roman" w:hAnsi="Times New Roman" w:cs="Times New Roman"/>
          <w:sz w:val="28"/>
          <w:szCs w:val="28"/>
          <w:lang w:val="uk-UA"/>
        </w:rPr>
        <w:t>№ 4228-IX;</w:t>
      </w:r>
    </w:p>
    <w:p w14:paraId="4232DBE9" w14:textId="016B620F" w:rsidR="008D2FDA" w:rsidRDefault="008D2FDA" w:rsidP="008D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1610">
        <w:rPr>
          <w:rFonts w:ascii="Times New Roman" w:hAnsi="Times New Roman" w:cs="Times New Roman"/>
          <w:sz w:val="28"/>
          <w:szCs w:val="28"/>
          <w:lang w:val="uk-UA"/>
        </w:rPr>
        <w:t>пункту 301 Плану пріоритетних дій Уряду на 2025 рік, затвердженого розпорядженням Кабінету Міністрів України від 19.02 2025 № 131-р.</w:t>
      </w:r>
    </w:p>
    <w:p w14:paraId="32488A47" w14:textId="77777777" w:rsidR="008D2FDA" w:rsidRDefault="008D2FDA" w:rsidP="00220E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173006" w14:textId="748520CF" w:rsidR="004A0C93" w:rsidRPr="00BE2255" w:rsidRDefault="003903D4" w:rsidP="00220E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A0C93" w:rsidRPr="00BE2255">
        <w:rPr>
          <w:rFonts w:ascii="Times New Roman" w:hAnsi="Times New Roman" w:cs="Times New Roman"/>
          <w:sz w:val="28"/>
          <w:szCs w:val="28"/>
          <w:lang w:val="uk-UA"/>
        </w:rPr>
        <w:t>сновн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A0C93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груп</w:t>
      </w:r>
      <w:r>
        <w:rPr>
          <w:rFonts w:ascii="Times New Roman" w:hAnsi="Times New Roman" w:cs="Times New Roman"/>
          <w:sz w:val="28"/>
          <w:szCs w:val="28"/>
          <w:lang w:val="uk-UA"/>
        </w:rPr>
        <w:t>и (підгрупи)</w:t>
      </w:r>
      <w:r w:rsidR="004A0C93" w:rsidRPr="00BE2255">
        <w:rPr>
          <w:rFonts w:ascii="Times New Roman" w:hAnsi="Times New Roman" w:cs="Times New Roman"/>
          <w:sz w:val="28"/>
          <w:szCs w:val="28"/>
          <w:lang w:val="uk-UA"/>
        </w:rPr>
        <w:t>, на які проблема справляє вплив: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341899" w:rsidRPr="00BE2255" w14:paraId="1B6B1D69" w14:textId="77777777" w:rsidTr="00341899">
        <w:tc>
          <w:tcPr>
            <w:tcW w:w="3115" w:type="dxa"/>
          </w:tcPr>
          <w:p w14:paraId="31ECF5AD" w14:textId="77777777" w:rsidR="00341899" w:rsidRPr="008D2FDA" w:rsidRDefault="00341899" w:rsidP="003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D2F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Групи (підгрупи)</w:t>
            </w:r>
          </w:p>
        </w:tc>
        <w:tc>
          <w:tcPr>
            <w:tcW w:w="3115" w:type="dxa"/>
          </w:tcPr>
          <w:p w14:paraId="6A99B0D5" w14:textId="77777777" w:rsidR="00341899" w:rsidRPr="008D2FDA" w:rsidRDefault="00341899" w:rsidP="003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D2F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</w:p>
        </w:tc>
        <w:tc>
          <w:tcPr>
            <w:tcW w:w="3115" w:type="dxa"/>
          </w:tcPr>
          <w:p w14:paraId="2521C40E" w14:textId="77777777" w:rsidR="00341899" w:rsidRPr="008D2FDA" w:rsidRDefault="00341899" w:rsidP="003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D2F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Ні</w:t>
            </w:r>
          </w:p>
        </w:tc>
      </w:tr>
      <w:tr w:rsidR="00EF4A1F" w:rsidRPr="00BE2255" w14:paraId="61D35923" w14:textId="77777777" w:rsidTr="00341899">
        <w:tc>
          <w:tcPr>
            <w:tcW w:w="3115" w:type="dxa"/>
          </w:tcPr>
          <w:p w14:paraId="77541431" w14:textId="77777777" w:rsidR="00EF4A1F" w:rsidRPr="008D2FDA" w:rsidRDefault="00EF4A1F" w:rsidP="00EF4A1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Громадяни</w:t>
            </w:r>
          </w:p>
        </w:tc>
        <w:tc>
          <w:tcPr>
            <w:tcW w:w="3115" w:type="dxa"/>
          </w:tcPr>
          <w:p w14:paraId="6F978DD7" w14:textId="681A0A10" w:rsidR="00EF4A1F" w:rsidRPr="008D2FDA" w:rsidRDefault="002B6244" w:rsidP="00EF4A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115" w:type="dxa"/>
          </w:tcPr>
          <w:p w14:paraId="24295CA1" w14:textId="6AEFB5C4" w:rsidR="00EF4A1F" w:rsidRPr="008D2FDA" w:rsidRDefault="00EF4A1F" w:rsidP="00EF4A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F4A1F" w:rsidRPr="00BE2255" w14:paraId="52029455" w14:textId="77777777" w:rsidTr="00341899">
        <w:tc>
          <w:tcPr>
            <w:tcW w:w="3115" w:type="dxa"/>
          </w:tcPr>
          <w:p w14:paraId="040F8CF4" w14:textId="77777777" w:rsidR="00EF4A1F" w:rsidRPr="008D2FDA" w:rsidRDefault="00EF4A1F" w:rsidP="00EF4A1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Держава</w:t>
            </w:r>
          </w:p>
        </w:tc>
        <w:tc>
          <w:tcPr>
            <w:tcW w:w="3115" w:type="dxa"/>
          </w:tcPr>
          <w:p w14:paraId="639F1C12" w14:textId="77777777" w:rsidR="00EF4A1F" w:rsidRPr="008D2FDA" w:rsidRDefault="00EF4A1F" w:rsidP="00EF4A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115" w:type="dxa"/>
          </w:tcPr>
          <w:p w14:paraId="6A04B78D" w14:textId="77777777" w:rsidR="00EF4A1F" w:rsidRPr="008D2FDA" w:rsidRDefault="00EF4A1F" w:rsidP="00EF4A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F4A1F" w:rsidRPr="00BE2255" w14:paraId="51AB02D5" w14:textId="77777777" w:rsidTr="00341899">
        <w:tc>
          <w:tcPr>
            <w:tcW w:w="3115" w:type="dxa"/>
          </w:tcPr>
          <w:p w14:paraId="4801613D" w14:textId="77777777" w:rsidR="00EF4A1F" w:rsidRPr="008D2FDA" w:rsidRDefault="00EF4A1F" w:rsidP="00EF4A1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Суб’єкти господарювання </w:t>
            </w:r>
          </w:p>
        </w:tc>
        <w:tc>
          <w:tcPr>
            <w:tcW w:w="3115" w:type="dxa"/>
          </w:tcPr>
          <w:p w14:paraId="77FC2B43" w14:textId="33B48D5B" w:rsidR="00EF4A1F" w:rsidRPr="008D2FDA" w:rsidRDefault="002B6244" w:rsidP="00EF4A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115" w:type="dxa"/>
          </w:tcPr>
          <w:p w14:paraId="20149BD5" w14:textId="7808722A" w:rsidR="00EF4A1F" w:rsidRPr="008D2FDA" w:rsidRDefault="00EF4A1F" w:rsidP="00EF4A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F4A1F" w:rsidRPr="00BE2255" w14:paraId="035F2AD1" w14:textId="77777777" w:rsidTr="00341899">
        <w:tc>
          <w:tcPr>
            <w:tcW w:w="3115" w:type="dxa"/>
          </w:tcPr>
          <w:p w14:paraId="28989805" w14:textId="77777777" w:rsidR="00EF4A1F" w:rsidRPr="008D2FDA" w:rsidRDefault="00EF4A1F" w:rsidP="00EF4A1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 суб’єкти малого підприємництва</w:t>
            </w:r>
          </w:p>
        </w:tc>
        <w:tc>
          <w:tcPr>
            <w:tcW w:w="3115" w:type="dxa"/>
          </w:tcPr>
          <w:p w14:paraId="010CCE37" w14:textId="601695C7" w:rsidR="00EF4A1F" w:rsidRPr="008D2FDA" w:rsidRDefault="00EF4A1F" w:rsidP="00EF4A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5" w:type="dxa"/>
          </w:tcPr>
          <w:p w14:paraId="634FB1A6" w14:textId="5C5B5AD0" w:rsidR="00EF4A1F" w:rsidRPr="008D2FDA" w:rsidRDefault="004A0C93" w:rsidP="00EF4A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</w:t>
            </w:r>
          </w:p>
        </w:tc>
      </w:tr>
    </w:tbl>
    <w:p w14:paraId="0660F778" w14:textId="195D94A1" w:rsidR="00833282" w:rsidRPr="00BE2255" w:rsidRDefault="00833282" w:rsidP="008D2FDA">
      <w:pPr>
        <w:spacing w:after="0" w:line="240" w:lineRule="auto"/>
        <w:ind w:left="118" w:right="130" w:firstLine="70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E2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Проблема, яку пропонується врегулювати в результ</w:t>
      </w:r>
      <w:r w:rsidR="00670E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аті прийняття регуляторного акта</w:t>
      </w:r>
      <w:r w:rsidRPr="00BE2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C966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щодо міжнародного визнання гарантій походження України в інших європейських країнах</w:t>
      </w:r>
      <w:r w:rsidRPr="00BE2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не може бути розв’язана за допомогою ринкових механізмів, оскільки потребує нормативно-правового врегулювання.</w:t>
      </w:r>
    </w:p>
    <w:p w14:paraId="03D9AD6B" w14:textId="77777777" w:rsidR="005C1A47" w:rsidRDefault="004A0C93" w:rsidP="008D2F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Умови визнання гарантій походження між країнами встановлюються на міждержавному рівні та потребують законодавчого врегулювання. </w:t>
      </w:r>
    </w:p>
    <w:p w14:paraId="6B7D96D1" w14:textId="0944AC1A" w:rsidR="005C1A47" w:rsidRPr="008D2FDA" w:rsidRDefault="005C1A47" w:rsidP="008D2FD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D2FDA">
        <w:rPr>
          <w:rFonts w:ascii="Times New Roman" w:hAnsi="Times New Roman" w:cs="Times New Roman"/>
          <w:sz w:val="28"/>
          <w:szCs w:val="28"/>
          <w:lang w:val="uk-UA"/>
        </w:rPr>
        <w:t>Законопроєктом</w:t>
      </w:r>
      <w:proofErr w:type="spellEnd"/>
      <w:r w:rsidRPr="008D2FDA"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передбачається внесення змін до статті 9</w:t>
      </w:r>
      <w:r w:rsidRPr="008D2FD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7</w:t>
      </w:r>
      <w:r w:rsidRPr="008D2FD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альтернативні джерела енергії», а саме:</w:t>
      </w:r>
    </w:p>
    <w:p w14:paraId="4C0FB18F" w14:textId="77777777" w:rsidR="005C1A47" w:rsidRPr="008D2FDA" w:rsidRDefault="005C1A47" w:rsidP="008D2FD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2FDA">
        <w:rPr>
          <w:rFonts w:ascii="Times New Roman" w:hAnsi="Times New Roman" w:cs="Times New Roman"/>
          <w:sz w:val="28"/>
          <w:szCs w:val="28"/>
          <w:lang w:val="uk-UA"/>
        </w:rPr>
        <w:t xml:space="preserve">запровадження принципу взаємності при визнанні гарантій походження, виданих державами-членами </w:t>
      </w:r>
      <w:r w:rsidRPr="008D2FDA">
        <w:rPr>
          <w:rFonts w:ascii="Times New Roman" w:eastAsia="Times New Roman" w:hAnsi="Times New Roman" w:cs="Times New Roman"/>
          <w:sz w:val="28"/>
          <w:szCs w:val="28"/>
          <w:lang w:val="uk-UA"/>
        </w:rPr>
        <w:t>Європейського Союзу</w:t>
      </w:r>
      <w:r w:rsidRPr="008D2FDA">
        <w:rPr>
          <w:rFonts w:ascii="Times New Roman" w:hAnsi="Times New Roman" w:cs="Times New Roman"/>
          <w:sz w:val="28"/>
          <w:szCs w:val="28"/>
          <w:lang w:val="uk-UA"/>
        </w:rPr>
        <w:t xml:space="preserve"> та договірними сторонами Енергетичного Співтовариства;</w:t>
      </w:r>
    </w:p>
    <w:p w14:paraId="111B8881" w14:textId="77777777" w:rsidR="005C1A47" w:rsidRPr="008D2FDA" w:rsidRDefault="005C1A47" w:rsidP="008D2FD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2FDA">
        <w:rPr>
          <w:rFonts w:ascii="Times New Roman" w:hAnsi="Times New Roman" w:cs="Times New Roman"/>
          <w:sz w:val="28"/>
          <w:szCs w:val="28"/>
          <w:lang w:val="uk-UA"/>
        </w:rPr>
        <w:t>визнання гарантій походження, виданих іншими країнами, які не належать до країн Європейського Союзу та/або Енергетичного Співтовариства лише у разі їх визнання Європейським Союзом та/або Енергетичним Співтовариством;</w:t>
      </w:r>
    </w:p>
    <w:p w14:paraId="68507043" w14:textId="77777777" w:rsidR="005C1A47" w:rsidRPr="008D2FDA" w:rsidRDefault="005C1A47" w:rsidP="008D2FD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2FDA">
        <w:rPr>
          <w:rFonts w:ascii="Times New Roman" w:hAnsi="Times New Roman" w:cs="Times New Roman"/>
          <w:sz w:val="28"/>
          <w:szCs w:val="28"/>
          <w:lang w:val="uk-UA"/>
        </w:rPr>
        <w:t xml:space="preserve">скасування норми щодо експорту та імпорту гарантій походження за зовнішньоекономічними договорами (контрактами). Така норма дублює наявне нормативне положення, оскільки відповідне регулювання вже міститься у визначенні терміну </w:t>
      </w:r>
      <w:r w:rsidRPr="008D2FDA">
        <w:rPr>
          <w:rFonts w:ascii="Times New Roman" w:hAnsi="Times New Roman" w:cs="Times New Roman"/>
          <w:iCs/>
          <w:sz w:val="28"/>
          <w:szCs w:val="28"/>
          <w:lang w:val="uk-UA"/>
        </w:rPr>
        <w:t>«обіг гарантій походження електричної енергії, виробленої з відновлюваних джерел енергії»</w:t>
      </w:r>
      <w:r w:rsidRPr="008D2FDA">
        <w:rPr>
          <w:rFonts w:ascii="Times New Roman" w:hAnsi="Times New Roman" w:cs="Times New Roman"/>
          <w:sz w:val="28"/>
          <w:szCs w:val="28"/>
          <w:lang w:val="uk-UA"/>
        </w:rPr>
        <w:t xml:space="preserve">, наведеному у статті 1 Закону України «Про альтернативні джерела енергії»; </w:t>
      </w:r>
    </w:p>
    <w:p w14:paraId="70EFAB67" w14:textId="7C9E9F17" w:rsidR="005C1A47" w:rsidRPr="008D2FDA" w:rsidRDefault="005C1A47" w:rsidP="008D2FD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2FDA">
        <w:rPr>
          <w:rFonts w:ascii="Times New Roman" w:hAnsi="Times New Roman" w:cs="Times New Roman"/>
          <w:sz w:val="28"/>
          <w:szCs w:val="28"/>
          <w:lang w:val="uk-UA"/>
        </w:rPr>
        <w:t>надання НКРЕКП права затверджувати та вносити зм</w:t>
      </w:r>
      <w:r w:rsidR="0032341E">
        <w:rPr>
          <w:rFonts w:ascii="Times New Roman" w:hAnsi="Times New Roman" w:cs="Times New Roman"/>
          <w:sz w:val="28"/>
          <w:szCs w:val="28"/>
          <w:lang w:val="uk-UA"/>
        </w:rPr>
        <w:t xml:space="preserve">іни до протоколу домену України </w:t>
      </w:r>
      <w:r w:rsidR="0032341E" w:rsidRPr="00BE225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2341E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</w:t>
      </w:r>
      <w:r w:rsidRPr="008D2FDA">
        <w:rPr>
          <w:rFonts w:ascii="Times New Roman" w:hAnsi="Times New Roman" w:cs="Times New Roman"/>
          <w:sz w:val="28"/>
          <w:szCs w:val="28"/>
          <w:lang w:val="uk-UA"/>
        </w:rPr>
        <w:t>, який визначає порядок та особливості функціонування реєстру гарантій походження електричної енергії, виробленої з відновлюваних джерел енергії, на території України, у межах якої здійснюються видача, обіг та погашення гарантій походження електричної енергії відповідно до вимог AIB;</w:t>
      </w:r>
    </w:p>
    <w:p w14:paraId="358F924B" w14:textId="31DB085E" w:rsidR="005C1A47" w:rsidRPr="008D2FDA" w:rsidRDefault="005C1A47" w:rsidP="008D2FD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2FDA">
        <w:rPr>
          <w:rFonts w:ascii="Times New Roman" w:hAnsi="Times New Roman" w:cs="Times New Roman"/>
          <w:sz w:val="28"/>
          <w:szCs w:val="28"/>
          <w:lang w:val="uk-UA"/>
        </w:rPr>
        <w:t>розрахунок залишкового енергетичного міксу (</w:t>
      </w:r>
      <w:proofErr w:type="spellStart"/>
      <w:r w:rsidRPr="008D2FDA">
        <w:rPr>
          <w:rFonts w:ascii="Times New Roman" w:hAnsi="Times New Roman" w:cs="Times New Roman"/>
          <w:sz w:val="28"/>
          <w:szCs w:val="28"/>
          <w:lang w:val="uk-UA"/>
        </w:rPr>
        <w:t>Residual</w:t>
      </w:r>
      <w:proofErr w:type="spellEnd"/>
      <w:r w:rsidRPr="008D2F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D2FDA">
        <w:rPr>
          <w:rFonts w:ascii="Times New Roman" w:hAnsi="Times New Roman" w:cs="Times New Roman"/>
          <w:sz w:val="28"/>
          <w:szCs w:val="28"/>
          <w:lang w:val="uk-UA"/>
        </w:rPr>
        <w:t>Energy</w:t>
      </w:r>
      <w:proofErr w:type="spellEnd"/>
      <w:r w:rsidRPr="008D2F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D2FDA">
        <w:rPr>
          <w:rFonts w:ascii="Times New Roman" w:hAnsi="Times New Roman" w:cs="Times New Roman"/>
          <w:sz w:val="28"/>
          <w:szCs w:val="28"/>
          <w:lang w:val="uk-UA"/>
        </w:rPr>
        <w:t>Mix</w:t>
      </w:r>
      <w:proofErr w:type="spellEnd"/>
      <w:r w:rsidRPr="008D2FDA">
        <w:rPr>
          <w:rFonts w:ascii="Times New Roman" w:hAnsi="Times New Roman" w:cs="Times New Roman"/>
          <w:sz w:val="28"/>
          <w:szCs w:val="28"/>
          <w:lang w:val="uk-UA"/>
        </w:rPr>
        <w:t>) здійснюється відповідно до  затвердженої НКРЕКП методикою.</w:t>
      </w:r>
    </w:p>
    <w:p w14:paraId="6A18F92B" w14:textId="21062582" w:rsidR="00220EB4" w:rsidRPr="00BE2255" w:rsidRDefault="004A0C93" w:rsidP="008D2F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Ринкові учасники не мають повноважень для </w:t>
      </w:r>
      <w:r w:rsidR="005A4FC2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взаємного </w:t>
      </w:r>
      <w:r w:rsidRPr="00BE2255">
        <w:rPr>
          <w:rFonts w:ascii="Times New Roman" w:hAnsi="Times New Roman" w:cs="Times New Roman"/>
          <w:sz w:val="28"/>
          <w:szCs w:val="28"/>
          <w:lang w:val="uk-UA"/>
        </w:rPr>
        <w:t>визнання гарантій поход</w:t>
      </w:r>
      <w:r w:rsidR="005A4FC2" w:rsidRPr="00BE2255">
        <w:rPr>
          <w:rFonts w:ascii="Times New Roman" w:hAnsi="Times New Roman" w:cs="Times New Roman"/>
          <w:sz w:val="28"/>
          <w:szCs w:val="28"/>
          <w:lang w:val="uk-UA"/>
        </w:rPr>
        <w:t>ження.</w:t>
      </w:r>
    </w:p>
    <w:p w14:paraId="2D3F6BDE" w14:textId="77777777" w:rsidR="001B2AF9" w:rsidRPr="001B2AF9" w:rsidRDefault="008E009E" w:rsidP="008D2F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009E">
        <w:rPr>
          <w:rFonts w:ascii="Times New Roman" w:hAnsi="Times New Roman" w:cs="Times New Roman"/>
          <w:sz w:val="28"/>
          <w:szCs w:val="28"/>
          <w:lang w:val="uk-UA"/>
        </w:rPr>
        <w:t>Чинна редакція статті 9</w:t>
      </w:r>
      <w:r w:rsidRPr="008E009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7</w:t>
      </w:r>
      <w:r w:rsidRPr="008E009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альтернативні джерела енергії» не містить положень щодо взаємного визнання гарантій походження та не передбачає повноважень НКРЕКП щодо затвердження протоколу домену, необхідного для приєднання до AIB </w:t>
      </w:r>
      <w:proofErr w:type="spellStart"/>
      <w:r w:rsidRPr="008E009E">
        <w:rPr>
          <w:rFonts w:ascii="Times New Roman" w:hAnsi="Times New Roman" w:cs="Times New Roman"/>
          <w:sz w:val="28"/>
          <w:szCs w:val="28"/>
          <w:lang w:val="uk-UA"/>
        </w:rPr>
        <w:t>Hub</w:t>
      </w:r>
      <w:proofErr w:type="spellEnd"/>
      <w:r w:rsidRPr="008E009E">
        <w:rPr>
          <w:rFonts w:ascii="Times New Roman" w:hAnsi="Times New Roman" w:cs="Times New Roman"/>
          <w:sz w:val="28"/>
          <w:szCs w:val="28"/>
          <w:lang w:val="uk-UA"/>
        </w:rPr>
        <w:t>. Крім того, існуюче регулювання не охоплює механізм розкриття річного залишкового енергетичного міксу.</w:t>
      </w:r>
    </w:p>
    <w:p w14:paraId="00C7E19D" w14:textId="45A6B1EE" w:rsidR="008E009E" w:rsidRPr="008E009E" w:rsidRDefault="001B2AF9" w:rsidP="008D2FDA">
      <w:pPr>
        <w:spacing w:after="0"/>
        <w:ind w:firstLine="567"/>
        <w:jc w:val="both"/>
        <w:rPr>
          <w:rFonts w:ascii="Arial" w:eastAsia="Times New Roman" w:hAnsi="Arial" w:cs="Arial"/>
          <w:vanish/>
          <w:sz w:val="16"/>
          <w:szCs w:val="16"/>
          <w:lang w:val="uk-UA" w:eastAsia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>Врегулювання питання вимагає внесення змін до законодавства.</w:t>
      </w:r>
      <w:r w:rsidR="008E009E" w:rsidRPr="008E009E">
        <w:rPr>
          <w:rFonts w:ascii="Arial" w:eastAsia="Times New Roman" w:hAnsi="Arial" w:cs="Arial"/>
          <w:vanish/>
          <w:sz w:val="16"/>
          <w:szCs w:val="16"/>
          <w:lang w:val="uk-UA" w:eastAsia="uk-UA"/>
        </w:rPr>
        <w:t>Початок форми</w:t>
      </w:r>
    </w:p>
    <w:p w14:paraId="0F26E72E" w14:textId="77777777" w:rsidR="008E009E" w:rsidRPr="008E009E" w:rsidRDefault="008E009E" w:rsidP="008D2FD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val="uk-UA" w:eastAsia="uk-UA"/>
        </w:rPr>
      </w:pPr>
      <w:r w:rsidRPr="008E009E">
        <w:rPr>
          <w:rFonts w:ascii="Arial" w:eastAsia="Times New Roman" w:hAnsi="Arial" w:cs="Arial"/>
          <w:vanish/>
          <w:sz w:val="16"/>
          <w:szCs w:val="16"/>
          <w:lang w:val="uk-UA" w:eastAsia="uk-UA"/>
        </w:rPr>
        <w:t>Кінець форми</w:t>
      </w:r>
    </w:p>
    <w:p w14:paraId="1A610887" w14:textId="77777777" w:rsidR="008E009E" w:rsidRPr="00BE2255" w:rsidRDefault="008E009E" w:rsidP="008D2F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800319" w14:textId="77777777" w:rsidR="004A0C93" w:rsidRPr="00BE2255" w:rsidRDefault="004A0C93" w:rsidP="008D2F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DF72A18" w14:textId="77777777" w:rsidR="003108A9" w:rsidRPr="00BE2255" w:rsidRDefault="003108A9" w:rsidP="008D2FD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b/>
          <w:sz w:val="28"/>
          <w:szCs w:val="28"/>
          <w:lang w:val="uk-UA"/>
        </w:rPr>
        <w:t>II. Цілі державного регулювання</w:t>
      </w:r>
    </w:p>
    <w:p w14:paraId="7F11AF1D" w14:textId="72055228" w:rsidR="004E360A" w:rsidRPr="00BE2255" w:rsidRDefault="00833282" w:rsidP="008D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>Ціл</w:t>
      </w:r>
      <w:r w:rsidR="00F64B08">
        <w:rPr>
          <w:rFonts w:ascii="Times New Roman" w:hAnsi="Times New Roman" w:cs="Times New Roman"/>
          <w:sz w:val="28"/>
          <w:szCs w:val="28"/>
          <w:lang w:val="uk-UA"/>
        </w:rPr>
        <w:t>ями</w:t>
      </w: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регулювання</w:t>
      </w:r>
      <w:r w:rsidR="004E360A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є:</w:t>
      </w:r>
    </w:p>
    <w:p w14:paraId="6477DE40" w14:textId="4024EC88" w:rsidR="004E360A" w:rsidRPr="00BE2255" w:rsidRDefault="00F64B08" w:rsidP="008D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вдосконалення</w:t>
      </w:r>
      <w:r w:rsidR="004E360A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положень національного законодавства у сфері гарантій походження</w:t>
      </w:r>
      <w:r w:rsidR="005A4FC2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60A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з нормами Директива RED II, а також забезпечення належної </w:t>
      </w:r>
      <w:r w:rsidR="004E360A" w:rsidRPr="00BE2255">
        <w:rPr>
          <w:rFonts w:ascii="Times New Roman" w:hAnsi="Times New Roman" w:cs="Times New Roman"/>
          <w:sz w:val="28"/>
          <w:szCs w:val="28"/>
          <w:lang w:val="uk-UA"/>
        </w:rPr>
        <w:lastRenderedPageBreak/>
        <w:t>імплементації міжнародних зобов’язань України, взятих у межах Угоди про асоціацію між Україною та Європейським Союзом;</w:t>
      </w:r>
    </w:p>
    <w:p w14:paraId="65961AAF" w14:textId="539532E9" w:rsidR="004E360A" w:rsidRDefault="005A4FC2" w:rsidP="008D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визнання гарантій походження на принципах взаємності та </w:t>
      </w:r>
      <w:r w:rsidR="00D91D0A" w:rsidRPr="00D91D0A">
        <w:rPr>
          <w:rFonts w:ascii="Times New Roman" w:hAnsi="Times New Roman" w:cs="Times New Roman"/>
          <w:sz w:val="28"/>
          <w:szCs w:val="28"/>
          <w:lang w:val="uk-UA"/>
        </w:rPr>
        <w:t xml:space="preserve">інтеграції українського ринку гарантій походження до європейського ринку, </w:t>
      </w:r>
      <w:r w:rsidR="00D91D0A">
        <w:rPr>
          <w:rFonts w:ascii="Times New Roman" w:hAnsi="Times New Roman" w:cs="Times New Roman"/>
          <w:sz w:val="28"/>
          <w:szCs w:val="28"/>
          <w:lang w:val="uk-UA"/>
        </w:rPr>
        <w:t xml:space="preserve">в тому числі </w:t>
      </w: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підстав для інтеграції до європейського </w:t>
      </w:r>
      <w:proofErr w:type="spellStart"/>
      <w:r w:rsidRPr="00BE2255">
        <w:rPr>
          <w:rFonts w:ascii="Times New Roman" w:hAnsi="Times New Roman" w:cs="Times New Roman"/>
          <w:sz w:val="28"/>
          <w:szCs w:val="28"/>
          <w:lang w:val="uk-UA"/>
        </w:rPr>
        <w:t>хабу</w:t>
      </w:r>
      <w:proofErr w:type="spellEnd"/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Асоціації органів-емітентів (далі –</w:t>
      </w:r>
      <w:r w:rsidR="00D91D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AIB </w:t>
      </w:r>
      <w:proofErr w:type="spellStart"/>
      <w:r w:rsidRPr="00BE2255">
        <w:rPr>
          <w:rFonts w:ascii="Times New Roman" w:hAnsi="Times New Roman" w:cs="Times New Roman"/>
          <w:sz w:val="28"/>
          <w:szCs w:val="28"/>
          <w:lang w:val="uk-UA"/>
        </w:rPr>
        <w:t>Hub</w:t>
      </w:r>
      <w:proofErr w:type="spellEnd"/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)  для доступного обігу гарантій походження шляхом приєднання Національної комісії, що здійснює державне регулювання у сферах енергетики та комунальних послуг (далі </w:t>
      </w:r>
      <w:r w:rsidR="008D2FDA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НКРЕКП)</w:t>
      </w:r>
      <w:r w:rsidRPr="00BE225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BE2255">
        <w:rPr>
          <w:rFonts w:ascii="Times New Roman" w:hAnsi="Times New Roman" w:cs="Times New Roman"/>
          <w:sz w:val="28"/>
          <w:szCs w:val="28"/>
          <w:lang w:val="uk-UA"/>
        </w:rPr>
        <w:t>до Групи «Електричної Схеми» Асоціації органів-емітентів (далі – Група «Електричної Схеми» AIB)</w:t>
      </w:r>
      <w:r w:rsidR="004E360A" w:rsidRPr="00BE225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A8A98D2" w14:textId="49937A86" w:rsidR="004E360A" w:rsidRPr="00D91D0A" w:rsidRDefault="005A4FC2" w:rsidP="008D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>уточнення положення щодо розкриття інформації про походження електричної енергії, виробленої з відновлених та інших джерел енергії, з використанням річного розрахункового залишкового енергетичного міксу (</w:t>
      </w:r>
      <w:proofErr w:type="spellStart"/>
      <w:r w:rsidRPr="00BE2255">
        <w:rPr>
          <w:rFonts w:ascii="Times New Roman" w:hAnsi="Times New Roman" w:cs="Times New Roman"/>
          <w:sz w:val="28"/>
          <w:szCs w:val="28"/>
          <w:lang w:val="uk-UA"/>
        </w:rPr>
        <w:t>Residual</w:t>
      </w:r>
      <w:proofErr w:type="spellEnd"/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E2255">
        <w:rPr>
          <w:rFonts w:ascii="Times New Roman" w:hAnsi="Times New Roman" w:cs="Times New Roman"/>
          <w:sz w:val="28"/>
          <w:szCs w:val="28"/>
          <w:lang w:val="uk-UA"/>
        </w:rPr>
        <w:t>Energy</w:t>
      </w:r>
      <w:proofErr w:type="spellEnd"/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E2255">
        <w:rPr>
          <w:rFonts w:ascii="Times New Roman" w:hAnsi="Times New Roman" w:cs="Times New Roman"/>
          <w:sz w:val="28"/>
          <w:szCs w:val="28"/>
          <w:lang w:val="uk-UA"/>
        </w:rPr>
        <w:t>Mix</w:t>
      </w:r>
      <w:proofErr w:type="spellEnd"/>
      <w:r w:rsidRPr="00BE2255">
        <w:rPr>
          <w:rFonts w:ascii="Times New Roman" w:hAnsi="Times New Roman" w:cs="Times New Roman"/>
          <w:sz w:val="28"/>
          <w:szCs w:val="28"/>
          <w:lang w:val="uk-UA"/>
        </w:rPr>
        <w:t>). Розрахунок залишкового енергетичного міксу здійснюється відповідно до затвердженої НКРЕКП методикою</w:t>
      </w:r>
      <w:r w:rsidR="00D91D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799520B" w14:textId="26FC053C" w:rsidR="005A4FC2" w:rsidRDefault="005A4FC2" w:rsidP="008D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Законопроєкт спрямований на створення підґрунтя для потенційного розширення попиту на гарантії походження, які видані в Україні, шляхом забезпечення </w:t>
      </w:r>
      <w:r w:rsidR="00B744FC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Pr="00BE2255">
        <w:rPr>
          <w:rFonts w:ascii="Times New Roman" w:hAnsi="Times New Roman" w:cs="Times New Roman"/>
          <w:sz w:val="28"/>
          <w:szCs w:val="28"/>
          <w:lang w:val="uk-UA"/>
        </w:rPr>
        <w:t>визнання у Договірних Сторонах Енергетичного Співтовариства та, у подальшому у державах-членах Європейського Союзу.</w:t>
      </w:r>
    </w:p>
    <w:p w14:paraId="10C816C3" w14:textId="77777777" w:rsidR="008D2FDA" w:rsidRPr="00BE2255" w:rsidRDefault="008D2FDA" w:rsidP="008D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3E3C36" w14:textId="69AC5C17" w:rsidR="00CE0F1E" w:rsidRPr="00BE2255" w:rsidRDefault="00440EE6" w:rsidP="008D2FD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0F1E" w:rsidRPr="00BE2255">
        <w:rPr>
          <w:rFonts w:ascii="Times New Roman" w:hAnsi="Times New Roman" w:cs="Times New Roman"/>
          <w:b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14:paraId="6B98A181" w14:textId="77777777" w:rsidR="00CE0F1E" w:rsidRPr="00BE2255" w:rsidRDefault="00CE0F1E" w:rsidP="008D2FDA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>Визначення альтернативних способів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969"/>
        <w:gridCol w:w="5387"/>
      </w:tblGrid>
      <w:tr w:rsidR="00CE0F1E" w:rsidRPr="00BE2255" w14:paraId="134DAB7A" w14:textId="77777777" w:rsidTr="00D33ADE">
        <w:tc>
          <w:tcPr>
            <w:tcW w:w="3969" w:type="dxa"/>
          </w:tcPr>
          <w:p w14:paraId="0B536599" w14:textId="77777777" w:rsidR="00CE0F1E" w:rsidRPr="008D2FDA" w:rsidRDefault="00CE0F1E" w:rsidP="00CE0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D2F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Вид альтернативи</w:t>
            </w:r>
          </w:p>
        </w:tc>
        <w:tc>
          <w:tcPr>
            <w:tcW w:w="5387" w:type="dxa"/>
          </w:tcPr>
          <w:p w14:paraId="196D5B20" w14:textId="77777777" w:rsidR="00CE0F1E" w:rsidRPr="008D2FDA" w:rsidRDefault="00CE0F1E" w:rsidP="00CE0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D2F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Опис альтернативи</w:t>
            </w:r>
          </w:p>
        </w:tc>
      </w:tr>
      <w:tr w:rsidR="00CE0F1E" w:rsidRPr="00BE2255" w14:paraId="1523457C" w14:textId="77777777" w:rsidTr="00D33ADE">
        <w:tc>
          <w:tcPr>
            <w:tcW w:w="3969" w:type="dxa"/>
          </w:tcPr>
          <w:p w14:paraId="25B81A6C" w14:textId="77777777" w:rsidR="008163BB" w:rsidRPr="008D2FDA" w:rsidRDefault="008163BB" w:rsidP="00CE0F1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Альтернатива 1. </w:t>
            </w:r>
          </w:p>
          <w:p w14:paraId="22DA766E" w14:textId="0B40A56D" w:rsidR="00B43381" w:rsidRPr="008D2FDA" w:rsidRDefault="008D2FDA" w:rsidP="008D2FD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Збереження</w:t>
            </w:r>
            <w:r w:rsidR="00D50C3F"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чинного регулювання </w:t>
            </w:r>
          </w:p>
        </w:tc>
        <w:tc>
          <w:tcPr>
            <w:tcW w:w="5387" w:type="dxa"/>
          </w:tcPr>
          <w:p w14:paraId="6DC5CC6D" w14:textId="77777777" w:rsidR="00BE2255" w:rsidRPr="008D2FDA" w:rsidRDefault="00D50C3F" w:rsidP="00BE225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Передбачає відмову від внесення</w:t>
            </w:r>
            <w:r w:rsidR="005A4FC2"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змін до чинного законодавства </w:t>
            </w:r>
            <w:r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відсутність положень щодо залишкового енергетичного міксу. </w:t>
            </w:r>
          </w:p>
          <w:p w14:paraId="78A9D0EC" w14:textId="77777777" w:rsidR="00CE0F1E" w:rsidRDefault="00D50C3F" w:rsidP="00BE225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Ця альтернатива не усуває існуючих бар’єрів для інтеграції України до європейського ринку гарантій походження.</w:t>
            </w:r>
          </w:p>
          <w:p w14:paraId="189946FE" w14:textId="77777777" w:rsidR="008D2FDA" w:rsidRDefault="008D2FDA" w:rsidP="00BE225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Зазначений спосіб є неприйнятним та не забезпечить поставле</w:t>
            </w:r>
            <w:r w:rsidR="00B73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ної цілі державного регулювання</w:t>
            </w:r>
            <w:r w:rsidR="00C966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CC60E66" w14:textId="4AA00354" w:rsidR="00C96626" w:rsidRPr="008D2FDA" w:rsidRDefault="00C96626" w:rsidP="00BE225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Система гарантій походження буде продовжувати працювати ізольовано від ринків країн ЄС та Енергетичного Співтовариства, що значно ускладнює  розвиток цього інструменту стимулювання розвитку відновлюваної енергетики.</w:t>
            </w:r>
          </w:p>
        </w:tc>
      </w:tr>
      <w:tr w:rsidR="00CE0F1E" w:rsidRPr="00BE2255" w14:paraId="6EA73AA5" w14:textId="77777777" w:rsidTr="00D33ADE">
        <w:tc>
          <w:tcPr>
            <w:tcW w:w="3969" w:type="dxa"/>
          </w:tcPr>
          <w:p w14:paraId="052D6524" w14:textId="77777777" w:rsidR="001601D7" w:rsidRPr="008D2FDA" w:rsidRDefault="001601D7" w:rsidP="00CE0F1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Альтернатива 2.</w:t>
            </w:r>
          </w:p>
          <w:p w14:paraId="0B0E9014" w14:textId="485551A4" w:rsidR="00CE0F1E" w:rsidRPr="008D2FDA" w:rsidRDefault="001601D7" w:rsidP="001601D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Прийняття </w:t>
            </w:r>
            <w:r w:rsid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регуляторного акт</w:t>
            </w:r>
            <w:r w:rsidR="00670E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  <w:p w14:paraId="48467FD3" w14:textId="77777777" w:rsidR="00B43381" w:rsidRPr="008D2FDA" w:rsidRDefault="00B43381" w:rsidP="001601D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98DC74F" w14:textId="1F277880" w:rsidR="00B43381" w:rsidRPr="008D2FDA" w:rsidRDefault="00B43381" w:rsidP="00D50C3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14:paraId="527B863C" w14:textId="77777777" w:rsidR="00131894" w:rsidRDefault="008D2FDA" w:rsidP="00D50C3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Прийняти </w:t>
            </w:r>
            <w:r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проєкту Закону України «Про внесення змін до статті 9</w:t>
            </w:r>
            <w:r w:rsidRPr="00001BE5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7</w:t>
            </w:r>
            <w:r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Закону України «Про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альтернативні джерела енергії». </w:t>
            </w:r>
          </w:p>
          <w:p w14:paraId="6C9EE7BF" w14:textId="10922AAA" w:rsidR="00934417" w:rsidRDefault="008D2FDA" w:rsidP="00D50C3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Внесення змін дозволить</w:t>
            </w:r>
            <w:r w:rsidR="009344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14:paraId="7167BDF5" w14:textId="519FF89D" w:rsidR="00934417" w:rsidRPr="00EC1855" w:rsidRDefault="00934417" w:rsidP="00D50C3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44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удосконал</w:t>
            </w:r>
            <w:r w:rsidR="00670E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ити</w:t>
            </w:r>
            <w:r w:rsidRPr="009344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законодавч</w:t>
            </w:r>
            <w:r w:rsidR="00670E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9344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баз</w:t>
            </w:r>
            <w:r w:rsidR="00670E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9344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70E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частині</w:t>
            </w:r>
            <w:r w:rsidRPr="009344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визнання гарантій походження та створення підстав для інтеграції українського реєстру гарантій походження до AIB </w:t>
            </w:r>
            <w:proofErr w:type="spellStart"/>
            <w:r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Hub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B839D4F" w14:textId="3BE6CE40" w:rsidR="00934417" w:rsidRDefault="00934417" w:rsidP="009344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</w:t>
            </w:r>
            <w:r w:rsidR="00D50C3F"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абезпеч</w:t>
            </w:r>
            <w:r w:rsidR="00670E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ити відповідні</w:t>
            </w:r>
            <w:r w:rsidR="00D50C3F"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</w:t>
            </w:r>
            <w:r w:rsidR="00670E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ь</w:t>
            </w:r>
            <w:r w:rsidR="00D50C3F"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законодавства вимогам Директиви RED II</w:t>
            </w:r>
            <w:r w:rsidR="001318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r w:rsidR="00D50C3F"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правилам AIB</w:t>
            </w:r>
            <w:r w:rsidR="00EC1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</w:t>
            </w:r>
            <w:r w:rsidR="00EC1855" w:rsidRPr="00EC1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EECS (</w:t>
            </w:r>
            <w:proofErr w:type="spellStart"/>
            <w:r w:rsidR="00EC1855" w:rsidRPr="00EC1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European</w:t>
            </w:r>
            <w:proofErr w:type="spellEnd"/>
            <w:r w:rsidR="00EC1855" w:rsidRPr="00EC1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EC1855" w:rsidRPr="00EC1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Energy</w:t>
            </w:r>
            <w:proofErr w:type="spellEnd"/>
            <w:r w:rsidR="00EC1855" w:rsidRPr="00EC1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EC1855" w:rsidRPr="00EC1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Certificate</w:t>
            </w:r>
            <w:proofErr w:type="spellEnd"/>
            <w:r w:rsidR="00EC1855" w:rsidRPr="00EC1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EC1855" w:rsidRPr="00EC1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System</w:t>
            </w:r>
            <w:proofErr w:type="spellEnd"/>
            <w:r w:rsidR="00EC1855" w:rsidRPr="00EC1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Європейська систе</w:t>
            </w:r>
            <w:r w:rsidR="000446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 сертифікації енергії), які, у</w:t>
            </w:r>
            <w:r w:rsidR="00EC1855" w:rsidRPr="00EC1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свою чергу, ґрунтуються на вимогах обов’язкового відповідно до частини 6 статті 19 Директиви RED II стандарту CEN-EN 16325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F23E224" w14:textId="031FF309" w:rsidR="00CE0F1E" w:rsidRPr="008D2FDA" w:rsidRDefault="00934417" w:rsidP="00670EE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сприя</w:t>
            </w:r>
            <w:r w:rsidR="00670E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A4FC2"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розширенню ринку гарантій походження, збільш</w:t>
            </w:r>
            <w:r w:rsidR="00670E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ити</w:t>
            </w:r>
            <w:r w:rsidR="005A4FC2"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попит на них,</w:t>
            </w:r>
            <w:r w:rsidR="000446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що у</w:t>
            </w:r>
            <w:r w:rsidR="005A4FC2" w:rsidRPr="00EC1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свою чергу</w:t>
            </w:r>
            <w:r w:rsidR="005A4FC2"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5A4FC2" w:rsidRPr="00EC1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дозволить поступово зменшити  </w:t>
            </w:r>
            <w:r w:rsidR="005A4FC2" w:rsidRPr="008D2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витрати з виконання спеціальних обов’язків із забезпечення збільшення частки виробництва електричної енергії з альтернативних джерел енергії</w:t>
            </w:r>
          </w:p>
        </w:tc>
      </w:tr>
    </w:tbl>
    <w:p w14:paraId="2B14C0B6" w14:textId="77777777" w:rsidR="00F34007" w:rsidRPr="00BE2255" w:rsidRDefault="00F34007" w:rsidP="00F3400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lastRenderedPageBreak/>
        <w:t>Оцінка вибраних альтернативних способів досягнення цілей</w:t>
      </w:r>
    </w:p>
    <w:p w14:paraId="5631BE03" w14:textId="77777777" w:rsidR="00F34007" w:rsidRPr="00BE2255" w:rsidRDefault="00F34007" w:rsidP="00F3400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>Оцінка впливу на сферу інтересів держави</w:t>
      </w:r>
      <w:r w:rsidR="006E6876" w:rsidRPr="00BE225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689"/>
        <w:gridCol w:w="3260"/>
        <w:gridCol w:w="3402"/>
      </w:tblGrid>
      <w:tr w:rsidR="00F34007" w:rsidRPr="00BE2255" w14:paraId="34E72957" w14:textId="77777777" w:rsidTr="00FB2D8E">
        <w:tc>
          <w:tcPr>
            <w:tcW w:w="2689" w:type="dxa"/>
          </w:tcPr>
          <w:p w14:paraId="46AA9E90" w14:textId="77777777" w:rsidR="00F34007" w:rsidRPr="00B83B9A" w:rsidRDefault="00F34007" w:rsidP="00F340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Вид альтернативи</w:t>
            </w:r>
          </w:p>
        </w:tc>
        <w:tc>
          <w:tcPr>
            <w:tcW w:w="3260" w:type="dxa"/>
          </w:tcPr>
          <w:p w14:paraId="1A91D235" w14:textId="77777777" w:rsidR="00F34007" w:rsidRPr="00B83B9A" w:rsidRDefault="00F34007" w:rsidP="00F340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Вигоди</w:t>
            </w:r>
          </w:p>
        </w:tc>
        <w:tc>
          <w:tcPr>
            <w:tcW w:w="3402" w:type="dxa"/>
          </w:tcPr>
          <w:p w14:paraId="6739F133" w14:textId="77777777" w:rsidR="00F34007" w:rsidRPr="00B83B9A" w:rsidRDefault="00F34007" w:rsidP="00F340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Витрати</w:t>
            </w:r>
          </w:p>
        </w:tc>
      </w:tr>
      <w:tr w:rsidR="00F34007" w:rsidRPr="00BE2255" w14:paraId="2FE1C236" w14:textId="77777777" w:rsidTr="00FB2D8E">
        <w:trPr>
          <w:trHeight w:val="465"/>
        </w:trPr>
        <w:tc>
          <w:tcPr>
            <w:tcW w:w="2689" w:type="dxa"/>
          </w:tcPr>
          <w:p w14:paraId="2329B318" w14:textId="77777777" w:rsidR="009B6E24" w:rsidRPr="00B83B9A" w:rsidRDefault="009B6E24" w:rsidP="009B6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Альтернатива 1</w:t>
            </w:r>
          </w:p>
          <w:p w14:paraId="11C853F2" w14:textId="77777777" w:rsidR="00F34007" w:rsidRPr="00B83B9A" w:rsidRDefault="009B6E24" w:rsidP="009B6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Збереження чинного регулювання</w:t>
            </w:r>
          </w:p>
        </w:tc>
        <w:tc>
          <w:tcPr>
            <w:tcW w:w="3260" w:type="dxa"/>
          </w:tcPr>
          <w:p w14:paraId="137C6D9E" w14:textId="77777777" w:rsidR="00F34007" w:rsidRPr="00B83B9A" w:rsidRDefault="009B6E24" w:rsidP="00F340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  <w:p w14:paraId="4D49358B" w14:textId="1672CD91" w:rsidR="002F41A2" w:rsidRPr="00B83B9A" w:rsidRDefault="002F41A2" w:rsidP="00F340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Альтернатива є неприйнятною. Оскільки не забезпеч</w:t>
            </w:r>
            <w:r w:rsidR="00B73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ує досягнення поставлених цілей</w:t>
            </w:r>
          </w:p>
        </w:tc>
        <w:tc>
          <w:tcPr>
            <w:tcW w:w="3402" w:type="dxa"/>
          </w:tcPr>
          <w:p w14:paraId="7DCD71CC" w14:textId="77777777" w:rsidR="00F34007" w:rsidRPr="00B83B9A" w:rsidRDefault="00F90BB2" w:rsidP="00F340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Негативний вплив на міжнародний імідж України та виконання міжнародних зобов’язань;</w:t>
            </w:r>
          </w:p>
          <w:p w14:paraId="3B470D9B" w14:textId="48576C6C" w:rsidR="00F90BB2" w:rsidRPr="00B83B9A" w:rsidRDefault="00F90BB2" w:rsidP="00F340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уповільненн</w:t>
            </w:r>
            <w:r w:rsidR="00B73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 процесу інтеграції до AIB </w:t>
            </w:r>
            <w:proofErr w:type="spellStart"/>
            <w:r w:rsidR="00B73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Hub</w:t>
            </w:r>
            <w:proofErr w:type="spellEnd"/>
          </w:p>
        </w:tc>
      </w:tr>
      <w:tr w:rsidR="00F34007" w:rsidRPr="00BE2255" w14:paraId="2B1FE597" w14:textId="77777777" w:rsidTr="00FB2D8E">
        <w:trPr>
          <w:trHeight w:val="848"/>
        </w:trPr>
        <w:tc>
          <w:tcPr>
            <w:tcW w:w="2689" w:type="dxa"/>
          </w:tcPr>
          <w:p w14:paraId="02E44F5D" w14:textId="77777777" w:rsidR="00FB2D8E" w:rsidRPr="00B83B9A" w:rsidRDefault="00FB2D8E" w:rsidP="00FB2D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Альтернатива 2</w:t>
            </w:r>
          </w:p>
          <w:p w14:paraId="0BC549AD" w14:textId="3F07A20B" w:rsidR="00F34007" w:rsidRPr="00B83B9A" w:rsidRDefault="002F41A2" w:rsidP="002F41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 регуляторного акта</w:t>
            </w:r>
            <w:r w:rsidR="00FB2D8E"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260" w:type="dxa"/>
          </w:tcPr>
          <w:p w14:paraId="113C57D8" w14:textId="3B548B62" w:rsidR="00F34007" w:rsidRPr="00B83B9A" w:rsidRDefault="00210702" w:rsidP="00FF2E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Сприяння виконанню </w:t>
            </w:r>
            <w:r w:rsidR="00F90BB2"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міжнародних зобов’язань України</w:t>
            </w:r>
            <w:r w:rsidR="00FF2EB2"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частині розрахунку залишкового енергетичного міксу</w:t>
            </w:r>
            <w:r w:rsidR="00F90BB2"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створення передумов для інтеграції до AIB; </w:t>
            </w: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розширення потенційного ринку для українських гарантій походження; </w:t>
            </w:r>
            <w:r w:rsidR="00F90BB2"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стимулювання торгівлі гарантіями походження</w:t>
            </w:r>
          </w:p>
        </w:tc>
        <w:tc>
          <w:tcPr>
            <w:tcW w:w="3402" w:type="dxa"/>
          </w:tcPr>
          <w:p w14:paraId="7DE95DCD" w14:textId="77777777" w:rsidR="00F34007" w:rsidRDefault="00FB2D8E" w:rsidP="00F340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  <w:p w14:paraId="5302BD2A" w14:textId="643F84ED" w:rsidR="002A03E3" w:rsidRPr="00B83B9A" w:rsidRDefault="002A03E3" w:rsidP="002A03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1BE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Реалізація положень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регуляторного </w:t>
            </w:r>
            <w:r w:rsidRPr="00001BE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акта </w:t>
            </w:r>
            <w:r w:rsidRPr="002A0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 потребує додаткових витрат з державного або місцевих бюджетів, а також не створює додаткового фінансового навантаження на суб’єктів господарювання, громадян або органи влади, а також не передбачає необхідності у додаткових матеріально</w:t>
            </w:r>
            <w:r w:rsidR="00B734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-технічних чи кадрових ресурсах</w:t>
            </w:r>
          </w:p>
        </w:tc>
      </w:tr>
    </w:tbl>
    <w:p w14:paraId="79D8F028" w14:textId="77777777" w:rsidR="006E6876" w:rsidRPr="00BE2255" w:rsidRDefault="006E6876" w:rsidP="006E6876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>Оцінка впливу на сферу інтересів громадян: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3260"/>
        <w:gridCol w:w="3396"/>
      </w:tblGrid>
      <w:tr w:rsidR="00C65806" w:rsidRPr="00BE2255" w14:paraId="22B2EE62" w14:textId="77777777" w:rsidTr="00C65806">
        <w:tc>
          <w:tcPr>
            <w:tcW w:w="2689" w:type="dxa"/>
          </w:tcPr>
          <w:p w14:paraId="28759D78" w14:textId="77777777" w:rsidR="00C65806" w:rsidRPr="00B83B9A" w:rsidRDefault="00C65806" w:rsidP="00C658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Вид альтернативи</w:t>
            </w:r>
          </w:p>
        </w:tc>
        <w:tc>
          <w:tcPr>
            <w:tcW w:w="3260" w:type="dxa"/>
          </w:tcPr>
          <w:p w14:paraId="4326D12C" w14:textId="77777777" w:rsidR="00C65806" w:rsidRPr="00B83B9A" w:rsidRDefault="00C65806" w:rsidP="00C658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Вигоди</w:t>
            </w:r>
          </w:p>
        </w:tc>
        <w:tc>
          <w:tcPr>
            <w:tcW w:w="3396" w:type="dxa"/>
          </w:tcPr>
          <w:p w14:paraId="433350E3" w14:textId="77777777" w:rsidR="00C65806" w:rsidRPr="00B83B9A" w:rsidRDefault="00C65806" w:rsidP="00C658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Витрати</w:t>
            </w:r>
          </w:p>
        </w:tc>
      </w:tr>
      <w:tr w:rsidR="00C65806" w:rsidRPr="00BE2255" w14:paraId="7370FDFD" w14:textId="77777777" w:rsidTr="00C65806">
        <w:tc>
          <w:tcPr>
            <w:tcW w:w="2689" w:type="dxa"/>
          </w:tcPr>
          <w:p w14:paraId="456FD7E1" w14:textId="77777777" w:rsidR="00A14E43" w:rsidRPr="00B83B9A" w:rsidRDefault="00A14E43" w:rsidP="00A14E4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Альтернатива 1</w:t>
            </w:r>
          </w:p>
          <w:p w14:paraId="6EB9A801" w14:textId="77777777" w:rsidR="00C65806" w:rsidRPr="00B83B9A" w:rsidRDefault="00A14E43" w:rsidP="00A14E4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Збереження чинного регулювання</w:t>
            </w:r>
          </w:p>
        </w:tc>
        <w:tc>
          <w:tcPr>
            <w:tcW w:w="3260" w:type="dxa"/>
          </w:tcPr>
          <w:p w14:paraId="636F2353" w14:textId="77777777" w:rsidR="00C65806" w:rsidRPr="00B83B9A" w:rsidRDefault="00BA0D9D" w:rsidP="006E687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  <w:tc>
          <w:tcPr>
            <w:tcW w:w="3396" w:type="dxa"/>
          </w:tcPr>
          <w:p w14:paraId="39AB15D2" w14:textId="7F494826" w:rsidR="00C65806" w:rsidRPr="00B83B9A" w:rsidRDefault="00210702" w:rsidP="0067634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</w:tr>
      <w:tr w:rsidR="00C65806" w:rsidRPr="00BE2255" w14:paraId="561F7C31" w14:textId="77777777" w:rsidTr="00C65806">
        <w:tc>
          <w:tcPr>
            <w:tcW w:w="2689" w:type="dxa"/>
          </w:tcPr>
          <w:p w14:paraId="50CCD7E8" w14:textId="77777777" w:rsidR="003478AE" w:rsidRPr="00B83B9A" w:rsidRDefault="003478AE" w:rsidP="003478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Альтернатива 2</w:t>
            </w:r>
          </w:p>
          <w:p w14:paraId="5D83C901" w14:textId="66C82376" w:rsidR="00C65806" w:rsidRPr="00B83B9A" w:rsidRDefault="00050486" w:rsidP="003478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 регуляторного акта</w:t>
            </w:r>
          </w:p>
        </w:tc>
        <w:tc>
          <w:tcPr>
            <w:tcW w:w="3260" w:type="dxa"/>
          </w:tcPr>
          <w:p w14:paraId="23C31085" w14:textId="42AA0790" w:rsidR="00C65806" w:rsidRPr="00B83B9A" w:rsidRDefault="00B21CB6" w:rsidP="00B21C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прозорості походження енергії; розширення можливостей для екологічно свідомого вибору</w:t>
            </w:r>
            <w:r w:rsidR="00670E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електричної енергії з відновлюваних джерел</w:t>
            </w:r>
          </w:p>
        </w:tc>
        <w:tc>
          <w:tcPr>
            <w:tcW w:w="3396" w:type="dxa"/>
          </w:tcPr>
          <w:p w14:paraId="0D5D7A0A" w14:textId="77777777" w:rsidR="00C65806" w:rsidRPr="00B83B9A" w:rsidRDefault="003478AE" w:rsidP="006E687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</w:tr>
    </w:tbl>
    <w:p w14:paraId="530282DE" w14:textId="55EBC39F" w:rsidR="00C361A9" w:rsidRPr="00BE2255" w:rsidRDefault="00C361A9" w:rsidP="00C361A9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>Оцінка впливу на сферу інтересів суб’єктів господарювання</w:t>
      </w:r>
      <w:r w:rsidR="00B744FC" w:rsidRPr="00BE2255">
        <w:rPr>
          <w:rFonts w:ascii="Times New Roman" w:hAnsi="Times New Roman" w:cs="Times New Roman"/>
          <w:sz w:val="28"/>
          <w:szCs w:val="28"/>
          <w:lang w:val="uk-UA"/>
        </w:rPr>
        <w:t>*</w:t>
      </w:r>
      <w:r w:rsidRPr="00BE225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1134"/>
        <w:gridCol w:w="1204"/>
        <w:gridCol w:w="1041"/>
        <w:gridCol w:w="1016"/>
        <w:gridCol w:w="986"/>
      </w:tblGrid>
      <w:tr w:rsidR="000A270A" w:rsidRPr="00BE2255" w14:paraId="5CF2817B" w14:textId="77777777" w:rsidTr="000A270A">
        <w:tc>
          <w:tcPr>
            <w:tcW w:w="3964" w:type="dxa"/>
          </w:tcPr>
          <w:p w14:paraId="5B5A21A5" w14:textId="77777777" w:rsidR="000A270A" w:rsidRPr="00B83B9A" w:rsidRDefault="000A270A" w:rsidP="000A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1134" w:type="dxa"/>
          </w:tcPr>
          <w:p w14:paraId="2BC9A610" w14:textId="77777777" w:rsidR="000A270A" w:rsidRPr="00B83B9A" w:rsidRDefault="000A270A" w:rsidP="000A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Великі</w:t>
            </w:r>
          </w:p>
        </w:tc>
        <w:tc>
          <w:tcPr>
            <w:tcW w:w="1204" w:type="dxa"/>
          </w:tcPr>
          <w:p w14:paraId="71F47599" w14:textId="77777777" w:rsidR="000A270A" w:rsidRPr="00B83B9A" w:rsidRDefault="000A270A" w:rsidP="000A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Середні</w:t>
            </w:r>
          </w:p>
        </w:tc>
        <w:tc>
          <w:tcPr>
            <w:tcW w:w="1041" w:type="dxa"/>
          </w:tcPr>
          <w:p w14:paraId="4A505ADA" w14:textId="77777777" w:rsidR="000A270A" w:rsidRPr="00B83B9A" w:rsidRDefault="000A270A" w:rsidP="000A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Малі</w:t>
            </w:r>
          </w:p>
        </w:tc>
        <w:tc>
          <w:tcPr>
            <w:tcW w:w="1016" w:type="dxa"/>
          </w:tcPr>
          <w:p w14:paraId="07BA492C" w14:textId="77777777" w:rsidR="000A270A" w:rsidRPr="00B83B9A" w:rsidRDefault="000A270A" w:rsidP="000A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Мікро</w:t>
            </w:r>
          </w:p>
        </w:tc>
        <w:tc>
          <w:tcPr>
            <w:tcW w:w="986" w:type="dxa"/>
          </w:tcPr>
          <w:p w14:paraId="1095C6A6" w14:textId="77777777" w:rsidR="000A270A" w:rsidRPr="00B83B9A" w:rsidRDefault="000A270A" w:rsidP="000A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</w:tr>
      <w:tr w:rsidR="004604C7" w:rsidRPr="00BE2255" w14:paraId="54171E34" w14:textId="77777777" w:rsidTr="00A25175">
        <w:tc>
          <w:tcPr>
            <w:tcW w:w="3964" w:type="dxa"/>
          </w:tcPr>
          <w:p w14:paraId="5E5E27D8" w14:textId="77777777" w:rsidR="000A270A" w:rsidRPr="00B83B9A" w:rsidRDefault="000A270A" w:rsidP="000A2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Кількість суб’єктів</w:t>
            </w:r>
          </w:p>
          <w:p w14:paraId="5D2B7357" w14:textId="77777777" w:rsidR="000A270A" w:rsidRPr="00B83B9A" w:rsidRDefault="000A270A" w:rsidP="000A2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господарювання, що</w:t>
            </w:r>
          </w:p>
          <w:p w14:paraId="66F4C3B1" w14:textId="77777777" w:rsidR="000A270A" w:rsidRPr="00B83B9A" w:rsidRDefault="000A270A" w:rsidP="000A2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підпадають під дію</w:t>
            </w:r>
          </w:p>
          <w:p w14:paraId="57045D81" w14:textId="77777777" w:rsidR="000A270A" w:rsidRPr="00B83B9A" w:rsidRDefault="000A270A" w:rsidP="000A2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регулювання, одиниць</w:t>
            </w:r>
          </w:p>
        </w:tc>
        <w:tc>
          <w:tcPr>
            <w:tcW w:w="1134" w:type="dxa"/>
            <w:shd w:val="clear" w:color="auto" w:fill="auto"/>
          </w:tcPr>
          <w:p w14:paraId="5D83EF89" w14:textId="54E08E36" w:rsidR="000A270A" w:rsidRPr="00B83B9A" w:rsidRDefault="00556967" w:rsidP="004604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204" w:type="dxa"/>
            <w:shd w:val="clear" w:color="auto" w:fill="auto"/>
          </w:tcPr>
          <w:p w14:paraId="29893429" w14:textId="73E35051" w:rsidR="000A270A" w:rsidRPr="00B83B9A" w:rsidRDefault="00556967" w:rsidP="005C1A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1041" w:type="dxa"/>
            <w:shd w:val="clear" w:color="auto" w:fill="auto"/>
          </w:tcPr>
          <w:p w14:paraId="0FA2D71F" w14:textId="0A8E40D5" w:rsidR="00A25175" w:rsidRPr="00B83B9A" w:rsidRDefault="0055696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14:paraId="75238C03" w14:textId="77777777" w:rsidR="00A25175" w:rsidRPr="00B83B9A" w:rsidRDefault="00A25175" w:rsidP="00A251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FBF416E" w14:textId="77777777" w:rsidR="000A270A" w:rsidRPr="00B83B9A" w:rsidRDefault="000A270A" w:rsidP="00A251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16" w:type="dxa"/>
            <w:shd w:val="clear" w:color="auto" w:fill="auto"/>
          </w:tcPr>
          <w:p w14:paraId="173DF9FF" w14:textId="5ED782A4" w:rsidR="000A270A" w:rsidRPr="00B83B9A" w:rsidRDefault="0055696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86" w:type="dxa"/>
            <w:shd w:val="clear" w:color="auto" w:fill="auto"/>
          </w:tcPr>
          <w:p w14:paraId="3FAC67CE" w14:textId="77777777" w:rsidR="000A270A" w:rsidRPr="00B83B9A" w:rsidRDefault="004604C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604C7" w:rsidRPr="00BE2255" w14:paraId="0B2C7E6B" w14:textId="77777777" w:rsidTr="00A25175">
        <w:tc>
          <w:tcPr>
            <w:tcW w:w="3964" w:type="dxa"/>
          </w:tcPr>
          <w:p w14:paraId="15EE9EF7" w14:textId="77777777" w:rsidR="000A270A" w:rsidRPr="00B83B9A" w:rsidRDefault="000A270A" w:rsidP="00C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Питома вага групи у загальній кількості, відсотків</w:t>
            </w:r>
          </w:p>
        </w:tc>
        <w:tc>
          <w:tcPr>
            <w:tcW w:w="1134" w:type="dxa"/>
            <w:shd w:val="clear" w:color="auto" w:fill="auto"/>
          </w:tcPr>
          <w:p w14:paraId="7E5516AF" w14:textId="77777777" w:rsidR="000A270A" w:rsidRPr="00B83B9A" w:rsidRDefault="004604C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04" w:type="dxa"/>
            <w:shd w:val="clear" w:color="auto" w:fill="auto"/>
          </w:tcPr>
          <w:p w14:paraId="2154372E" w14:textId="77777777" w:rsidR="000A270A" w:rsidRPr="00B83B9A" w:rsidRDefault="004604C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14:paraId="36D5A013" w14:textId="77777777" w:rsidR="000A270A" w:rsidRPr="00B83B9A" w:rsidRDefault="004604C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14:paraId="3C6AD3DE" w14:textId="77777777" w:rsidR="000A270A" w:rsidRPr="00B83B9A" w:rsidRDefault="004604C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86" w:type="dxa"/>
            <w:shd w:val="clear" w:color="auto" w:fill="auto"/>
          </w:tcPr>
          <w:p w14:paraId="694EB2C1" w14:textId="77777777" w:rsidR="000A270A" w:rsidRPr="00B83B9A" w:rsidRDefault="004604C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14:paraId="1965C92E" w14:textId="643319C0" w:rsidR="00F90BB2" w:rsidRPr="00B744FC" w:rsidRDefault="00BF41EF" w:rsidP="00B744FC">
      <w:pPr>
        <w:widowControl w:val="0"/>
        <w:spacing w:after="120" w:line="240" w:lineRule="auto"/>
        <w:ind w:firstLine="708"/>
        <w:jc w:val="both"/>
        <w:rPr>
          <w:rFonts w:ascii="Times New Roman" w:hAnsi="Times New Roman" w:cs="Times New Roman"/>
          <w:i/>
          <w:sz w:val="20"/>
          <w:szCs w:val="20"/>
          <w:lang w:val="uk-UA"/>
        </w:rPr>
      </w:pPr>
      <w:r w:rsidRPr="00B744FC">
        <w:rPr>
          <w:rFonts w:ascii="Times New Roman" w:hAnsi="Times New Roman" w:cs="Times New Roman"/>
          <w:sz w:val="20"/>
          <w:szCs w:val="20"/>
          <w:lang w:val="uk-UA"/>
        </w:rPr>
        <w:t xml:space="preserve">* </w:t>
      </w:r>
      <w:r w:rsidR="00B83B9A" w:rsidRPr="00B744FC">
        <w:rPr>
          <w:rFonts w:ascii="Times New Roman" w:hAnsi="Times New Roman" w:cs="Times New Roman"/>
          <w:i/>
          <w:sz w:val="20"/>
          <w:szCs w:val="20"/>
          <w:lang w:val="uk-UA"/>
        </w:rPr>
        <w:t>Згідно з інформацією НКРЕКП щодо видачі, обігу та погашення гарантій походження електричної енергії, виробленої з відновлюваних джерел енергії</w:t>
      </w:r>
      <w:r w:rsidR="00210702" w:rsidRPr="00B744FC">
        <w:rPr>
          <w:rFonts w:ascii="Times New Roman" w:hAnsi="Times New Roman" w:cs="Times New Roman"/>
          <w:i/>
          <w:sz w:val="20"/>
          <w:szCs w:val="20"/>
          <w:lang w:val="uk-UA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3260"/>
        <w:gridCol w:w="3396"/>
      </w:tblGrid>
      <w:tr w:rsidR="00C361A9" w:rsidRPr="00BE2255" w14:paraId="1FF5E687" w14:textId="77777777" w:rsidTr="00C361A9">
        <w:tc>
          <w:tcPr>
            <w:tcW w:w="2689" w:type="dxa"/>
          </w:tcPr>
          <w:p w14:paraId="78693F1D" w14:textId="61CB92A7" w:rsidR="00C361A9" w:rsidRPr="00556967" w:rsidRDefault="00E3779F" w:rsidP="00C36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569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 w:type="page"/>
            </w:r>
            <w:r w:rsidR="00C361A9" w:rsidRPr="0055696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Вид альтернативи</w:t>
            </w:r>
          </w:p>
        </w:tc>
        <w:tc>
          <w:tcPr>
            <w:tcW w:w="3260" w:type="dxa"/>
          </w:tcPr>
          <w:p w14:paraId="78A73AD6" w14:textId="77777777" w:rsidR="00C361A9" w:rsidRPr="00556967" w:rsidRDefault="00C361A9" w:rsidP="00C36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5696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Вигоди</w:t>
            </w:r>
          </w:p>
        </w:tc>
        <w:tc>
          <w:tcPr>
            <w:tcW w:w="3396" w:type="dxa"/>
          </w:tcPr>
          <w:p w14:paraId="428914F6" w14:textId="77777777" w:rsidR="00C361A9" w:rsidRPr="00556967" w:rsidRDefault="00C361A9" w:rsidP="00C36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5696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Витрати</w:t>
            </w:r>
          </w:p>
        </w:tc>
      </w:tr>
      <w:tr w:rsidR="00C361A9" w:rsidRPr="00BE2255" w14:paraId="3D564EE5" w14:textId="77777777" w:rsidTr="00C361A9">
        <w:tc>
          <w:tcPr>
            <w:tcW w:w="2689" w:type="dxa"/>
          </w:tcPr>
          <w:p w14:paraId="3799959F" w14:textId="77777777" w:rsidR="00F40E9D" w:rsidRPr="00556967" w:rsidRDefault="00F40E9D" w:rsidP="00F4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69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Альтернатива 1</w:t>
            </w:r>
          </w:p>
          <w:p w14:paraId="1A0DC0AB" w14:textId="77777777" w:rsidR="00C361A9" w:rsidRPr="00556967" w:rsidRDefault="00F40E9D" w:rsidP="00F4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69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Збереження чинного регулювання</w:t>
            </w:r>
          </w:p>
        </w:tc>
        <w:tc>
          <w:tcPr>
            <w:tcW w:w="3260" w:type="dxa"/>
          </w:tcPr>
          <w:p w14:paraId="49831BFF" w14:textId="2F5DC382" w:rsidR="00C361A9" w:rsidRDefault="007A309D" w:rsidP="00C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69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  <w:p w14:paraId="1CA513AD" w14:textId="64FED8CE" w:rsidR="00001BE5" w:rsidRPr="00556967" w:rsidRDefault="00001BE5" w:rsidP="00C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Альтернатива є неприйнятною. Оскільки не забезпеч</w:t>
            </w:r>
            <w:r w:rsidR="00B73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ує досягнення поставлених цілей</w:t>
            </w:r>
          </w:p>
        </w:tc>
        <w:tc>
          <w:tcPr>
            <w:tcW w:w="3396" w:type="dxa"/>
          </w:tcPr>
          <w:p w14:paraId="3E7815CD" w14:textId="77777777" w:rsidR="00C361A9" w:rsidRDefault="00210702" w:rsidP="00210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69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  <w:p w14:paraId="03F08621" w14:textId="5C177357" w:rsidR="00F66F90" w:rsidRPr="00556967" w:rsidRDefault="00F66F90" w:rsidP="00210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Порівняно гірше конкурентне становище українських виробників ВДЕ та учасників ринку обігу гарантій походження. Зменшений економічний ефект від обігу гарантій походження</w:t>
            </w:r>
          </w:p>
        </w:tc>
      </w:tr>
      <w:tr w:rsidR="00C361A9" w:rsidRPr="00BE2255" w14:paraId="3D16ACE1" w14:textId="77777777" w:rsidTr="00C361A9">
        <w:tc>
          <w:tcPr>
            <w:tcW w:w="2689" w:type="dxa"/>
          </w:tcPr>
          <w:p w14:paraId="331D75CB" w14:textId="77777777" w:rsidR="00F40E9D" w:rsidRPr="00556967" w:rsidRDefault="00F40E9D" w:rsidP="00F4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69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Альтернатива 2</w:t>
            </w:r>
          </w:p>
          <w:p w14:paraId="0C3CB4FB" w14:textId="46CD9B4A" w:rsidR="00C361A9" w:rsidRPr="00556967" w:rsidRDefault="00556967" w:rsidP="00F4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69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 регуляторного акта</w:t>
            </w:r>
          </w:p>
        </w:tc>
        <w:tc>
          <w:tcPr>
            <w:tcW w:w="3260" w:type="dxa"/>
          </w:tcPr>
          <w:p w14:paraId="778443D8" w14:textId="77777777" w:rsidR="0079747D" w:rsidRPr="0079747D" w:rsidRDefault="0079747D" w:rsidP="007974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974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Розширення можливостей для експортно-імпортних операцій з гарантіями походження дозволить отримати доступ до нових ринків, що сприятиме збільшенню попиту на їх продукцію.</w:t>
            </w:r>
          </w:p>
          <w:p w14:paraId="635B6F17" w14:textId="77777777" w:rsidR="0079747D" w:rsidRPr="0079747D" w:rsidRDefault="0079747D" w:rsidP="007974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974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Нові можливості для українських виробників відновлюваної енергії на європейському ринку.</w:t>
            </w:r>
          </w:p>
          <w:p w14:paraId="0FF7B88F" w14:textId="21C81638" w:rsidR="00C361A9" w:rsidRPr="00556967" w:rsidRDefault="00556967" w:rsidP="007974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69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Потенційне зростання інвестиц</w:t>
            </w:r>
            <w:r w:rsidR="00B73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ійної привабливості сектору ВДЕ</w:t>
            </w:r>
          </w:p>
        </w:tc>
        <w:tc>
          <w:tcPr>
            <w:tcW w:w="3396" w:type="dxa"/>
          </w:tcPr>
          <w:p w14:paraId="04CD8125" w14:textId="77777777" w:rsidR="00001BE5" w:rsidRDefault="007A309D" w:rsidP="00001B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69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  <w:p w14:paraId="2D700258" w14:textId="63C09161" w:rsidR="00001BE5" w:rsidRPr="00556967" w:rsidRDefault="002A03E3" w:rsidP="00C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0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Реалізація регуляторного акта не створює додаткового фінансового навантаження на суб’єктів господарювання та не передбачає необхідності у залученні додаткових рес</w:t>
            </w:r>
            <w:r w:rsidR="00B734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урсів для виконання нових вимог</w:t>
            </w:r>
          </w:p>
        </w:tc>
      </w:tr>
    </w:tbl>
    <w:p w14:paraId="36E1C7B9" w14:textId="77777777" w:rsidR="00290053" w:rsidRDefault="00290053" w:rsidP="00244AE8">
      <w:pPr>
        <w:pStyle w:val="a4"/>
        <w:spacing w:after="0"/>
        <w:ind w:left="1414" w:hanging="113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D8A8ADB" w14:textId="12ED5BA7" w:rsidR="00244AE8" w:rsidRPr="00BE2255" w:rsidRDefault="00244AE8" w:rsidP="00244AE8">
      <w:pPr>
        <w:pStyle w:val="a4"/>
        <w:spacing w:after="0"/>
        <w:ind w:left="1414" w:hanging="113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b/>
          <w:sz w:val="28"/>
          <w:szCs w:val="28"/>
          <w:lang w:val="uk-UA"/>
        </w:rPr>
        <w:t>ІV. Вибір найбільш оптимального альтернативного</w:t>
      </w:r>
    </w:p>
    <w:p w14:paraId="76FDE898" w14:textId="77777777" w:rsidR="00C361A9" w:rsidRPr="00BE2255" w:rsidRDefault="00244AE8" w:rsidP="00244AE8">
      <w:pPr>
        <w:pStyle w:val="a4"/>
        <w:spacing w:after="0"/>
        <w:ind w:left="1414" w:hanging="113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b/>
          <w:sz w:val="28"/>
          <w:szCs w:val="28"/>
          <w:lang w:val="uk-UA"/>
        </w:rPr>
        <w:t>способу досягнення цілей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119"/>
        <w:gridCol w:w="2835"/>
        <w:gridCol w:w="3396"/>
      </w:tblGrid>
      <w:tr w:rsidR="00164C74" w:rsidRPr="00050486" w14:paraId="1D56CC75" w14:textId="77777777" w:rsidTr="00164C74">
        <w:tc>
          <w:tcPr>
            <w:tcW w:w="3119" w:type="dxa"/>
          </w:tcPr>
          <w:p w14:paraId="3EB70616" w14:textId="77777777" w:rsidR="00164C74" w:rsidRPr="00050486" w:rsidRDefault="00164C74" w:rsidP="00164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04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835" w:type="dxa"/>
          </w:tcPr>
          <w:p w14:paraId="0E715BDA" w14:textId="77777777" w:rsidR="00164C74" w:rsidRPr="00050486" w:rsidRDefault="00164C74" w:rsidP="00164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04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Бал результативності</w:t>
            </w:r>
          </w:p>
          <w:p w14:paraId="2DDD7637" w14:textId="77777777" w:rsidR="00164C74" w:rsidRPr="00050486" w:rsidRDefault="00164C74" w:rsidP="00164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04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(за чотирибальною системою оцінки)</w:t>
            </w:r>
          </w:p>
        </w:tc>
        <w:tc>
          <w:tcPr>
            <w:tcW w:w="3396" w:type="dxa"/>
          </w:tcPr>
          <w:p w14:paraId="240CE26A" w14:textId="77777777" w:rsidR="00164C74" w:rsidRPr="00050486" w:rsidRDefault="00164C74" w:rsidP="00164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04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0504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бала</w:t>
            </w:r>
            <w:proofErr w:type="spellEnd"/>
          </w:p>
        </w:tc>
      </w:tr>
      <w:tr w:rsidR="00E9266D" w:rsidRPr="00050486" w14:paraId="40ED41C0" w14:textId="77777777" w:rsidTr="00164C74">
        <w:tc>
          <w:tcPr>
            <w:tcW w:w="3119" w:type="dxa"/>
          </w:tcPr>
          <w:p w14:paraId="25EE7714" w14:textId="77777777" w:rsidR="00164C74" w:rsidRPr="00050486" w:rsidRDefault="00164C74" w:rsidP="00164C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Альтернатива 1</w:t>
            </w:r>
          </w:p>
          <w:p w14:paraId="485AF42F" w14:textId="77777777" w:rsidR="00E9266D" w:rsidRPr="00050486" w:rsidRDefault="00164C74" w:rsidP="00164C7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Збереження чинного регулювання</w:t>
            </w:r>
          </w:p>
        </w:tc>
        <w:tc>
          <w:tcPr>
            <w:tcW w:w="2835" w:type="dxa"/>
          </w:tcPr>
          <w:p w14:paraId="64569892" w14:textId="77777777" w:rsidR="00E9266D" w:rsidRPr="00050486" w:rsidRDefault="00D50DBB" w:rsidP="00D50DB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396" w:type="dxa"/>
          </w:tcPr>
          <w:p w14:paraId="69280FA6" w14:textId="1AF6B2C5" w:rsidR="00E9266D" w:rsidRPr="00050486" w:rsidRDefault="00337E7F" w:rsidP="0005048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разі залишення існуючої на </w:t>
            </w:r>
            <w:r w:rsidR="00050486" w:rsidRPr="0005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сьогодні</w:t>
            </w:r>
            <w:r w:rsidRPr="0005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ситуації без змін проблема продовжуватиме існувати, що не забезпечить досягнення поставлених цілей </w:t>
            </w:r>
            <w:r w:rsidR="00B73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державного регулювання</w:t>
            </w:r>
          </w:p>
        </w:tc>
      </w:tr>
      <w:tr w:rsidR="00E9266D" w:rsidRPr="00050486" w14:paraId="0015CB89" w14:textId="77777777" w:rsidTr="00164C74">
        <w:tc>
          <w:tcPr>
            <w:tcW w:w="3119" w:type="dxa"/>
          </w:tcPr>
          <w:p w14:paraId="6900328C" w14:textId="77777777" w:rsidR="00164C74" w:rsidRPr="00050486" w:rsidRDefault="00164C74" w:rsidP="00164C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Обрана альтернатива 2</w:t>
            </w:r>
          </w:p>
          <w:p w14:paraId="47A00FDB" w14:textId="2DFAD241" w:rsidR="00E9266D" w:rsidRPr="00050486" w:rsidRDefault="00050486" w:rsidP="00164C7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 регуляторного акта</w:t>
            </w:r>
          </w:p>
        </w:tc>
        <w:tc>
          <w:tcPr>
            <w:tcW w:w="2835" w:type="dxa"/>
          </w:tcPr>
          <w:p w14:paraId="628D2D15" w14:textId="77777777" w:rsidR="00E9266D" w:rsidRPr="00050486" w:rsidRDefault="00D50DBB" w:rsidP="00D50DB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396" w:type="dxa"/>
          </w:tcPr>
          <w:p w14:paraId="1520FCB1" w14:textId="77777777" w:rsidR="00E9266D" w:rsidRDefault="00BB77F1" w:rsidP="00164C7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Дозволяє вирішити п</w:t>
            </w:r>
            <w:r w:rsidR="00E82589" w:rsidRPr="0005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роблему </w:t>
            </w:r>
            <w:r w:rsidR="00474FA5" w:rsidRPr="0005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</w:t>
            </w:r>
            <w:r w:rsidR="00E82589" w:rsidRPr="0005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ефективн</w:t>
            </w:r>
            <w:r w:rsidR="00474FA5" w:rsidRPr="0005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іши</w:t>
            </w:r>
            <w:r w:rsidR="00E82589" w:rsidRPr="0005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шляхом</w:t>
            </w:r>
            <w:r w:rsidR="00670E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5D076761" w14:textId="40BFF7A4" w:rsidR="00670EE4" w:rsidRPr="00050486" w:rsidRDefault="00670EE4" w:rsidP="00164C7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0E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Є найбільш прийнятною, тому що дозволить досягти кінцевого результату </w:t>
            </w:r>
            <w:r w:rsidRPr="00670E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поставлених цілей державного регулювання</w:t>
            </w:r>
          </w:p>
        </w:tc>
      </w:tr>
    </w:tbl>
    <w:p w14:paraId="5FC9F8A2" w14:textId="77777777" w:rsidR="0016160A" w:rsidRDefault="0016160A"/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2977"/>
        <w:gridCol w:w="1638"/>
        <w:gridCol w:w="2183"/>
      </w:tblGrid>
      <w:tr w:rsidR="00926182" w:rsidRPr="00050486" w14:paraId="129666D2" w14:textId="77777777" w:rsidTr="00926182">
        <w:tc>
          <w:tcPr>
            <w:tcW w:w="2552" w:type="dxa"/>
          </w:tcPr>
          <w:p w14:paraId="39F348BC" w14:textId="77777777" w:rsidR="00926182" w:rsidRPr="00050486" w:rsidRDefault="00926182" w:rsidP="00926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04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Рейтинг результативності</w:t>
            </w:r>
          </w:p>
        </w:tc>
        <w:tc>
          <w:tcPr>
            <w:tcW w:w="2977" w:type="dxa"/>
          </w:tcPr>
          <w:p w14:paraId="453A26F1" w14:textId="77777777" w:rsidR="00926182" w:rsidRPr="00050486" w:rsidRDefault="00926182" w:rsidP="00926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04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Вигоди (підсумок)</w:t>
            </w:r>
          </w:p>
        </w:tc>
        <w:tc>
          <w:tcPr>
            <w:tcW w:w="1638" w:type="dxa"/>
          </w:tcPr>
          <w:p w14:paraId="62F4D2CD" w14:textId="77777777" w:rsidR="00926182" w:rsidRPr="00050486" w:rsidRDefault="00926182" w:rsidP="00926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04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Витрати (підсумок)</w:t>
            </w:r>
          </w:p>
        </w:tc>
        <w:tc>
          <w:tcPr>
            <w:tcW w:w="2183" w:type="dxa"/>
          </w:tcPr>
          <w:p w14:paraId="6547E7D9" w14:textId="77777777" w:rsidR="00926182" w:rsidRPr="00050486" w:rsidRDefault="00926182" w:rsidP="00926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04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Обґрунтування відповідного місця альтернативи</w:t>
            </w:r>
          </w:p>
        </w:tc>
      </w:tr>
      <w:tr w:rsidR="00926182" w:rsidRPr="00050486" w14:paraId="32E423D8" w14:textId="77777777" w:rsidTr="00926182">
        <w:tc>
          <w:tcPr>
            <w:tcW w:w="2552" w:type="dxa"/>
          </w:tcPr>
          <w:p w14:paraId="2EF34ADA" w14:textId="37135F4A" w:rsidR="00926182" w:rsidRPr="00050486" w:rsidRDefault="00926182" w:rsidP="0092618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Альтернатива 1 </w:t>
            </w:r>
            <w:r w:rsidR="00050486" w:rsidRPr="0005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Збереження чинного регулювання</w:t>
            </w:r>
          </w:p>
        </w:tc>
        <w:tc>
          <w:tcPr>
            <w:tcW w:w="2977" w:type="dxa"/>
          </w:tcPr>
          <w:p w14:paraId="468B4863" w14:textId="0D747E1C" w:rsidR="00926182" w:rsidRPr="00050486" w:rsidRDefault="00926182" w:rsidP="0092618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Відсутні. Не призведе до досягнення поставлених цілей</w:t>
            </w:r>
          </w:p>
        </w:tc>
        <w:tc>
          <w:tcPr>
            <w:tcW w:w="1638" w:type="dxa"/>
          </w:tcPr>
          <w:p w14:paraId="6864EAD5" w14:textId="77777777" w:rsidR="00926182" w:rsidRPr="00050486" w:rsidRDefault="00926182" w:rsidP="0092618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  <w:tc>
          <w:tcPr>
            <w:tcW w:w="2183" w:type="dxa"/>
          </w:tcPr>
          <w:p w14:paraId="0291EAAA" w14:textId="27C78B23" w:rsidR="00926182" w:rsidRPr="00050486" w:rsidRDefault="00050486" w:rsidP="00CB144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разі залишення існуючої ситуації без змін </w:t>
            </w:r>
            <w:r w:rsidR="00CB14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поставлені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цілі не будуть </w:t>
            </w:r>
            <w:r w:rsidR="00CB14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досягнуті</w:t>
            </w:r>
          </w:p>
        </w:tc>
      </w:tr>
      <w:tr w:rsidR="00926182" w:rsidRPr="00050486" w14:paraId="5BE03405" w14:textId="77777777" w:rsidTr="00926182">
        <w:tc>
          <w:tcPr>
            <w:tcW w:w="2552" w:type="dxa"/>
          </w:tcPr>
          <w:p w14:paraId="753FF620" w14:textId="03625879" w:rsidR="00926182" w:rsidRPr="00050486" w:rsidRDefault="00926182" w:rsidP="0092618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Альтернатива 2 </w:t>
            </w:r>
            <w:r w:rsidR="00050486" w:rsidRPr="0005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 регуляторного акта</w:t>
            </w:r>
          </w:p>
        </w:tc>
        <w:tc>
          <w:tcPr>
            <w:tcW w:w="2977" w:type="dxa"/>
          </w:tcPr>
          <w:p w14:paraId="31D2269B" w14:textId="2AD07E9B" w:rsidR="00926182" w:rsidRPr="00050486" w:rsidRDefault="00337E7F" w:rsidP="00F758E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підґрунтя для потенційного розширення попиту на гарантії походження, які видані в Україні, шляхом забезпечення визнання українських гарантій походження у Договірних Сторонах Енергетичного Співтовариства та, у подальшому у державах-членах Європейського Союзу</w:t>
            </w:r>
          </w:p>
        </w:tc>
        <w:tc>
          <w:tcPr>
            <w:tcW w:w="1638" w:type="dxa"/>
          </w:tcPr>
          <w:p w14:paraId="661FE13F" w14:textId="77777777" w:rsidR="00926182" w:rsidRPr="00050486" w:rsidRDefault="006E44EA" w:rsidP="006E44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  <w:tc>
          <w:tcPr>
            <w:tcW w:w="2183" w:type="dxa"/>
          </w:tcPr>
          <w:p w14:paraId="70111F07" w14:textId="6C475DAD" w:rsidR="00926182" w:rsidRPr="00050486" w:rsidRDefault="00050486" w:rsidP="00CB144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разі залишення існуючої ситуації без змін </w:t>
            </w:r>
            <w:r w:rsidR="00CB14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поставлені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цілі будуть досягнуті в оптимальний спосіб</w:t>
            </w:r>
          </w:p>
        </w:tc>
      </w:tr>
    </w:tbl>
    <w:p w14:paraId="433893FC" w14:textId="77777777" w:rsidR="00926182" w:rsidRPr="00BE2255" w:rsidRDefault="00926182" w:rsidP="00926182">
      <w:pPr>
        <w:pStyle w:val="a4"/>
        <w:spacing w:after="0"/>
        <w:ind w:left="1414" w:hanging="113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51050" w:rsidRPr="009C3DA7" w14:paraId="3C3F10B0" w14:textId="77777777" w:rsidTr="00B03C3A">
        <w:tc>
          <w:tcPr>
            <w:tcW w:w="3116" w:type="dxa"/>
          </w:tcPr>
          <w:p w14:paraId="6C920129" w14:textId="77777777" w:rsidR="00351050" w:rsidRPr="009C3DA7" w:rsidRDefault="00351050" w:rsidP="003510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C3D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Рейтинг</w:t>
            </w:r>
          </w:p>
        </w:tc>
        <w:tc>
          <w:tcPr>
            <w:tcW w:w="3117" w:type="dxa"/>
          </w:tcPr>
          <w:p w14:paraId="38438133" w14:textId="77777777" w:rsidR="00351050" w:rsidRPr="009C3DA7" w:rsidRDefault="00351050" w:rsidP="003510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C3D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Аргументи щодо переваги обраної альтернативи/причини відмови від альтернативи</w:t>
            </w:r>
          </w:p>
        </w:tc>
        <w:tc>
          <w:tcPr>
            <w:tcW w:w="3117" w:type="dxa"/>
          </w:tcPr>
          <w:p w14:paraId="10C04C62" w14:textId="77777777" w:rsidR="00351050" w:rsidRPr="009C3DA7" w:rsidRDefault="00351050" w:rsidP="003510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C3D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B03C3A" w:rsidRPr="009C3DA7" w14:paraId="507835AF" w14:textId="77777777" w:rsidTr="00B03C3A">
        <w:tc>
          <w:tcPr>
            <w:tcW w:w="3116" w:type="dxa"/>
          </w:tcPr>
          <w:p w14:paraId="5A6FF58B" w14:textId="77777777" w:rsidR="002A2077" w:rsidRPr="009C3DA7" w:rsidRDefault="00B03C3A" w:rsidP="00B03C3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3D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Альтернатива 1</w:t>
            </w:r>
          </w:p>
          <w:p w14:paraId="142BCBE3" w14:textId="77777777" w:rsidR="00B03C3A" w:rsidRPr="009C3DA7" w:rsidRDefault="002A2077" w:rsidP="00B03C3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3D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Збереження чинного регулювання</w:t>
            </w:r>
          </w:p>
        </w:tc>
        <w:tc>
          <w:tcPr>
            <w:tcW w:w="3117" w:type="dxa"/>
          </w:tcPr>
          <w:p w14:paraId="6F3976A3" w14:textId="77777777" w:rsidR="00B03C3A" w:rsidRPr="009C3DA7" w:rsidRDefault="00B03C3A" w:rsidP="00B03C3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3D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Проблема продовжує існувати</w:t>
            </w:r>
          </w:p>
        </w:tc>
        <w:tc>
          <w:tcPr>
            <w:tcW w:w="3117" w:type="dxa"/>
          </w:tcPr>
          <w:p w14:paraId="0A894DBE" w14:textId="209D2B74" w:rsidR="00B03C3A" w:rsidRPr="009C3DA7" w:rsidRDefault="008627B9" w:rsidP="00D91D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Дана</w:t>
            </w:r>
            <w:r w:rsidRPr="008627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C3DA7" w:rsidRPr="008627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альтернатива не дозволяє досягти поставленої </w:t>
            </w:r>
            <w:r w:rsidR="00CB14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цілі</w:t>
            </w:r>
            <w:r w:rsidR="009C3DA7" w:rsidRPr="008627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— інтеграції українського ринку гарантій походження до європейського </w:t>
            </w:r>
            <w:r w:rsidR="00D91D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ринку</w:t>
            </w:r>
          </w:p>
        </w:tc>
      </w:tr>
      <w:tr w:rsidR="00B03C3A" w:rsidRPr="009C3DA7" w14:paraId="2B69205F" w14:textId="77777777" w:rsidTr="00B03C3A">
        <w:tc>
          <w:tcPr>
            <w:tcW w:w="3116" w:type="dxa"/>
          </w:tcPr>
          <w:p w14:paraId="2EB0553D" w14:textId="77777777" w:rsidR="00B03C3A" w:rsidRPr="009C3DA7" w:rsidRDefault="002A2077" w:rsidP="00B03C3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3D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Альтернатива 2</w:t>
            </w:r>
          </w:p>
          <w:p w14:paraId="3DC2D6C2" w14:textId="4AEF3358" w:rsidR="002A2077" w:rsidRPr="009C3DA7" w:rsidRDefault="009C3DA7" w:rsidP="00B03C3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3D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 регуляторного акта</w:t>
            </w:r>
          </w:p>
        </w:tc>
        <w:tc>
          <w:tcPr>
            <w:tcW w:w="3117" w:type="dxa"/>
          </w:tcPr>
          <w:p w14:paraId="76B5A2E5" w14:textId="77777777" w:rsidR="00B03C3A" w:rsidRPr="009C3DA7" w:rsidRDefault="00B03C3A" w:rsidP="00B03C3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3D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Прийняття регуляторного акта є єдиним оптимальним способом досягнення визначених цілей </w:t>
            </w:r>
          </w:p>
        </w:tc>
        <w:tc>
          <w:tcPr>
            <w:tcW w:w="3117" w:type="dxa"/>
          </w:tcPr>
          <w:p w14:paraId="313723E7" w14:textId="6AE42EBB" w:rsidR="00B03C3A" w:rsidRPr="009C3DA7" w:rsidRDefault="008627B9" w:rsidP="008627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27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Існує ризик затримок у процедурі взаємного визнання української системи гарантій походження з боку ЄС, що може вплинути на темпи реалізації потенційних експортн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о-імпортних</w:t>
            </w:r>
            <w:r w:rsidRPr="008627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операцій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державами-членами ЄС</w:t>
            </w:r>
          </w:p>
        </w:tc>
      </w:tr>
    </w:tbl>
    <w:p w14:paraId="7B0BB2FA" w14:textId="77777777" w:rsidR="002A5A1A" w:rsidRPr="00BE2255" w:rsidRDefault="002A5A1A" w:rsidP="00926182">
      <w:pPr>
        <w:pStyle w:val="a4"/>
        <w:spacing w:after="0"/>
        <w:ind w:left="1414" w:hanging="1130"/>
        <w:rPr>
          <w:rFonts w:ascii="Times New Roman" w:hAnsi="Times New Roman" w:cs="Times New Roman"/>
          <w:sz w:val="28"/>
          <w:szCs w:val="28"/>
          <w:lang w:val="uk-UA"/>
        </w:rPr>
      </w:pPr>
    </w:p>
    <w:p w14:paraId="7782F275" w14:textId="77777777" w:rsidR="00FE3D17" w:rsidRPr="00BE2255" w:rsidRDefault="00FE3D17" w:rsidP="006D332B">
      <w:pPr>
        <w:pStyle w:val="a4"/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V. Механізми та заходи, які забезпечать розв'язання визначеної проблеми</w:t>
      </w:r>
    </w:p>
    <w:p w14:paraId="641C3F6A" w14:textId="562C7706" w:rsidR="00B114D5" w:rsidRPr="00B114D5" w:rsidRDefault="00B114D5" w:rsidP="00B114D5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14D5">
        <w:rPr>
          <w:rFonts w:ascii="Times New Roman" w:hAnsi="Times New Roman" w:cs="Times New Roman"/>
          <w:sz w:val="28"/>
          <w:szCs w:val="28"/>
          <w:lang w:val="uk-UA"/>
        </w:rPr>
        <w:t xml:space="preserve">Основними механізмами досягнення цілей </w:t>
      </w:r>
      <w:r w:rsidR="00CB144A">
        <w:rPr>
          <w:rFonts w:ascii="Times New Roman" w:hAnsi="Times New Roman" w:cs="Times New Roman"/>
          <w:sz w:val="28"/>
          <w:szCs w:val="28"/>
          <w:lang w:val="uk-UA"/>
        </w:rPr>
        <w:t>державного регулювання</w:t>
      </w:r>
      <w:r w:rsidRPr="00B114D5">
        <w:rPr>
          <w:rFonts w:ascii="Times New Roman" w:hAnsi="Times New Roman" w:cs="Times New Roman"/>
          <w:sz w:val="28"/>
          <w:szCs w:val="28"/>
          <w:lang w:val="uk-UA"/>
        </w:rPr>
        <w:t xml:space="preserve"> є</w:t>
      </w:r>
      <w:r w:rsidR="00CB14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3DA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1A47">
        <w:rPr>
          <w:rFonts w:ascii="Times New Roman" w:hAnsi="Times New Roman" w:cs="Times New Roman"/>
          <w:sz w:val="28"/>
          <w:szCs w:val="28"/>
          <w:lang w:val="uk-UA"/>
        </w:rPr>
        <w:t>досконалення</w:t>
      </w: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законодавства з </w:t>
      </w:r>
      <w:r w:rsidR="00F66F90">
        <w:rPr>
          <w:rFonts w:ascii="Times New Roman" w:hAnsi="Times New Roman" w:cs="Times New Roman"/>
          <w:sz w:val="28"/>
          <w:szCs w:val="28"/>
          <w:lang w:val="uk-UA"/>
        </w:rPr>
        <w:t xml:space="preserve">урахуванням </w:t>
      </w:r>
      <w:r w:rsidRPr="00BE2255">
        <w:rPr>
          <w:rFonts w:ascii="Times New Roman" w:hAnsi="Times New Roman" w:cs="Times New Roman"/>
          <w:sz w:val="28"/>
          <w:szCs w:val="28"/>
          <w:lang w:val="uk-UA"/>
        </w:rPr>
        <w:t>Директив</w:t>
      </w:r>
      <w:r w:rsidR="00F66F9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RED II</w:t>
      </w:r>
      <w:r w:rsidRPr="00B114D5">
        <w:rPr>
          <w:rFonts w:ascii="Times New Roman" w:hAnsi="Times New Roman" w:cs="Times New Roman"/>
          <w:sz w:val="28"/>
          <w:szCs w:val="28"/>
          <w:lang w:val="uk-UA"/>
        </w:rPr>
        <w:t xml:space="preserve"> шляхом закріплення у статті 9</w:t>
      </w:r>
      <w:r w:rsidRPr="00B114D5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7</w:t>
      </w:r>
      <w:r w:rsidRPr="00B114D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альтернативні джерела енергії» норм щодо:</w:t>
      </w:r>
    </w:p>
    <w:p w14:paraId="2AB9C437" w14:textId="77777777" w:rsidR="00B114D5" w:rsidRPr="00B114D5" w:rsidRDefault="00B114D5" w:rsidP="00B114D5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14D5">
        <w:rPr>
          <w:rFonts w:ascii="Times New Roman" w:hAnsi="Times New Roman" w:cs="Times New Roman"/>
          <w:sz w:val="28"/>
          <w:szCs w:val="28"/>
          <w:lang w:val="uk-UA"/>
        </w:rPr>
        <w:t>взаємного визнання гарантій походження з країнами-членами ЄС та Договірними сторонами Енергетичного Співтовариства;</w:t>
      </w:r>
    </w:p>
    <w:p w14:paraId="33A92B60" w14:textId="1A1AD52C" w:rsidR="00B114D5" w:rsidRPr="00B114D5" w:rsidRDefault="00B114D5" w:rsidP="00B114D5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14D5">
        <w:rPr>
          <w:rFonts w:ascii="Times New Roman" w:hAnsi="Times New Roman" w:cs="Times New Roman"/>
          <w:sz w:val="28"/>
          <w:szCs w:val="28"/>
          <w:lang w:val="uk-UA"/>
        </w:rPr>
        <w:t>визнання гарантій походження з третіх країн лише у разі їх визнання ЄС або Енергетичним Співтовариством;</w:t>
      </w:r>
    </w:p>
    <w:p w14:paraId="7BF1E0F5" w14:textId="46A5AFE2" w:rsidR="00B114D5" w:rsidRPr="00B114D5" w:rsidRDefault="00B114D5" w:rsidP="00B114D5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14D5">
        <w:rPr>
          <w:rFonts w:ascii="Times New Roman" w:hAnsi="Times New Roman" w:cs="Times New Roman"/>
          <w:sz w:val="28"/>
          <w:szCs w:val="28"/>
          <w:lang w:val="uk-UA"/>
        </w:rPr>
        <w:t>забезпечення прозорості походження електроенергії через систему погашених гарантій походження та залишкового енергетичного міксу</w:t>
      </w:r>
      <w:r w:rsidR="00BE2255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BE2255" w:rsidRPr="00BE2255">
        <w:rPr>
          <w:rFonts w:ascii="Times New Roman" w:hAnsi="Times New Roman" w:cs="Times New Roman"/>
          <w:sz w:val="28"/>
          <w:szCs w:val="28"/>
          <w:lang w:val="uk-UA"/>
        </w:rPr>
        <w:t>Residual</w:t>
      </w:r>
      <w:proofErr w:type="spellEnd"/>
      <w:r w:rsidR="00BE2255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2255" w:rsidRPr="00BE2255">
        <w:rPr>
          <w:rFonts w:ascii="Times New Roman" w:hAnsi="Times New Roman" w:cs="Times New Roman"/>
          <w:sz w:val="28"/>
          <w:szCs w:val="28"/>
          <w:lang w:val="uk-UA"/>
        </w:rPr>
        <w:t>Energy</w:t>
      </w:r>
      <w:proofErr w:type="spellEnd"/>
      <w:r w:rsidR="00BE2255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2255" w:rsidRPr="00BE2255">
        <w:rPr>
          <w:rFonts w:ascii="Times New Roman" w:hAnsi="Times New Roman" w:cs="Times New Roman"/>
          <w:sz w:val="28"/>
          <w:szCs w:val="28"/>
          <w:lang w:val="uk-UA"/>
        </w:rPr>
        <w:t>Mix</w:t>
      </w:r>
      <w:proofErr w:type="spellEnd"/>
      <w:r w:rsidR="00BE2255" w:rsidRPr="00BE225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F2EB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A8A33ED" w14:textId="18C8B45D" w:rsidR="00B114D5" w:rsidRPr="00B114D5" w:rsidRDefault="00FF2EB2" w:rsidP="00B114D5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також с</w:t>
      </w:r>
      <w:r w:rsidR="00B114D5" w:rsidRPr="00BE2255">
        <w:rPr>
          <w:rFonts w:ascii="Times New Roman" w:hAnsi="Times New Roman" w:cs="Times New Roman"/>
          <w:sz w:val="28"/>
          <w:szCs w:val="28"/>
          <w:lang w:val="uk-UA"/>
        </w:rPr>
        <w:t>творення правової основи для приєднання НКРЕКП до Групи «Електричної Схеми» AIB</w:t>
      </w:r>
      <w:r w:rsidR="00B114D5" w:rsidRPr="00B114D5">
        <w:rPr>
          <w:rFonts w:ascii="Times New Roman" w:hAnsi="Times New Roman" w:cs="Times New Roman"/>
          <w:sz w:val="28"/>
          <w:szCs w:val="28"/>
          <w:lang w:val="uk-UA"/>
        </w:rPr>
        <w:t xml:space="preserve"> з метою інтеграції реєстру гарантій походження до AIB </w:t>
      </w:r>
      <w:proofErr w:type="spellStart"/>
      <w:r w:rsidR="00B114D5" w:rsidRPr="00B114D5">
        <w:rPr>
          <w:rFonts w:ascii="Times New Roman" w:hAnsi="Times New Roman" w:cs="Times New Roman"/>
          <w:sz w:val="28"/>
          <w:szCs w:val="28"/>
          <w:lang w:val="uk-UA"/>
        </w:rPr>
        <w:t>Hub</w:t>
      </w:r>
      <w:proofErr w:type="spellEnd"/>
      <w:r w:rsidR="00B114D5" w:rsidRPr="00B114D5">
        <w:rPr>
          <w:rFonts w:ascii="Times New Roman" w:hAnsi="Times New Roman" w:cs="Times New Roman"/>
          <w:sz w:val="28"/>
          <w:szCs w:val="28"/>
          <w:lang w:val="uk-UA"/>
        </w:rPr>
        <w:t xml:space="preserve"> та забезпечення транскордонного обігу гарантій.</w:t>
      </w:r>
    </w:p>
    <w:p w14:paraId="0CDE71EF" w14:textId="78E22146" w:rsidR="00857756" w:rsidRPr="00BE2255" w:rsidRDefault="00392CAA" w:rsidP="00AE1EC3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Заходи, </w:t>
      </w:r>
      <w:r w:rsidR="00290053">
        <w:rPr>
          <w:rFonts w:ascii="Times New Roman" w:hAnsi="Times New Roman" w:cs="Times New Roman"/>
          <w:sz w:val="28"/>
          <w:szCs w:val="28"/>
          <w:lang w:val="uk-UA"/>
        </w:rPr>
        <w:t>що пропонуються для впровадження регуляторного акт</w:t>
      </w:r>
      <w:r w:rsidR="00CB144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90053">
        <w:rPr>
          <w:rFonts w:ascii="Times New Roman" w:hAnsi="Times New Roman" w:cs="Times New Roman"/>
          <w:sz w:val="28"/>
          <w:szCs w:val="28"/>
          <w:lang w:val="uk-UA"/>
        </w:rPr>
        <w:t xml:space="preserve"> в дію</w:t>
      </w: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: у встановленому законом порядку погодити </w:t>
      </w:r>
      <w:r w:rsidR="009D3FD2" w:rsidRPr="00BE2255">
        <w:rPr>
          <w:rFonts w:ascii="Times New Roman" w:hAnsi="Times New Roman" w:cs="Times New Roman"/>
          <w:sz w:val="28"/>
          <w:szCs w:val="28"/>
          <w:lang w:val="uk-UA"/>
        </w:rPr>
        <w:t>законопроєкт</w:t>
      </w:r>
      <w:r w:rsidR="000C4C63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та подати його до Кабінету Міністрів </w:t>
      </w:r>
      <w:r w:rsidR="00290053">
        <w:rPr>
          <w:rFonts w:ascii="Times New Roman" w:hAnsi="Times New Roman" w:cs="Times New Roman"/>
          <w:sz w:val="28"/>
          <w:szCs w:val="28"/>
          <w:lang w:val="uk-UA"/>
        </w:rPr>
        <w:t xml:space="preserve">України з метою його розгляду та подання на розгляд </w:t>
      </w:r>
      <w:r w:rsidR="000C4C63" w:rsidRPr="00BE2255">
        <w:rPr>
          <w:rFonts w:ascii="Times New Roman" w:hAnsi="Times New Roman" w:cs="Times New Roman"/>
          <w:sz w:val="28"/>
          <w:szCs w:val="28"/>
          <w:lang w:val="uk-UA"/>
        </w:rPr>
        <w:t>до Верховної Ради України</w:t>
      </w:r>
      <w:r w:rsidRPr="00BE22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CC59472" w14:textId="77777777" w:rsidR="00392CAA" w:rsidRPr="00BE2255" w:rsidRDefault="00392CAA" w:rsidP="00392CAA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>Ризику впливу зовнішніх факторів на дію регуляторного акта немає. Можлива шкода у разі очікуваних наслідків дії акта не прогнозується.</w:t>
      </w:r>
    </w:p>
    <w:p w14:paraId="52DCC336" w14:textId="77777777" w:rsidR="00392CAA" w:rsidRPr="00BE2255" w:rsidRDefault="00392CAA" w:rsidP="00392CAA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>Прийняття регуляторного акта не призведе до неочікуваних результатів і не потребуватиме додаткових витрат з державного бюджету.</w:t>
      </w:r>
    </w:p>
    <w:p w14:paraId="7A39DABC" w14:textId="77777777" w:rsidR="006D332B" w:rsidRPr="00BE2255" w:rsidRDefault="006D332B" w:rsidP="00392CAA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889629F" w14:textId="77777777" w:rsidR="006D332B" w:rsidRPr="00BE2255" w:rsidRDefault="006D332B" w:rsidP="006D332B">
      <w:pPr>
        <w:pStyle w:val="a4"/>
        <w:spacing w:after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b/>
          <w:sz w:val="28"/>
          <w:szCs w:val="28"/>
          <w:lang w:val="uk-UA"/>
        </w:rPr>
        <w:t>VI. Оцінка виконання вимог регуляторного акта залежно від ресурсів, 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</w:t>
      </w:r>
    </w:p>
    <w:p w14:paraId="69993F35" w14:textId="77777777" w:rsidR="006D332B" w:rsidRPr="00BE2255" w:rsidRDefault="006D332B" w:rsidP="006D332B">
      <w:pPr>
        <w:pStyle w:val="a4"/>
        <w:spacing w:after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AB3DF6D" w14:textId="42BA8A2C" w:rsidR="00290053" w:rsidRDefault="00290053" w:rsidP="00290053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Законопроєкт стосується інтересів держави, суб’єктів господарювання та громадян. Негативних наслідків у зв’язку з прийняттям регуляторного акта не очікується.</w:t>
      </w:r>
    </w:p>
    <w:p w14:paraId="7C41C950" w14:textId="7C31B9DA" w:rsidR="00290053" w:rsidRPr="00290053" w:rsidRDefault="00290053" w:rsidP="00290053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053">
        <w:rPr>
          <w:rFonts w:ascii="Times New Roman" w:hAnsi="Times New Roman" w:cs="Times New Roman"/>
          <w:sz w:val="28"/>
          <w:szCs w:val="28"/>
          <w:lang w:val="uk-UA"/>
        </w:rPr>
        <w:t>Виконання вимог регуляторного акта не потребує додаткового фінансування з державного чи місцевих бюджетів, а також не призведе до суттєвих витрат з боку органів виконавчої влади або органів місцевого самоврядування. Реалізація акта здійснюватиметься у межах наявних ресурсів відповідальних органів.</w:t>
      </w:r>
    </w:p>
    <w:p w14:paraId="418833A8" w14:textId="112B2C16" w:rsidR="00290053" w:rsidRPr="00290053" w:rsidRDefault="00290053" w:rsidP="00290053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053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регуляторного акта не передбачає </w:t>
      </w:r>
      <w:r>
        <w:rPr>
          <w:rFonts w:ascii="Times New Roman" w:hAnsi="Times New Roman" w:cs="Times New Roman"/>
          <w:sz w:val="28"/>
          <w:szCs w:val="28"/>
          <w:lang w:val="uk-UA"/>
        </w:rPr>
        <w:t>додаткових</w:t>
      </w:r>
      <w:r w:rsidRPr="00290053">
        <w:rPr>
          <w:rFonts w:ascii="Times New Roman" w:hAnsi="Times New Roman" w:cs="Times New Roman"/>
          <w:sz w:val="28"/>
          <w:szCs w:val="28"/>
          <w:lang w:val="uk-UA"/>
        </w:rPr>
        <w:t xml:space="preserve"> витрат для фізичних чи юридичних осіб, зокрема суб’єктів господарювання. </w:t>
      </w:r>
      <w:r w:rsidR="000D02A6">
        <w:rPr>
          <w:rFonts w:ascii="Times New Roman" w:hAnsi="Times New Roman" w:cs="Times New Roman"/>
          <w:sz w:val="28"/>
          <w:szCs w:val="28"/>
          <w:lang w:val="uk-UA"/>
        </w:rPr>
        <w:t xml:space="preserve">Регуляторний </w:t>
      </w:r>
      <w:r w:rsidR="000D02A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акт спрямований </w:t>
      </w:r>
      <w:r w:rsidR="000D02A6" w:rsidRPr="00FF2EB2">
        <w:rPr>
          <w:rFonts w:ascii="Times New Roman" w:hAnsi="Times New Roman" w:cs="Times New Roman"/>
          <w:sz w:val="28"/>
          <w:szCs w:val="28"/>
          <w:lang w:val="uk-UA"/>
        </w:rPr>
        <w:t xml:space="preserve">на запровадження принципу взаємності при визнанні гарантій походження країнами державами-членами </w:t>
      </w:r>
      <w:r w:rsidR="000D02A6" w:rsidRPr="00FF2EB2">
        <w:rPr>
          <w:rFonts w:ascii="Times New Roman" w:eastAsia="Times New Roman" w:hAnsi="Times New Roman" w:cs="Times New Roman"/>
          <w:sz w:val="28"/>
          <w:szCs w:val="28"/>
          <w:lang w:val="uk-UA"/>
        </w:rPr>
        <w:t>Європейського Союзу</w:t>
      </w:r>
      <w:r w:rsidR="000D02A6" w:rsidRPr="00FF2EB2">
        <w:rPr>
          <w:rFonts w:ascii="Times New Roman" w:hAnsi="Times New Roman" w:cs="Times New Roman"/>
          <w:sz w:val="28"/>
          <w:szCs w:val="28"/>
          <w:lang w:val="uk-UA"/>
        </w:rPr>
        <w:t xml:space="preserve"> та договірними сторонами Енергетичного Співтовариства та іншими країнами</w:t>
      </w:r>
      <w:r w:rsidRPr="00290053">
        <w:rPr>
          <w:rFonts w:ascii="Times New Roman" w:hAnsi="Times New Roman" w:cs="Times New Roman"/>
          <w:sz w:val="28"/>
          <w:szCs w:val="28"/>
          <w:lang w:val="uk-UA"/>
        </w:rPr>
        <w:t xml:space="preserve"> і не передбачає накладення додаткових обов’язків чи адміністративного навантаження на суб’єктів малого підприємництва.</w:t>
      </w:r>
    </w:p>
    <w:p w14:paraId="2AB3359D" w14:textId="77777777" w:rsidR="00290053" w:rsidRPr="00290053" w:rsidRDefault="00290053" w:rsidP="00290053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053">
        <w:rPr>
          <w:rFonts w:ascii="Times New Roman" w:hAnsi="Times New Roman" w:cs="Times New Roman"/>
          <w:sz w:val="28"/>
          <w:szCs w:val="28"/>
          <w:lang w:val="uk-UA"/>
        </w:rPr>
        <w:t>Питома вага суб’єктів малого підприємництва в загальній кількості суб’єктів господарювання, на яких поширюється дія регулювання, не перевищує 10 відсотків, отже розрахунок витрат на запровадження державного регулювання для суб’єктів малого підприємництва згідно з додатком 4 до Методики не здійснюється.</w:t>
      </w:r>
    </w:p>
    <w:p w14:paraId="4C288019" w14:textId="25726D29" w:rsidR="00062BAF" w:rsidRDefault="00290053" w:rsidP="00290053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053">
        <w:rPr>
          <w:rFonts w:ascii="Times New Roman" w:hAnsi="Times New Roman" w:cs="Times New Roman"/>
          <w:sz w:val="28"/>
          <w:szCs w:val="28"/>
          <w:lang w:val="uk-UA"/>
        </w:rPr>
        <w:t>Враховуючи зазначене, розрахунок витрат згідно з додатком 3 до Методики також не проводиться, оскільки вимоги регуляторного акта не спричиняють витрат для державних органів або суб’єктів малого підприємництва.</w:t>
      </w:r>
    </w:p>
    <w:p w14:paraId="31D278F0" w14:textId="77777777" w:rsidR="0048622E" w:rsidRPr="00BE2255" w:rsidRDefault="0048622E" w:rsidP="00290053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C71121" w14:textId="77777777" w:rsidR="000D7180" w:rsidRPr="00BE2255" w:rsidRDefault="00062BAF" w:rsidP="000D7180">
      <w:pPr>
        <w:pStyle w:val="a4"/>
        <w:spacing w:after="0"/>
        <w:ind w:hanging="1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b/>
          <w:sz w:val="28"/>
          <w:szCs w:val="28"/>
          <w:lang w:val="uk-UA"/>
        </w:rPr>
        <w:t>VII. Обґрунтування запропонованого строку дії</w:t>
      </w:r>
    </w:p>
    <w:p w14:paraId="17E8F4DC" w14:textId="77777777" w:rsidR="00062BAF" w:rsidRPr="00BE2255" w:rsidRDefault="00062BAF" w:rsidP="000D7180">
      <w:pPr>
        <w:pStyle w:val="a4"/>
        <w:spacing w:after="0"/>
        <w:ind w:hanging="1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b/>
          <w:sz w:val="28"/>
          <w:szCs w:val="28"/>
          <w:lang w:val="uk-UA"/>
        </w:rPr>
        <w:t>регуляторного акта</w:t>
      </w:r>
    </w:p>
    <w:p w14:paraId="5F06558A" w14:textId="77777777" w:rsidR="000D7180" w:rsidRPr="00BE2255" w:rsidRDefault="000D7180" w:rsidP="000D7180">
      <w:pPr>
        <w:pStyle w:val="a4"/>
        <w:spacing w:after="0"/>
        <w:ind w:hanging="1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0C8320" w14:textId="77777777" w:rsidR="00062BAF" w:rsidRPr="00BE2255" w:rsidRDefault="00062BAF" w:rsidP="00062BAF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>Термін дії регуляторного акта необмежений та може бути змінений у разі внесення відповідних змін до чинного законодавства.</w:t>
      </w:r>
    </w:p>
    <w:p w14:paraId="4AB73390" w14:textId="77777777" w:rsidR="008868F3" w:rsidRPr="00BE2255" w:rsidRDefault="008868F3" w:rsidP="00BF440D">
      <w:pPr>
        <w:pStyle w:val="a4"/>
        <w:spacing w:after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6D82938" w14:textId="29DE2827" w:rsidR="00BF440D" w:rsidRPr="00BE2255" w:rsidRDefault="00BF440D" w:rsidP="00BF440D">
      <w:pPr>
        <w:pStyle w:val="a4"/>
        <w:spacing w:after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VIII. Визначення показників результативності дії </w:t>
      </w:r>
    </w:p>
    <w:p w14:paraId="0DB2273B" w14:textId="77777777" w:rsidR="00BF440D" w:rsidRPr="00BE2255" w:rsidRDefault="00BF440D" w:rsidP="00BF440D">
      <w:pPr>
        <w:pStyle w:val="a4"/>
        <w:spacing w:after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b/>
          <w:sz w:val="28"/>
          <w:szCs w:val="28"/>
          <w:lang w:val="uk-UA"/>
        </w:rPr>
        <w:t>регуляторного акта</w:t>
      </w:r>
    </w:p>
    <w:p w14:paraId="0697CCC4" w14:textId="77777777" w:rsidR="00BF440D" w:rsidRPr="00BE2255" w:rsidRDefault="00BF440D" w:rsidP="00BF440D">
      <w:pPr>
        <w:pStyle w:val="a4"/>
        <w:spacing w:after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89735E0" w14:textId="77777777" w:rsidR="000E35BD" w:rsidRPr="00BE2255" w:rsidRDefault="000E35BD" w:rsidP="00AE2269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Прогнозними значеннями </w:t>
      </w:r>
      <w:r w:rsidR="00A903C4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кількісних </w:t>
      </w:r>
      <w:r w:rsidRPr="00BE2255">
        <w:rPr>
          <w:rFonts w:ascii="Times New Roman" w:hAnsi="Times New Roman" w:cs="Times New Roman"/>
          <w:sz w:val="28"/>
          <w:szCs w:val="28"/>
          <w:lang w:val="uk-UA"/>
        </w:rPr>
        <w:t>показників результативності регуляторного акта є:</w:t>
      </w:r>
    </w:p>
    <w:p w14:paraId="2BFA8E78" w14:textId="77777777" w:rsidR="000E35BD" w:rsidRPr="00BE2255" w:rsidRDefault="000E35BD" w:rsidP="00AE2269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>дія регуляторного акта не передбачає надходжень та/або видатків з/до державного та місцевих бюджетів і державних цільових фондів, пов’язаних з дією регуляторного акта;</w:t>
      </w:r>
    </w:p>
    <w:p w14:paraId="7BA12876" w14:textId="77777777" w:rsidR="000E35BD" w:rsidRPr="00BE2255" w:rsidRDefault="000E35BD" w:rsidP="00AE2269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розмір коштів і час, що витрачатимуться суб’єктами господарювання, пов’язаними з виконанням вимог регуляторного акта – </w:t>
      </w:r>
      <w:r w:rsidR="00DF5280" w:rsidRPr="00BE2255">
        <w:rPr>
          <w:rFonts w:ascii="Times New Roman" w:hAnsi="Times New Roman" w:cs="Times New Roman"/>
          <w:sz w:val="28"/>
          <w:szCs w:val="28"/>
          <w:lang w:val="uk-UA"/>
        </w:rPr>
        <w:t>не передбачається</w:t>
      </w:r>
      <w:r w:rsidR="00AA7B0D" w:rsidRPr="00BE225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09A302C" w14:textId="23C3D6A7" w:rsidR="00BF440D" w:rsidRPr="00BE2255" w:rsidRDefault="000E35BD" w:rsidP="00AE2269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рівень поінформованості суб’єктів господарювання із основними положеннями регуляторного акта – </w:t>
      </w:r>
      <w:r w:rsidR="00FC3B34" w:rsidRPr="00BE2255">
        <w:rPr>
          <w:rFonts w:ascii="Times New Roman" w:hAnsi="Times New Roman" w:cs="Times New Roman"/>
          <w:sz w:val="28"/>
          <w:szCs w:val="28"/>
          <w:lang w:val="uk-UA"/>
        </w:rPr>
        <w:t>вище середнього</w:t>
      </w: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, оскільки проєкт регуляторного акта розміщується на офіційному </w:t>
      </w:r>
      <w:proofErr w:type="spellStart"/>
      <w:r w:rsidRPr="00BE2255"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НКРЕКП.</w:t>
      </w:r>
    </w:p>
    <w:p w14:paraId="66370B2F" w14:textId="77777777" w:rsidR="00A903C4" w:rsidRPr="00BE2255" w:rsidRDefault="00A903C4" w:rsidP="00AE2269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B4E602" w14:textId="77777777" w:rsidR="00A903C4" w:rsidRPr="00BE2255" w:rsidRDefault="00A903C4" w:rsidP="00A903C4">
      <w:pPr>
        <w:pStyle w:val="a4"/>
        <w:spacing w:after="0"/>
        <w:ind w:left="0"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b/>
          <w:sz w:val="28"/>
          <w:szCs w:val="28"/>
          <w:lang w:val="uk-UA"/>
        </w:rPr>
        <w:t>ІX. Визначення заходів, за допомогою яких здійснюватиметься відстеження результативності дії регуляторного акта</w:t>
      </w:r>
    </w:p>
    <w:p w14:paraId="7EE8D60E" w14:textId="77777777" w:rsidR="00A903C4" w:rsidRPr="00BE2255" w:rsidRDefault="00A903C4" w:rsidP="00A903C4">
      <w:pPr>
        <w:pStyle w:val="a4"/>
        <w:spacing w:after="0"/>
        <w:ind w:left="0"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568D68A" w14:textId="778ACD8C" w:rsidR="00A903C4" w:rsidRPr="00BE2255" w:rsidRDefault="00A903C4" w:rsidP="00A903C4">
      <w:pPr>
        <w:pStyle w:val="a4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Для проведення відстеження результативності регуляторного акта буде </w:t>
      </w:r>
      <w:r w:rsidR="003E6C88" w:rsidRPr="00BE225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8F4529" w:rsidRPr="00BE225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E6C88"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стосовано </w:t>
      </w: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статистичний метод, що передбачає використання статистичних </w:t>
      </w:r>
      <w:r w:rsidRPr="00BE2255">
        <w:rPr>
          <w:rFonts w:ascii="Times New Roman" w:hAnsi="Times New Roman" w:cs="Times New Roman"/>
          <w:sz w:val="28"/>
          <w:szCs w:val="28"/>
          <w:lang w:val="uk-UA"/>
        </w:rPr>
        <w:lastRenderedPageBreak/>
        <w:t>даних. Опитування цільових груп та залучення наукових установ для проведення відстеження результативності регуляторного акта не передбачаються.</w:t>
      </w:r>
    </w:p>
    <w:p w14:paraId="61FB44EC" w14:textId="77777777" w:rsidR="00A903C4" w:rsidRPr="00BE2255" w:rsidRDefault="00A903C4" w:rsidP="00A903C4">
      <w:pPr>
        <w:pStyle w:val="a4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Відстеження результативності регуляторного акта здійснюватиметься шляхом проведення базового, повторного та періодичного </w:t>
      </w:r>
      <w:r w:rsidR="00B00F39" w:rsidRPr="00BE2255">
        <w:rPr>
          <w:rFonts w:ascii="Times New Roman" w:hAnsi="Times New Roman" w:cs="Times New Roman"/>
          <w:sz w:val="28"/>
          <w:szCs w:val="28"/>
          <w:lang w:val="uk-UA"/>
        </w:rPr>
        <w:t>відстеження</w:t>
      </w: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показників результативності акта.</w:t>
      </w:r>
    </w:p>
    <w:p w14:paraId="7F8FF4F0" w14:textId="3E034E9B" w:rsidR="00A903C4" w:rsidRPr="00BE2255" w:rsidRDefault="00A903C4" w:rsidP="00A903C4">
      <w:pPr>
        <w:pStyle w:val="a4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>Оскільки для визначення значень показників результативності регуляторного акта використовуватимуться статистичні дані, базове відстеження результативності здійснюватиметься через рік після набрання чинності регуляторним актом.</w:t>
      </w:r>
    </w:p>
    <w:p w14:paraId="50B487E8" w14:textId="1FEB76AA" w:rsidR="00A903C4" w:rsidRPr="00BE2255" w:rsidRDefault="00A903C4" w:rsidP="00A903C4">
      <w:pPr>
        <w:pStyle w:val="a4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>Повторне відстеження результативності буде здійснен</w:t>
      </w:r>
      <w:r w:rsidR="007979CC" w:rsidRPr="00BE225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BE2255">
        <w:rPr>
          <w:rFonts w:ascii="Times New Roman" w:hAnsi="Times New Roman" w:cs="Times New Roman"/>
          <w:sz w:val="28"/>
          <w:szCs w:val="28"/>
          <w:lang w:val="uk-UA"/>
        </w:rPr>
        <w:t xml:space="preserve"> не пізніше двох років після набрання чинності регуляторним актом для визначення результатів його дії.</w:t>
      </w:r>
    </w:p>
    <w:p w14:paraId="38CEBEB3" w14:textId="77777777" w:rsidR="00A903C4" w:rsidRPr="00BE2255" w:rsidRDefault="00A903C4" w:rsidP="00A903C4">
      <w:pPr>
        <w:pStyle w:val="a4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>Періодичне відстеження результативності – кожних три роки після проведення повторного відстеження.</w:t>
      </w:r>
    </w:p>
    <w:p w14:paraId="6E76B6AF" w14:textId="77777777" w:rsidR="00A903C4" w:rsidRPr="00BE2255" w:rsidRDefault="00A903C4" w:rsidP="00A903C4">
      <w:pPr>
        <w:pStyle w:val="a4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>У разі надходження пропозицій та зауважень щодо вирішення неврегульованих або проблемних питань буде розглядатись необхідність внесення відповідних змін.</w:t>
      </w:r>
    </w:p>
    <w:p w14:paraId="5B4B59B9" w14:textId="77777777" w:rsidR="00A903C4" w:rsidRPr="00BE2255" w:rsidRDefault="007B4621" w:rsidP="007B4621">
      <w:pPr>
        <w:pStyle w:val="a4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sz w:val="28"/>
          <w:szCs w:val="28"/>
          <w:lang w:val="uk-UA"/>
        </w:rPr>
        <w:t>У разі виявлення під час здійснення заходів з відстеження результативності неврегульованих та проблемних питань, вони будуть вирішуватися шляхом внесення відповідних змін до регуляторного акта.</w:t>
      </w:r>
    </w:p>
    <w:p w14:paraId="3FA8A4D5" w14:textId="77777777" w:rsidR="008868F3" w:rsidRPr="00BE2255" w:rsidRDefault="008868F3" w:rsidP="007B4621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246D098" w14:textId="77777777" w:rsidR="008868F3" w:rsidRPr="00BE2255" w:rsidRDefault="008868F3" w:rsidP="007B4621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C44F9A6" w14:textId="22AC4841" w:rsidR="007B4621" w:rsidRPr="00BE2255" w:rsidRDefault="007B4621" w:rsidP="007B4621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255">
        <w:rPr>
          <w:rFonts w:ascii="Times New Roman" w:hAnsi="Times New Roman" w:cs="Times New Roman"/>
          <w:b/>
          <w:sz w:val="28"/>
          <w:szCs w:val="28"/>
          <w:lang w:val="uk-UA"/>
        </w:rPr>
        <w:t>Голова НКРЕКП</w:t>
      </w:r>
      <w:r w:rsidRPr="00BE225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225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2255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</w:t>
      </w:r>
      <w:r w:rsidR="00967B1C" w:rsidRPr="00BE22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Pr="00BE22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8868F3" w:rsidRPr="00BE22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Pr="00BE22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967B1C" w:rsidRPr="00BE2255">
        <w:rPr>
          <w:rFonts w:ascii="Times New Roman" w:hAnsi="Times New Roman" w:cs="Times New Roman"/>
          <w:b/>
          <w:sz w:val="28"/>
          <w:szCs w:val="28"/>
          <w:lang w:val="uk-UA"/>
        </w:rPr>
        <w:t>Юрій ВЛАСЕНКО</w:t>
      </w:r>
    </w:p>
    <w:p w14:paraId="465CA6E0" w14:textId="7FA0430E" w:rsidR="000C5CFF" w:rsidRPr="00BE2255" w:rsidRDefault="000C5CFF" w:rsidP="007B4621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2396187" w14:textId="4DDB73AE" w:rsidR="000C5CFF" w:rsidRPr="00BE2255" w:rsidRDefault="000C5CFF" w:rsidP="007B4621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6F1C6DB" w14:textId="28BF1AC3" w:rsidR="000C5CFF" w:rsidRPr="00BE2255" w:rsidRDefault="000C5CFF" w:rsidP="007B4621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0C5CFF" w:rsidRPr="00BE2255" w:rsidSect="006260F3">
      <w:headerReference w:type="default" r:id="rId8"/>
      <w:pgSz w:w="11906" w:h="16838"/>
      <w:pgMar w:top="851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3F593" w14:textId="77777777" w:rsidR="00AC6E56" w:rsidRDefault="00AC6E56" w:rsidP="008868F3">
      <w:pPr>
        <w:spacing w:after="0" w:line="240" w:lineRule="auto"/>
      </w:pPr>
      <w:r>
        <w:separator/>
      </w:r>
    </w:p>
  </w:endnote>
  <w:endnote w:type="continuationSeparator" w:id="0">
    <w:p w14:paraId="788C4905" w14:textId="77777777" w:rsidR="00AC6E56" w:rsidRDefault="00AC6E56" w:rsidP="0088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872BD" w14:textId="77777777" w:rsidR="00AC6E56" w:rsidRDefault="00AC6E56" w:rsidP="008868F3">
      <w:pPr>
        <w:spacing w:after="0" w:line="240" w:lineRule="auto"/>
      </w:pPr>
      <w:r>
        <w:separator/>
      </w:r>
    </w:p>
  </w:footnote>
  <w:footnote w:type="continuationSeparator" w:id="0">
    <w:p w14:paraId="728620D4" w14:textId="77777777" w:rsidR="00AC6E56" w:rsidRDefault="00AC6E56" w:rsidP="00886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51590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90F3498" w14:textId="28A47F94" w:rsidR="008868F3" w:rsidRPr="008868F3" w:rsidRDefault="008868F3">
        <w:pPr>
          <w:pStyle w:val="aa"/>
          <w:jc w:val="center"/>
          <w:rPr>
            <w:rFonts w:ascii="Times New Roman" w:hAnsi="Times New Roman" w:cs="Times New Roman"/>
          </w:rPr>
        </w:pPr>
        <w:r w:rsidRPr="008868F3">
          <w:rPr>
            <w:rFonts w:ascii="Times New Roman" w:hAnsi="Times New Roman" w:cs="Times New Roman"/>
          </w:rPr>
          <w:fldChar w:fldCharType="begin"/>
        </w:r>
        <w:r w:rsidRPr="008868F3">
          <w:rPr>
            <w:rFonts w:ascii="Times New Roman" w:hAnsi="Times New Roman" w:cs="Times New Roman"/>
          </w:rPr>
          <w:instrText>PAGE   \* MERGEFORMAT</w:instrText>
        </w:r>
        <w:r w:rsidRPr="008868F3">
          <w:rPr>
            <w:rFonts w:ascii="Times New Roman" w:hAnsi="Times New Roman" w:cs="Times New Roman"/>
          </w:rPr>
          <w:fldChar w:fldCharType="separate"/>
        </w:r>
        <w:r w:rsidR="004A6E4E" w:rsidRPr="004A6E4E">
          <w:rPr>
            <w:rFonts w:ascii="Times New Roman" w:hAnsi="Times New Roman" w:cs="Times New Roman"/>
            <w:noProof/>
            <w:lang w:val="uk-UA"/>
          </w:rPr>
          <w:t>4</w:t>
        </w:r>
        <w:r w:rsidRPr="008868F3">
          <w:rPr>
            <w:rFonts w:ascii="Times New Roman" w:hAnsi="Times New Roman" w:cs="Times New Roman"/>
          </w:rPr>
          <w:fldChar w:fldCharType="end"/>
        </w:r>
      </w:p>
    </w:sdtContent>
  </w:sdt>
  <w:p w14:paraId="78BE5EBD" w14:textId="77777777" w:rsidR="008868F3" w:rsidRDefault="008868F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1383E"/>
    <w:multiLevelType w:val="hybridMultilevel"/>
    <w:tmpl w:val="90F6AD76"/>
    <w:lvl w:ilvl="0" w:tplc="A4E451F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0AC1A58"/>
    <w:multiLevelType w:val="multilevel"/>
    <w:tmpl w:val="A6DA8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751A85"/>
    <w:multiLevelType w:val="hybridMultilevel"/>
    <w:tmpl w:val="21228DE6"/>
    <w:lvl w:ilvl="0" w:tplc="8E14216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FA73E0"/>
    <w:multiLevelType w:val="hybridMultilevel"/>
    <w:tmpl w:val="3E3AB80C"/>
    <w:lvl w:ilvl="0" w:tplc="3F2A83B6">
      <w:start w:val="1"/>
      <w:numFmt w:val="decimal"/>
      <w:lvlText w:val="%1)"/>
      <w:lvlJc w:val="left"/>
      <w:pPr>
        <w:ind w:left="1211" w:hanging="360"/>
      </w:p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>
      <w:start w:val="1"/>
      <w:numFmt w:val="lowerRoman"/>
      <w:lvlText w:val="%3."/>
      <w:lvlJc w:val="right"/>
      <w:pPr>
        <w:ind w:left="2651" w:hanging="180"/>
      </w:pPr>
    </w:lvl>
    <w:lvl w:ilvl="3" w:tplc="0422000F">
      <w:start w:val="1"/>
      <w:numFmt w:val="decimal"/>
      <w:lvlText w:val="%4."/>
      <w:lvlJc w:val="left"/>
      <w:pPr>
        <w:ind w:left="3371" w:hanging="360"/>
      </w:pPr>
    </w:lvl>
    <w:lvl w:ilvl="4" w:tplc="04220019">
      <w:start w:val="1"/>
      <w:numFmt w:val="lowerLetter"/>
      <w:lvlText w:val="%5."/>
      <w:lvlJc w:val="left"/>
      <w:pPr>
        <w:ind w:left="4091" w:hanging="360"/>
      </w:pPr>
    </w:lvl>
    <w:lvl w:ilvl="5" w:tplc="0422001B">
      <w:start w:val="1"/>
      <w:numFmt w:val="lowerRoman"/>
      <w:lvlText w:val="%6."/>
      <w:lvlJc w:val="right"/>
      <w:pPr>
        <w:ind w:left="4811" w:hanging="180"/>
      </w:pPr>
    </w:lvl>
    <w:lvl w:ilvl="6" w:tplc="0422000F">
      <w:start w:val="1"/>
      <w:numFmt w:val="decimal"/>
      <w:lvlText w:val="%7."/>
      <w:lvlJc w:val="left"/>
      <w:pPr>
        <w:ind w:left="5531" w:hanging="360"/>
      </w:pPr>
    </w:lvl>
    <w:lvl w:ilvl="7" w:tplc="04220019">
      <w:start w:val="1"/>
      <w:numFmt w:val="lowerLetter"/>
      <w:lvlText w:val="%8."/>
      <w:lvlJc w:val="left"/>
      <w:pPr>
        <w:ind w:left="6251" w:hanging="360"/>
      </w:pPr>
    </w:lvl>
    <w:lvl w:ilvl="8" w:tplc="0422001B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0CA5021"/>
    <w:multiLevelType w:val="multilevel"/>
    <w:tmpl w:val="9D6E0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410D22"/>
    <w:multiLevelType w:val="hybridMultilevel"/>
    <w:tmpl w:val="79E4C3D8"/>
    <w:lvl w:ilvl="0" w:tplc="35C88EF2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8D34DE3"/>
    <w:multiLevelType w:val="multilevel"/>
    <w:tmpl w:val="73364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E47DA4"/>
    <w:multiLevelType w:val="multilevel"/>
    <w:tmpl w:val="AEBE1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CD1D45"/>
    <w:multiLevelType w:val="multilevel"/>
    <w:tmpl w:val="19203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2F6"/>
    <w:rsid w:val="00001BE5"/>
    <w:rsid w:val="000023F9"/>
    <w:rsid w:val="00005BA3"/>
    <w:rsid w:val="000160B1"/>
    <w:rsid w:val="00044119"/>
    <w:rsid w:val="0004460E"/>
    <w:rsid w:val="00050486"/>
    <w:rsid w:val="0005233B"/>
    <w:rsid w:val="00062BAF"/>
    <w:rsid w:val="000A270A"/>
    <w:rsid w:val="000A7181"/>
    <w:rsid w:val="000C4C63"/>
    <w:rsid w:val="000C5CFF"/>
    <w:rsid w:val="000D02A6"/>
    <w:rsid w:val="000D5268"/>
    <w:rsid w:val="000D7180"/>
    <w:rsid w:val="000E35BD"/>
    <w:rsid w:val="00111927"/>
    <w:rsid w:val="00131894"/>
    <w:rsid w:val="001323F0"/>
    <w:rsid w:val="001601D7"/>
    <w:rsid w:val="0016160A"/>
    <w:rsid w:val="00164C74"/>
    <w:rsid w:val="00185D59"/>
    <w:rsid w:val="001928FB"/>
    <w:rsid w:val="001957DA"/>
    <w:rsid w:val="001B2AF9"/>
    <w:rsid w:val="001E298C"/>
    <w:rsid w:val="001E3663"/>
    <w:rsid w:val="00210702"/>
    <w:rsid w:val="00212920"/>
    <w:rsid w:val="00212CFE"/>
    <w:rsid w:val="00220EB4"/>
    <w:rsid w:val="002409EB"/>
    <w:rsid w:val="00244AE8"/>
    <w:rsid w:val="00250062"/>
    <w:rsid w:val="00255B31"/>
    <w:rsid w:val="00272453"/>
    <w:rsid w:val="002877D3"/>
    <w:rsid w:val="00287BE5"/>
    <w:rsid w:val="00290053"/>
    <w:rsid w:val="00297104"/>
    <w:rsid w:val="002A03E3"/>
    <w:rsid w:val="002A2077"/>
    <w:rsid w:val="002A5A1A"/>
    <w:rsid w:val="002B329B"/>
    <w:rsid w:val="002B6244"/>
    <w:rsid w:val="002C566B"/>
    <w:rsid w:val="002F41A2"/>
    <w:rsid w:val="003108A9"/>
    <w:rsid w:val="0032341E"/>
    <w:rsid w:val="00337E7F"/>
    <w:rsid w:val="00341899"/>
    <w:rsid w:val="003478AE"/>
    <w:rsid w:val="00351050"/>
    <w:rsid w:val="003903D4"/>
    <w:rsid w:val="00392CAA"/>
    <w:rsid w:val="003B2A53"/>
    <w:rsid w:val="003D2032"/>
    <w:rsid w:val="003D6CE9"/>
    <w:rsid w:val="003E6C88"/>
    <w:rsid w:val="00412487"/>
    <w:rsid w:val="00417CB2"/>
    <w:rsid w:val="00440EE6"/>
    <w:rsid w:val="004604C7"/>
    <w:rsid w:val="00474FA5"/>
    <w:rsid w:val="00480959"/>
    <w:rsid w:val="004844C1"/>
    <w:rsid w:val="0048622E"/>
    <w:rsid w:val="00495E3D"/>
    <w:rsid w:val="004A0C93"/>
    <w:rsid w:val="004A6E4E"/>
    <w:rsid w:val="004E360A"/>
    <w:rsid w:val="00551DFE"/>
    <w:rsid w:val="005562A9"/>
    <w:rsid w:val="00556967"/>
    <w:rsid w:val="00576D35"/>
    <w:rsid w:val="0059505B"/>
    <w:rsid w:val="005A2268"/>
    <w:rsid w:val="005A4FC2"/>
    <w:rsid w:val="005C1A47"/>
    <w:rsid w:val="005E04A4"/>
    <w:rsid w:val="005E0641"/>
    <w:rsid w:val="005E52F6"/>
    <w:rsid w:val="005F2DB0"/>
    <w:rsid w:val="006260F3"/>
    <w:rsid w:val="00643148"/>
    <w:rsid w:val="00652EBF"/>
    <w:rsid w:val="006576C6"/>
    <w:rsid w:val="00662982"/>
    <w:rsid w:val="00670EE4"/>
    <w:rsid w:val="00674CDB"/>
    <w:rsid w:val="00676346"/>
    <w:rsid w:val="006931E4"/>
    <w:rsid w:val="006B00CC"/>
    <w:rsid w:val="006C578A"/>
    <w:rsid w:val="006D0023"/>
    <w:rsid w:val="006D332B"/>
    <w:rsid w:val="006E44EA"/>
    <w:rsid w:val="006E6876"/>
    <w:rsid w:val="006F7D79"/>
    <w:rsid w:val="007061EF"/>
    <w:rsid w:val="00725C1C"/>
    <w:rsid w:val="007459E8"/>
    <w:rsid w:val="00745A8D"/>
    <w:rsid w:val="007817E1"/>
    <w:rsid w:val="0079747D"/>
    <w:rsid w:val="007979CC"/>
    <w:rsid w:val="007A309D"/>
    <w:rsid w:val="007B4621"/>
    <w:rsid w:val="007C4895"/>
    <w:rsid w:val="007E47DA"/>
    <w:rsid w:val="007E6469"/>
    <w:rsid w:val="008163BB"/>
    <w:rsid w:val="00833282"/>
    <w:rsid w:val="00833F30"/>
    <w:rsid w:val="00857756"/>
    <w:rsid w:val="008617D0"/>
    <w:rsid w:val="008627B9"/>
    <w:rsid w:val="008766C9"/>
    <w:rsid w:val="008868F3"/>
    <w:rsid w:val="00897D67"/>
    <w:rsid w:val="008C0FB4"/>
    <w:rsid w:val="008D2FDA"/>
    <w:rsid w:val="008E009E"/>
    <w:rsid w:val="008E3854"/>
    <w:rsid w:val="008E43AF"/>
    <w:rsid w:val="008F4529"/>
    <w:rsid w:val="00913219"/>
    <w:rsid w:val="00926182"/>
    <w:rsid w:val="00930D34"/>
    <w:rsid w:val="00934417"/>
    <w:rsid w:val="00941729"/>
    <w:rsid w:val="009561B1"/>
    <w:rsid w:val="00967B1C"/>
    <w:rsid w:val="009A6BAF"/>
    <w:rsid w:val="009B6E24"/>
    <w:rsid w:val="009C32F6"/>
    <w:rsid w:val="009C3DA7"/>
    <w:rsid w:val="009C6837"/>
    <w:rsid w:val="009D3FD2"/>
    <w:rsid w:val="009D646F"/>
    <w:rsid w:val="009F2C7F"/>
    <w:rsid w:val="00A14E43"/>
    <w:rsid w:val="00A21DB9"/>
    <w:rsid w:val="00A24D2A"/>
    <w:rsid w:val="00A25175"/>
    <w:rsid w:val="00A31B50"/>
    <w:rsid w:val="00A63FD8"/>
    <w:rsid w:val="00A903C4"/>
    <w:rsid w:val="00A914B6"/>
    <w:rsid w:val="00A9635B"/>
    <w:rsid w:val="00A97AE8"/>
    <w:rsid w:val="00AA01F0"/>
    <w:rsid w:val="00AA7B0D"/>
    <w:rsid w:val="00AB36AF"/>
    <w:rsid w:val="00AC2996"/>
    <w:rsid w:val="00AC6E56"/>
    <w:rsid w:val="00AE1EC3"/>
    <w:rsid w:val="00AE2269"/>
    <w:rsid w:val="00AE4C68"/>
    <w:rsid w:val="00AE7EC4"/>
    <w:rsid w:val="00AF3FB8"/>
    <w:rsid w:val="00B00F39"/>
    <w:rsid w:val="00B03C3A"/>
    <w:rsid w:val="00B114D5"/>
    <w:rsid w:val="00B21CB6"/>
    <w:rsid w:val="00B21D15"/>
    <w:rsid w:val="00B23C09"/>
    <w:rsid w:val="00B43381"/>
    <w:rsid w:val="00B440EC"/>
    <w:rsid w:val="00B470D7"/>
    <w:rsid w:val="00B55A76"/>
    <w:rsid w:val="00B734CE"/>
    <w:rsid w:val="00B744FC"/>
    <w:rsid w:val="00B83B9A"/>
    <w:rsid w:val="00B851DD"/>
    <w:rsid w:val="00B9184E"/>
    <w:rsid w:val="00BA0D9D"/>
    <w:rsid w:val="00BA48D5"/>
    <w:rsid w:val="00BB77F1"/>
    <w:rsid w:val="00BC1F8B"/>
    <w:rsid w:val="00BE2255"/>
    <w:rsid w:val="00BE4F8A"/>
    <w:rsid w:val="00BE56E1"/>
    <w:rsid w:val="00BE7900"/>
    <w:rsid w:val="00BF41EF"/>
    <w:rsid w:val="00BF440D"/>
    <w:rsid w:val="00BF5599"/>
    <w:rsid w:val="00BF60A5"/>
    <w:rsid w:val="00C361A9"/>
    <w:rsid w:val="00C65806"/>
    <w:rsid w:val="00C81B6F"/>
    <w:rsid w:val="00C9137A"/>
    <w:rsid w:val="00C96626"/>
    <w:rsid w:val="00CB144A"/>
    <w:rsid w:val="00CC0435"/>
    <w:rsid w:val="00CE0F1E"/>
    <w:rsid w:val="00D013F1"/>
    <w:rsid w:val="00D0519B"/>
    <w:rsid w:val="00D33ADE"/>
    <w:rsid w:val="00D50C3F"/>
    <w:rsid w:val="00D50DBB"/>
    <w:rsid w:val="00D63043"/>
    <w:rsid w:val="00D91D0A"/>
    <w:rsid w:val="00DA2DE2"/>
    <w:rsid w:val="00DB3268"/>
    <w:rsid w:val="00DE6C90"/>
    <w:rsid w:val="00DF5280"/>
    <w:rsid w:val="00E0047F"/>
    <w:rsid w:val="00E01A2A"/>
    <w:rsid w:val="00E31F23"/>
    <w:rsid w:val="00E3779F"/>
    <w:rsid w:val="00E656B6"/>
    <w:rsid w:val="00E82589"/>
    <w:rsid w:val="00E91685"/>
    <w:rsid w:val="00E9266D"/>
    <w:rsid w:val="00EC1855"/>
    <w:rsid w:val="00EF4A1F"/>
    <w:rsid w:val="00F34007"/>
    <w:rsid w:val="00F3473E"/>
    <w:rsid w:val="00F34A13"/>
    <w:rsid w:val="00F36A42"/>
    <w:rsid w:val="00F40E9D"/>
    <w:rsid w:val="00F54025"/>
    <w:rsid w:val="00F64B08"/>
    <w:rsid w:val="00F66F90"/>
    <w:rsid w:val="00F758E0"/>
    <w:rsid w:val="00F90BB2"/>
    <w:rsid w:val="00F9443C"/>
    <w:rsid w:val="00F97512"/>
    <w:rsid w:val="00FB2D8E"/>
    <w:rsid w:val="00FB2F6D"/>
    <w:rsid w:val="00FC3B34"/>
    <w:rsid w:val="00FE3D17"/>
    <w:rsid w:val="00FF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6AD158"/>
  <w15:chartTrackingRefBased/>
  <w15:docId w15:val="{C4B1DB49-0306-4CD0-8098-7EA8158DE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1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0F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5E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95E3D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B470D7"/>
    <w:rPr>
      <w:color w:val="0563C1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B470D7"/>
    <w:rPr>
      <w:color w:val="605E5C"/>
      <w:shd w:val="clear" w:color="auto" w:fill="E1DFDD"/>
    </w:rPr>
  </w:style>
  <w:style w:type="paragraph" w:styleId="a8">
    <w:name w:val="Normal (Web)"/>
    <w:basedOn w:val="a"/>
    <w:uiPriority w:val="99"/>
    <w:semiHidden/>
    <w:unhideWhenUsed/>
    <w:rsid w:val="00185D59"/>
    <w:rPr>
      <w:rFonts w:ascii="Times New Roman" w:hAnsi="Times New Roman" w:cs="Times New Roman"/>
      <w:sz w:val="24"/>
      <w:szCs w:val="24"/>
    </w:rPr>
  </w:style>
  <w:style w:type="paragraph" w:styleId="a9">
    <w:name w:val="Revision"/>
    <w:hidden/>
    <w:uiPriority w:val="99"/>
    <w:semiHidden/>
    <w:rsid w:val="008617D0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8868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868F3"/>
  </w:style>
  <w:style w:type="paragraph" w:styleId="ac">
    <w:name w:val="footer"/>
    <w:basedOn w:val="a"/>
    <w:link w:val="ad"/>
    <w:uiPriority w:val="99"/>
    <w:unhideWhenUsed/>
    <w:rsid w:val="008868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8868F3"/>
  </w:style>
  <w:style w:type="character" w:styleId="ae">
    <w:name w:val="Strong"/>
    <w:basedOn w:val="a0"/>
    <w:uiPriority w:val="22"/>
    <w:qFormat/>
    <w:rsid w:val="004A0C93"/>
    <w:rPr>
      <w:b/>
      <w:bCs/>
    </w:rPr>
  </w:style>
  <w:style w:type="paragraph" w:styleId="af">
    <w:name w:val="Title"/>
    <w:basedOn w:val="a"/>
    <w:next w:val="a"/>
    <w:link w:val="af0"/>
    <w:uiPriority w:val="10"/>
    <w:qFormat/>
    <w:rsid w:val="00E01A2A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  <w:lang w:val="uk-UA" w:eastAsia="uk-UA"/>
    </w:rPr>
  </w:style>
  <w:style w:type="character" w:customStyle="1" w:styleId="af0">
    <w:name w:val="Назва Знак"/>
    <w:basedOn w:val="a0"/>
    <w:link w:val="af"/>
    <w:uiPriority w:val="10"/>
    <w:rsid w:val="00E01A2A"/>
    <w:rPr>
      <w:rFonts w:ascii="Calibri" w:eastAsia="Calibri" w:hAnsi="Calibri" w:cs="Calibri"/>
      <w:b/>
      <w:sz w:val="72"/>
      <w:szCs w:val="72"/>
      <w:lang w:val="uk-UA" w:eastAsia="uk-UA"/>
    </w:rPr>
  </w:style>
  <w:style w:type="character" w:customStyle="1" w:styleId="overflow-hidden">
    <w:name w:val="overflow-hidden"/>
    <w:basedOn w:val="a0"/>
    <w:rsid w:val="008E009E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E009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uk-UA"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8E009E"/>
    <w:rPr>
      <w:rFonts w:ascii="Arial" w:eastAsia="Times New Roman" w:hAnsi="Arial" w:cs="Arial"/>
      <w:vanish/>
      <w:sz w:val="16"/>
      <w:szCs w:val="16"/>
      <w:lang w:val="uk-UA"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E009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uk-UA" w:eastAsia="uk-UA"/>
    </w:rPr>
  </w:style>
  <w:style w:type="character" w:customStyle="1" w:styleId="z-2">
    <w:name w:val="z-Кінець форми Знак"/>
    <w:basedOn w:val="a0"/>
    <w:link w:val="z-1"/>
    <w:uiPriority w:val="99"/>
    <w:semiHidden/>
    <w:rsid w:val="008E009E"/>
    <w:rPr>
      <w:rFonts w:ascii="Arial" w:eastAsia="Times New Roman" w:hAnsi="Arial" w:cs="Arial"/>
      <w:vanish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4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8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8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8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192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9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8144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74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7438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70204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6346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1485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34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30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92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5C808-A5E5-4404-AE27-E5EC053D2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10</Pages>
  <Words>13055</Words>
  <Characters>7442</Characters>
  <Application>Microsoft Office Word</Application>
  <DocSecurity>0</DocSecurity>
  <Lines>62</Lines>
  <Paragraphs>40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Огороднік</dc:creator>
  <cp:keywords/>
  <dc:description/>
  <cp:lastModifiedBy>Катерина Тичко</cp:lastModifiedBy>
  <cp:revision>35</cp:revision>
  <cp:lastPrinted>2023-12-26T12:04:00Z</cp:lastPrinted>
  <dcterms:created xsi:type="dcterms:W3CDTF">2025-04-21T07:19:00Z</dcterms:created>
  <dcterms:modified xsi:type="dcterms:W3CDTF">2025-04-25T09:16:00Z</dcterms:modified>
</cp:coreProperties>
</file>