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A9CFDC" w14:textId="77777777" w:rsidR="00447909" w:rsidRPr="009C1FF7" w:rsidRDefault="00447909" w:rsidP="009C1FF7">
      <w:pPr>
        <w:tabs>
          <w:tab w:val="left" w:pos="709"/>
        </w:tabs>
        <w:jc w:val="center"/>
        <w:rPr>
          <w:b/>
          <w:bCs/>
          <w:sz w:val="26"/>
          <w:szCs w:val="26"/>
          <w:lang w:val="uk-UA"/>
        </w:rPr>
      </w:pPr>
      <w:r w:rsidRPr="009C1FF7">
        <w:rPr>
          <w:b/>
          <w:bCs/>
          <w:sz w:val="26"/>
          <w:szCs w:val="26"/>
          <w:lang w:val="uk-UA"/>
        </w:rPr>
        <w:t>АНАЛІЗ ВПЛИВУ</w:t>
      </w:r>
    </w:p>
    <w:p w14:paraId="5297D495" w14:textId="77777777" w:rsidR="00234CD6" w:rsidRPr="00234CD6" w:rsidRDefault="00234CD6" w:rsidP="009C1FF7">
      <w:pPr>
        <w:widowControl w:val="0"/>
        <w:jc w:val="center"/>
        <w:rPr>
          <w:b/>
          <w:bCs/>
          <w:sz w:val="26"/>
          <w:szCs w:val="26"/>
          <w:lang w:val="uk-UA" w:eastAsia="uk-UA"/>
        </w:rPr>
      </w:pPr>
      <w:r w:rsidRPr="00234CD6">
        <w:rPr>
          <w:b/>
          <w:sz w:val="26"/>
          <w:szCs w:val="26"/>
          <w:lang w:val="uk-UA" w:eastAsia="uk-UA"/>
        </w:rPr>
        <w:t xml:space="preserve">проєкту постанови </w:t>
      </w:r>
      <w:r w:rsidRPr="00234CD6">
        <w:rPr>
          <w:b/>
          <w:bCs/>
          <w:sz w:val="26"/>
          <w:szCs w:val="26"/>
          <w:lang w:val="uk-UA" w:eastAsia="uk-UA"/>
        </w:rPr>
        <w:t>Національної комісії, що</w:t>
      </w:r>
    </w:p>
    <w:p w14:paraId="25C331AC" w14:textId="77777777" w:rsidR="00234CD6" w:rsidRPr="00234CD6" w:rsidRDefault="00234CD6" w:rsidP="009C1FF7">
      <w:pPr>
        <w:jc w:val="center"/>
        <w:rPr>
          <w:b/>
          <w:bCs/>
          <w:sz w:val="26"/>
          <w:szCs w:val="26"/>
          <w:lang w:val="uk-UA" w:eastAsia="uk-UA"/>
        </w:rPr>
      </w:pPr>
      <w:r w:rsidRPr="00234CD6">
        <w:rPr>
          <w:b/>
          <w:bCs/>
          <w:sz w:val="26"/>
          <w:szCs w:val="26"/>
          <w:lang w:val="uk-UA" w:eastAsia="uk-UA"/>
        </w:rPr>
        <w:t xml:space="preserve">здійснює державне регулювання у сферах енергетики та комунальних послуг, </w:t>
      </w:r>
    </w:p>
    <w:p w14:paraId="4C554948" w14:textId="77777777" w:rsidR="00234CD6" w:rsidRPr="004058AD" w:rsidRDefault="00234CD6" w:rsidP="009C1FF7">
      <w:pPr>
        <w:jc w:val="center"/>
        <w:rPr>
          <w:b/>
          <w:bCs/>
          <w:sz w:val="26"/>
          <w:szCs w:val="26"/>
          <w:lang w:val="uk-UA" w:eastAsia="uk-UA"/>
        </w:rPr>
      </w:pPr>
      <w:r w:rsidRPr="004058AD">
        <w:rPr>
          <w:b/>
          <w:bCs/>
          <w:sz w:val="26"/>
          <w:szCs w:val="26"/>
          <w:lang w:val="uk-UA" w:eastAsia="uk-UA"/>
        </w:rPr>
        <w:t>«</w:t>
      </w:r>
      <w:r w:rsidR="004058AD" w:rsidRPr="004058AD">
        <w:rPr>
          <w:b/>
          <w:bCs/>
          <w:sz w:val="26"/>
          <w:szCs w:val="26"/>
          <w:lang w:val="uk-UA" w:eastAsia="uk-UA"/>
        </w:rPr>
        <w:t>Про затвердження Змін до  деяких постанов Національної комісії, що здійснює державне регулювання у сферах енергетики та комунальних послуг</w:t>
      </w:r>
      <w:r w:rsidRPr="004058AD">
        <w:rPr>
          <w:b/>
          <w:bCs/>
          <w:sz w:val="26"/>
          <w:szCs w:val="26"/>
          <w:lang w:val="uk-UA" w:eastAsia="uk-UA"/>
        </w:rPr>
        <w:t>»</w:t>
      </w:r>
    </w:p>
    <w:p w14:paraId="7EE93907" w14:textId="77777777" w:rsidR="0018292F" w:rsidRPr="004058AD" w:rsidRDefault="0018292F" w:rsidP="004058AD">
      <w:pPr>
        <w:jc w:val="center"/>
        <w:rPr>
          <w:b/>
          <w:bCs/>
          <w:sz w:val="26"/>
          <w:szCs w:val="26"/>
          <w:lang w:val="uk-UA" w:eastAsia="uk-UA"/>
        </w:rPr>
      </w:pPr>
    </w:p>
    <w:p w14:paraId="543DB4A2" w14:textId="77777777" w:rsidR="00447909" w:rsidRPr="009C1FF7" w:rsidRDefault="00F03495" w:rsidP="009C1FF7">
      <w:pPr>
        <w:jc w:val="center"/>
        <w:rPr>
          <w:b/>
          <w:sz w:val="26"/>
          <w:szCs w:val="26"/>
          <w:lang w:val="uk-UA"/>
        </w:rPr>
      </w:pPr>
      <w:r w:rsidRPr="009C1FF7">
        <w:rPr>
          <w:b/>
          <w:sz w:val="26"/>
          <w:szCs w:val="26"/>
          <w:lang w:val="uk-UA"/>
        </w:rPr>
        <w:t>І. Визначення проблеми</w:t>
      </w:r>
    </w:p>
    <w:p w14:paraId="5E4784B0" w14:textId="77777777" w:rsidR="00F03495" w:rsidRPr="009C1FF7" w:rsidRDefault="00F03495" w:rsidP="009C1FF7">
      <w:pPr>
        <w:ind w:firstLine="709"/>
        <w:jc w:val="both"/>
        <w:rPr>
          <w:sz w:val="26"/>
          <w:szCs w:val="26"/>
          <w:lang w:val="uk-UA"/>
        </w:rPr>
      </w:pPr>
    </w:p>
    <w:p w14:paraId="78BA4BF8" w14:textId="69F4EA71" w:rsidR="008640C2" w:rsidRPr="009C1FF7" w:rsidRDefault="008640C2" w:rsidP="009C1FF7">
      <w:pPr>
        <w:ind w:firstLine="709"/>
        <w:jc w:val="both"/>
        <w:rPr>
          <w:sz w:val="26"/>
          <w:szCs w:val="26"/>
          <w:lang w:val="uk-UA"/>
        </w:rPr>
      </w:pPr>
      <w:r w:rsidRPr="009C1FF7">
        <w:rPr>
          <w:sz w:val="26"/>
          <w:szCs w:val="26"/>
          <w:lang w:val="uk-UA"/>
        </w:rPr>
        <w:t xml:space="preserve">Згідно </w:t>
      </w:r>
      <w:r w:rsidR="00434CA5" w:rsidRPr="009C1FF7">
        <w:rPr>
          <w:sz w:val="26"/>
          <w:szCs w:val="26"/>
          <w:lang w:val="uk-UA"/>
        </w:rPr>
        <w:t>і</w:t>
      </w:r>
      <w:r w:rsidRPr="009C1FF7">
        <w:rPr>
          <w:sz w:val="26"/>
          <w:szCs w:val="26"/>
          <w:lang w:val="uk-UA"/>
        </w:rPr>
        <w:t>з законами України «Про Національну комісію, що здійснює державне регулювання у сферах енергетики та комунальних послу</w:t>
      </w:r>
      <w:r w:rsidR="008319C6" w:rsidRPr="009C1FF7">
        <w:rPr>
          <w:sz w:val="26"/>
          <w:szCs w:val="26"/>
          <w:lang w:val="uk-UA"/>
        </w:rPr>
        <w:t>г</w:t>
      </w:r>
      <w:r w:rsidRPr="009C1FF7">
        <w:rPr>
          <w:sz w:val="26"/>
          <w:szCs w:val="26"/>
          <w:lang w:val="uk-UA"/>
        </w:rPr>
        <w:t xml:space="preserve">», «Про ринок електричної </w:t>
      </w:r>
      <w:proofErr w:type="spellStart"/>
      <w:r w:rsidRPr="009C1FF7">
        <w:rPr>
          <w:sz w:val="26"/>
          <w:szCs w:val="26"/>
          <w:lang w:val="uk-UA"/>
        </w:rPr>
        <w:t>енергії»</w:t>
      </w:r>
      <w:proofErr w:type="spellEnd"/>
      <w:r w:rsidRPr="009C1FF7">
        <w:rPr>
          <w:sz w:val="26"/>
          <w:szCs w:val="26"/>
          <w:lang w:val="uk-UA"/>
        </w:rPr>
        <w:t xml:space="preserve"> Національна комісія, що здійснює державне регулювання у сферах енергетики та комунальних послу</w:t>
      </w:r>
      <w:r w:rsidR="008319C6" w:rsidRPr="009C1FF7">
        <w:rPr>
          <w:sz w:val="26"/>
          <w:szCs w:val="26"/>
          <w:lang w:val="uk-UA"/>
        </w:rPr>
        <w:t>г</w:t>
      </w:r>
      <w:r w:rsidRPr="009C1FF7">
        <w:rPr>
          <w:sz w:val="26"/>
          <w:szCs w:val="26"/>
          <w:lang w:val="uk-UA"/>
        </w:rPr>
        <w:t xml:space="preserve"> (далі – НКРЕКП, Регулятор), здійснює державне регулювання ринку електричної енергії.</w:t>
      </w:r>
    </w:p>
    <w:p w14:paraId="1E0168D9" w14:textId="1FAF9364" w:rsidR="0039514E" w:rsidRPr="00E47A2E" w:rsidRDefault="00176290" w:rsidP="009C1FF7">
      <w:pPr>
        <w:ind w:firstLine="709"/>
        <w:jc w:val="both"/>
        <w:rPr>
          <w:sz w:val="26"/>
          <w:szCs w:val="26"/>
          <w:lang w:val="uk-UA"/>
        </w:rPr>
      </w:pPr>
      <w:r w:rsidRPr="009C1FF7">
        <w:rPr>
          <w:sz w:val="26"/>
          <w:szCs w:val="26"/>
          <w:lang w:val="uk-UA"/>
        </w:rPr>
        <w:t>Відповідно до положень статей 2</w:t>
      </w:r>
      <w:r w:rsidR="00D24640">
        <w:rPr>
          <w:sz w:val="26"/>
          <w:szCs w:val="26"/>
          <w:lang w:val="uk-UA"/>
        </w:rPr>
        <w:t>,</w:t>
      </w:r>
      <w:r w:rsidRPr="009C1FF7">
        <w:rPr>
          <w:sz w:val="26"/>
          <w:szCs w:val="26"/>
          <w:lang w:val="uk-UA"/>
        </w:rPr>
        <w:t xml:space="preserve"> 6</w:t>
      </w:r>
      <w:r w:rsidR="00D24640">
        <w:rPr>
          <w:sz w:val="26"/>
          <w:szCs w:val="26"/>
          <w:lang w:val="uk-UA"/>
        </w:rPr>
        <w:t xml:space="preserve"> та 58</w:t>
      </w:r>
      <w:r w:rsidR="00D24640" w:rsidRPr="00F47BC9">
        <w:rPr>
          <w:sz w:val="26"/>
          <w:szCs w:val="26"/>
          <w:vertAlign w:val="superscript"/>
          <w:lang w:val="uk-UA"/>
        </w:rPr>
        <w:t>1</w:t>
      </w:r>
      <w:r w:rsidRPr="009C1FF7">
        <w:rPr>
          <w:sz w:val="26"/>
          <w:szCs w:val="26"/>
          <w:lang w:val="uk-UA"/>
        </w:rPr>
        <w:t xml:space="preserve"> Закону України «Про ринок електричної енергії» до повноважень Регулятора на ринку електричної енергії н</w:t>
      </w:r>
      <w:r w:rsidR="00A55F47" w:rsidRPr="009C1FF7">
        <w:rPr>
          <w:sz w:val="26"/>
          <w:szCs w:val="26"/>
          <w:lang w:val="uk-UA"/>
        </w:rPr>
        <w:t>алежить, зокрема, затвердження П</w:t>
      </w:r>
      <w:r w:rsidRPr="009C1FF7">
        <w:rPr>
          <w:sz w:val="26"/>
          <w:szCs w:val="26"/>
          <w:lang w:val="uk-UA"/>
        </w:rPr>
        <w:t xml:space="preserve">равил роздрібного ринку, </w:t>
      </w:r>
      <w:r w:rsidR="00456940">
        <w:rPr>
          <w:sz w:val="26"/>
          <w:szCs w:val="26"/>
          <w:lang w:val="uk-UA"/>
        </w:rPr>
        <w:t xml:space="preserve">та </w:t>
      </w:r>
      <w:r w:rsidR="0039514E" w:rsidRPr="006F5D57">
        <w:rPr>
          <w:sz w:val="26"/>
          <w:szCs w:val="26"/>
          <w:lang w:val="uk-UA"/>
        </w:rPr>
        <w:t>Порядк</w:t>
      </w:r>
      <w:r w:rsidR="00906AF2">
        <w:rPr>
          <w:sz w:val="26"/>
          <w:szCs w:val="26"/>
          <w:lang w:val="uk-UA"/>
        </w:rPr>
        <w:t>у</w:t>
      </w:r>
      <w:r w:rsidR="0039514E" w:rsidRPr="006F5D57">
        <w:rPr>
          <w:sz w:val="26"/>
          <w:szCs w:val="26"/>
          <w:lang w:val="uk-UA"/>
        </w:rPr>
        <w:t xml:space="preserve"> продажу та обліку електричної енергії, виробленої активними споживачами, та розрахунків за неї</w:t>
      </w:r>
      <w:r w:rsidR="00456940">
        <w:rPr>
          <w:sz w:val="26"/>
          <w:szCs w:val="26"/>
          <w:lang w:val="uk-UA"/>
        </w:rPr>
        <w:t xml:space="preserve">, норми </w:t>
      </w:r>
      <w:r w:rsidR="00456940" w:rsidRPr="009C1FF7">
        <w:rPr>
          <w:sz w:val="26"/>
          <w:szCs w:val="26"/>
          <w:lang w:val="uk-UA"/>
        </w:rPr>
        <w:t>як</w:t>
      </w:r>
      <w:r w:rsidR="00456940">
        <w:rPr>
          <w:sz w:val="26"/>
          <w:szCs w:val="26"/>
          <w:lang w:val="uk-UA"/>
        </w:rPr>
        <w:t>их</w:t>
      </w:r>
      <w:r w:rsidR="00456940" w:rsidRPr="009C1FF7">
        <w:rPr>
          <w:sz w:val="26"/>
          <w:szCs w:val="26"/>
          <w:lang w:val="uk-UA"/>
        </w:rPr>
        <w:t xml:space="preserve"> передбача</w:t>
      </w:r>
      <w:r w:rsidR="00276E62">
        <w:rPr>
          <w:sz w:val="26"/>
          <w:szCs w:val="26"/>
          <w:lang w:val="uk-UA"/>
        </w:rPr>
        <w:t>ють</w:t>
      </w:r>
      <w:r w:rsidR="00456940" w:rsidRPr="009C1FF7">
        <w:rPr>
          <w:sz w:val="26"/>
          <w:szCs w:val="26"/>
          <w:lang w:val="uk-UA"/>
        </w:rPr>
        <w:t xml:space="preserve"> </w:t>
      </w:r>
      <w:r w:rsidR="00456940" w:rsidRPr="00E47A2E">
        <w:rPr>
          <w:sz w:val="26"/>
          <w:szCs w:val="26"/>
          <w:lang w:val="uk-UA"/>
        </w:rPr>
        <w:t xml:space="preserve">особливості </w:t>
      </w:r>
      <w:r w:rsidR="00276E62">
        <w:rPr>
          <w:sz w:val="26"/>
          <w:szCs w:val="26"/>
          <w:lang w:val="uk-UA"/>
        </w:rPr>
        <w:t>взаємовідносин учасників роздрібного ринку електричної енергії, у тому числі</w:t>
      </w:r>
      <w:r w:rsidR="0049354D">
        <w:rPr>
          <w:sz w:val="26"/>
          <w:szCs w:val="26"/>
          <w:lang w:val="uk-UA"/>
        </w:rPr>
        <w:t xml:space="preserve">, </w:t>
      </w:r>
      <w:r w:rsidR="00456940">
        <w:rPr>
          <w:sz w:val="26"/>
          <w:szCs w:val="26"/>
          <w:lang w:val="uk-UA"/>
        </w:rPr>
        <w:t>діяльності активних споживачів</w:t>
      </w:r>
      <w:r w:rsidR="00276E62">
        <w:rPr>
          <w:sz w:val="26"/>
          <w:szCs w:val="26"/>
          <w:lang w:val="uk-UA"/>
        </w:rPr>
        <w:t>.</w:t>
      </w:r>
    </w:p>
    <w:p w14:paraId="37201B22" w14:textId="410DE68C" w:rsidR="00176290" w:rsidRDefault="00176290" w:rsidP="00911440">
      <w:pPr>
        <w:ind w:firstLine="709"/>
        <w:jc w:val="both"/>
        <w:rPr>
          <w:sz w:val="26"/>
          <w:szCs w:val="26"/>
          <w:lang w:val="uk-UA"/>
        </w:rPr>
      </w:pPr>
      <w:bookmarkStart w:id="0" w:name="_Hlk106658810"/>
      <w:r w:rsidRPr="009C1FF7">
        <w:rPr>
          <w:sz w:val="26"/>
          <w:szCs w:val="26"/>
          <w:lang w:val="uk-UA"/>
        </w:rPr>
        <w:t xml:space="preserve">Враховуючи </w:t>
      </w:r>
      <w:r w:rsidR="005C1F17">
        <w:rPr>
          <w:sz w:val="26"/>
          <w:szCs w:val="26"/>
          <w:lang w:val="uk-UA"/>
        </w:rPr>
        <w:t xml:space="preserve">зміни, внесені до </w:t>
      </w:r>
      <w:r w:rsidR="005C1F17" w:rsidRPr="005C1F17">
        <w:rPr>
          <w:sz w:val="26"/>
          <w:szCs w:val="26"/>
          <w:lang w:val="uk-UA"/>
        </w:rPr>
        <w:t>Закону</w:t>
      </w:r>
      <w:r w:rsidR="005C1F17">
        <w:rPr>
          <w:sz w:val="26"/>
          <w:szCs w:val="26"/>
          <w:lang w:val="uk-UA"/>
        </w:rPr>
        <w:t xml:space="preserve"> України</w:t>
      </w:r>
      <w:r w:rsidR="005C1F17" w:rsidRPr="005C1F17">
        <w:rPr>
          <w:sz w:val="26"/>
          <w:szCs w:val="26"/>
          <w:lang w:val="uk-UA"/>
        </w:rPr>
        <w:t xml:space="preserve"> «Про ринок електричної енергії» </w:t>
      </w:r>
      <w:r w:rsidR="000671BF" w:rsidRPr="005C1F17">
        <w:rPr>
          <w:sz w:val="26"/>
          <w:szCs w:val="26"/>
          <w:lang w:val="uk-UA"/>
        </w:rPr>
        <w:t>Законом України «Про внесення змін до деяких законів України у сферах енергетики і теплопостачання щодо удосконалення окремих положень, пов’язаних із веденням господарської діяльності та дією воєнного стану в Україні»</w:t>
      </w:r>
      <w:r w:rsidR="005C1F17">
        <w:rPr>
          <w:sz w:val="26"/>
          <w:szCs w:val="26"/>
          <w:lang w:val="uk-UA"/>
        </w:rPr>
        <w:t xml:space="preserve">, зокрема </w:t>
      </w:r>
      <w:r w:rsidR="001A24D6" w:rsidRPr="001A24D6">
        <w:rPr>
          <w:sz w:val="26"/>
          <w:szCs w:val="26"/>
          <w:lang w:val="uk-UA"/>
        </w:rPr>
        <w:t>в частині прав та обов’язків учасників роздрібного ринку електричної енергії, а також особливостей договірних відносин на роздрібному ринку, у тому числі щодо діяльності активних споживачів на роздрібному ринку електричної енергії</w:t>
      </w:r>
      <w:r w:rsidR="005C1F17">
        <w:rPr>
          <w:sz w:val="26"/>
          <w:szCs w:val="26"/>
          <w:lang w:val="uk-UA"/>
        </w:rPr>
        <w:t xml:space="preserve">, </w:t>
      </w:r>
      <w:r w:rsidRPr="009C1FF7">
        <w:rPr>
          <w:sz w:val="26"/>
          <w:szCs w:val="26"/>
          <w:lang w:val="uk-UA"/>
        </w:rPr>
        <w:t xml:space="preserve">норми </w:t>
      </w:r>
      <w:bookmarkStart w:id="1" w:name="_Hlk191043087"/>
      <w:r w:rsidR="001C70BE" w:rsidRPr="006F5D57">
        <w:rPr>
          <w:sz w:val="26"/>
          <w:szCs w:val="26"/>
          <w:lang w:val="uk-UA"/>
        </w:rPr>
        <w:t>Правил роздрібного ринку електричної енергії, затверджени</w:t>
      </w:r>
      <w:r w:rsidR="00227730">
        <w:rPr>
          <w:sz w:val="26"/>
          <w:szCs w:val="26"/>
          <w:lang w:val="uk-UA"/>
        </w:rPr>
        <w:t>х</w:t>
      </w:r>
      <w:r w:rsidR="001C70BE" w:rsidRPr="006F5D57">
        <w:rPr>
          <w:sz w:val="26"/>
          <w:szCs w:val="26"/>
          <w:lang w:val="uk-UA"/>
        </w:rPr>
        <w:t xml:space="preserve"> постановою НКРЕКП від</w:t>
      </w:r>
      <w:r w:rsidR="001A24D6">
        <w:rPr>
          <w:sz w:val="26"/>
          <w:szCs w:val="26"/>
          <w:lang w:val="uk-UA"/>
        </w:rPr>
        <w:t> </w:t>
      </w:r>
      <w:r w:rsidR="001C70BE" w:rsidRPr="006F5D57">
        <w:rPr>
          <w:sz w:val="26"/>
          <w:szCs w:val="26"/>
          <w:lang w:val="uk-UA"/>
        </w:rPr>
        <w:t xml:space="preserve">14.03.2018 № 312 </w:t>
      </w:r>
      <w:bookmarkEnd w:id="1"/>
      <w:r w:rsidR="001C70BE" w:rsidRPr="006F5D57">
        <w:rPr>
          <w:sz w:val="26"/>
          <w:szCs w:val="26"/>
          <w:lang w:val="uk-UA"/>
        </w:rPr>
        <w:t xml:space="preserve">(далі – Правила), </w:t>
      </w:r>
      <w:r w:rsidR="00227730">
        <w:rPr>
          <w:sz w:val="26"/>
          <w:szCs w:val="26"/>
          <w:lang w:val="uk-UA"/>
        </w:rPr>
        <w:t>та</w:t>
      </w:r>
      <w:r w:rsidR="001C70BE" w:rsidRPr="006F5D57">
        <w:rPr>
          <w:sz w:val="26"/>
          <w:szCs w:val="26"/>
          <w:lang w:val="uk-UA"/>
        </w:rPr>
        <w:t xml:space="preserve"> Порядк</w:t>
      </w:r>
      <w:r w:rsidR="00906AF2">
        <w:rPr>
          <w:sz w:val="26"/>
          <w:szCs w:val="26"/>
          <w:lang w:val="uk-UA"/>
        </w:rPr>
        <w:t>у</w:t>
      </w:r>
      <w:r w:rsidR="001C70BE" w:rsidRPr="006F5D57">
        <w:rPr>
          <w:sz w:val="26"/>
          <w:szCs w:val="26"/>
          <w:lang w:val="uk-UA"/>
        </w:rPr>
        <w:t xml:space="preserve"> продажу та обліку електричної енергії, виробленої активними споживачами, та розрахунків за неї, затверджен</w:t>
      </w:r>
      <w:r w:rsidR="00227730">
        <w:rPr>
          <w:sz w:val="26"/>
          <w:szCs w:val="26"/>
          <w:lang w:val="uk-UA"/>
        </w:rPr>
        <w:t>ого</w:t>
      </w:r>
      <w:r w:rsidR="001C70BE" w:rsidRPr="006F5D57">
        <w:rPr>
          <w:sz w:val="26"/>
          <w:szCs w:val="26"/>
          <w:lang w:val="uk-UA"/>
        </w:rPr>
        <w:t xml:space="preserve"> постановою НКРЕКП від </w:t>
      </w:r>
      <w:bookmarkStart w:id="2" w:name="4"/>
      <w:r w:rsidR="001C70BE" w:rsidRPr="006F5D57">
        <w:rPr>
          <w:sz w:val="26"/>
          <w:szCs w:val="26"/>
          <w:lang w:val="uk-UA"/>
        </w:rPr>
        <w:t>29</w:t>
      </w:r>
      <w:r w:rsidR="001A24D6">
        <w:rPr>
          <w:sz w:val="26"/>
          <w:szCs w:val="26"/>
          <w:lang w:val="uk-UA"/>
        </w:rPr>
        <w:t>.12.</w:t>
      </w:r>
      <w:r w:rsidR="001C70BE" w:rsidRPr="006F5D57">
        <w:rPr>
          <w:sz w:val="26"/>
          <w:szCs w:val="26"/>
          <w:lang w:val="uk-UA"/>
        </w:rPr>
        <w:t>2023 № 2651</w:t>
      </w:r>
      <w:bookmarkEnd w:id="2"/>
      <w:r w:rsidR="001C70BE" w:rsidRPr="006F5D57">
        <w:rPr>
          <w:sz w:val="26"/>
          <w:szCs w:val="26"/>
          <w:lang w:val="uk-UA"/>
        </w:rPr>
        <w:t xml:space="preserve"> (далі – Порядок</w:t>
      </w:r>
      <w:r w:rsidR="00E81553">
        <w:rPr>
          <w:sz w:val="26"/>
          <w:szCs w:val="26"/>
          <w:lang w:val="uk-UA"/>
        </w:rPr>
        <w:t>)</w:t>
      </w:r>
      <w:r w:rsidR="00227730">
        <w:rPr>
          <w:sz w:val="26"/>
          <w:szCs w:val="26"/>
          <w:lang w:val="uk-UA"/>
        </w:rPr>
        <w:t>,</w:t>
      </w:r>
      <w:r w:rsidR="001C70BE" w:rsidRPr="006F5D57">
        <w:rPr>
          <w:sz w:val="26"/>
          <w:szCs w:val="26"/>
          <w:lang w:val="uk-UA"/>
        </w:rPr>
        <w:t xml:space="preserve"> </w:t>
      </w:r>
      <w:r w:rsidRPr="009C1FF7">
        <w:rPr>
          <w:sz w:val="26"/>
          <w:szCs w:val="26"/>
          <w:lang w:val="uk-UA"/>
        </w:rPr>
        <w:t>потребують доопрацювання з</w:t>
      </w:r>
      <w:r w:rsidR="00FE0A47">
        <w:rPr>
          <w:sz w:val="26"/>
          <w:szCs w:val="26"/>
          <w:lang w:val="uk-UA"/>
        </w:rPr>
        <w:t xml:space="preserve"> таких</w:t>
      </w:r>
      <w:r w:rsidRPr="009C1FF7">
        <w:rPr>
          <w:sz w:val="26"/>
          <w:szCs w:val="26"/>
          <w:lang w:val="uk-UA"/>
        </w:rPr>
        <w:t xml:space="preserve"> питань:</w:t>
      </w:r>
    </w:p>
    <w:p w14:paraId="66E0A9BE" w14:textId="0344105F" w:rsidR="001A24D6" w:rsidRPr="001A24D6" w:rsidRDefault="001A24D6" w:rsidP="001A24D6">
      <w:pPr>
        <w:ind w:right="-2" w:firstLine="709"/>
        <w:jc w:val="both"/>
        <w:rPr>
          <w:sz w:val="26"/>
          <w:szCs w:val="26"/>
          <w:lang w:val="uk-UA"/>
        </w:rPr>
      </w:pPr>
      <w:r w:rsidRPr="001A24D6">
        <w:rPr>
          <w:bCs/>
          <w:i/>
          <w:iCs/>
          <w:sz w:val="26"/>
          <w:szCs w:val="26"/>
          <w:lang w:val="uk-UA"/>
        </w:rPr>
        <w:t>щодо діяльності активних споживачів</w:t>
      </w:r>
    </w:p>
    <w:p w14:paraId="53DCD23D" w14:textId="30E1BF2D" w:rsidR="001A24D6" w:rsidRPr="001A24D6" w:rsidRDefault="001A24D6" w:rsidP="001A24D6">
      <w:pPr>
        <w:ind w:right="-2" w:firstLine="709"/>
        <w:jc w:val="both"/>
        <w:rPr>
          <w:sz w:val="26"/>
          <w:szCs w:val="26"/>
          <w:lang w:val="uk-UA"/>
        </w:rPr>
      </w:pPr>
      <w:r w:rsidRPr="001A24D6">
        <w:rPr>
          <w:sz w:val="26"/>
          <w:szCs w:val="26"/>
          <w:lang w:val="uk-UA"/>
        </w:rPr>
        <w:t>- збереження активним споживачем із встановленою потужністю генеруючих електроустановок більше 1 МВт такого статусу у разі перевищення обсягу відпуску електричної енергії в мережу, виробленої його генеруючими електроустановками, 50</w:t>
      </w:r>
      <w:r>
        <w:rPr>
          <w:sz w:val="26"/>
          <w:szCs w:val="26"/>
          <w:lang w:val="uk-UA"/>
        </w:rPr>
        <w:t> </w:t>
      </w:r>
      <w:r w:rsidRPr="001A24D6">
        <w:rPr>
          <w:sz w:val="26"/>
          <w:szCs w:val="26"/>
          <w:lang w:val="uk-UA"/>
        </w:rPr>
        <w:t>відсотків загального обсягу споживання електричної енергії за попередній календарний рік;</w:t>
      </w:r>
    </w:p>
    <w:p w14:paraId="597A3D6F" w14:textId="77777777" w:rsidR="001A24D6" w:rsidRPr="001A24D6" w:rsidRDefault="001A24D6" w:rsidP="001A24D6">
      <w:pPr>
        <w:ind w:right="-2" w:firstLine="709"/>
        <w:jc w:val="both"/>
        <w:rPr>
          <w:sz w:val="26"/>
          <w:szCs w:val="26"/>
          <w:lang w:val="uk-UA"/>
        </w:rPr>
      </w:pPr>
      <w:r w:rsidRPr="001A24D6">
        <w:rPr>
          <w:sz w:val="26"/>
          <w:szCs w:val="26"/>
          <w:lang w:val="uk-UA"/>
        </w:rPr>
        <w:t>- права третіх осіб приєднувати до мереж виробників електричної енергії/</w:t>
      </w:r>
      <w:proofErr w:type="spellStart"/>
      <w:r w:rsidRPr="001A24D6">
        <w:rPr>
          <w:sz w:val="26"/>
          <w:szCs w:val="26"/>
          <w:lang w:val="uk-UA"/>
        </w:rPr>
        <w:t>теплопостачальників</w:t>
      </w:r>
      <w:proofErr w:type="spellEnd"/>
      <w:r w:rsidRPr="001A24D6">
        <w:rPr>
          <w:sz w:val="26"/>
          <w:szCs w:val="26"/>
          <w:lang w:val="uk-UA"/>
        </w:rPr>
        <w:t xml:space="preserve"> </w:t>
      </w:r>
      <w:proofErr w:type="spellStart"/>
      <w:r w:rsidRPr="001A24D6">
        <w:rPr>
          <w:sz w:val="26"/>
          <w:szCs w:val="26"/>
          <w:lang w:val="uk-UA"/>
        </w:rPr>
        <w:t>когенераційні</w:t>
      </w:r>
      <w:proofErr w:type="spellEnd"/>
      <w:r w:rsidRPr="001A24D6">
        <w:rPr>
          <w:sz w:val="26"/>
          <w:szCs w:val="26"/>
          <w:lang w:val="uk-UA"/>
        </w:rPr>
        <w:t xml:space="preserve"> установки електричною потужністю до 20 МВт для забезпечення власних потреб, а також можливістю продажу надлишків виробленої електроенергії за механізмом самовиробництва. </w:t>
      </w:r>
    </w:p>
    <w:p w14:paraId="4193ABE8" w14:textId="133E5ADB" w:rsidR="001A24D6" w:rsidRPr="001A24D6" w:rsidRDefault="001A24D6" w:rsidP="001A24D6">
      <w:pPr>
        <w:ind w:firstLine="709"/>
        <w:jc w:val="both"/>
        <w:rPr>
          <w:bCs/>
          <w:i/>
          <w:iCs/>
          <w:sz w:val="26"/>
          <w:szCs w:val="26"/>
          <w:lang w:val="uk-UA"/>
        </w:rPr>
      </w:pPr>
      <w:r w:rsidRPr="001A24D6">
        <w:rPr>
          <w:bCs/>
          <w:i/>
          <w:iCs/>
          <w:sz w:val="26"/>
          <w:szCs w:val="26"/>
          <w:lang w:val="uk-UA"/>
        </w:rPr>
        <w:t>щодо взаємних прав та обов'язків учасників роздрібного ринку електричної енергії</w:t>
      </w:r>
    </w:p>
    <w:p w14:paraId="5936C24A" w14:textId="77777777" w:rsidR="001A24D6" w:rsidRPr="001A24D6" w:rsidRDefault="001A24D6" w:rsidP="001A24D6">
      <w:pPr>
        <w:ind w:firstLine="709"/>
        <w:jc w:val="both"/>
        <w:rPr>
          <w:sz w:val="26"/>
          <w:szCs w:val="26"/>
          <w:lang w:val="uk-UA"/>
        </w:rPr>
      </w:pPr>
      <w:r w:rsidRPr="001A24D6">
        <w:rPr>
          <w:sz w:val="26"/>
          <w:szCs w:val="26"/>
          <w:lang w:val="uk-UA"/>
        </w:rPr>
        <w:t xml:space="preserve">- зобов’язання </w:t>
      </w:r>
      <w:proofErr w:type="spellStart"/>
      <w:r w:rsidRPr="001A24D6">
        <w:rPr>
          <w:sz w:val="26"/>
          <w:szCs w:val="26"/>
          <w:lang w:val="uk-UA"/>
        </w:rPr>
        <w:t>електропостачальників</w:t>
      </w:r>
      <w:proofErr w:type="spellEnd"/>
      <w:r w:rsidRPr="001A24D6">
        <w:rPr>
          <w:sz w:val="26"/>
          <w:szCs w:val="26"/>
          <w:lang w:val="uk-UA"/>
        </w:rPr>
        <w:t xml:space="preserve"> забезпечувати </w:t>
      </w:r>
      <w:proofErr w:type="spellStart"/>
      <w:r w:rsidRPr="001A24D6">
        <w:rPr>
          <w:sz w:val="26"/>
          <w:szCs w:val="26"/>
          <w:lang w:val="uk-UA"/>
        </w:rPr>
        <w:t>недискримінаційність</w:t>
      </w:r>
      <w:proofErr w:type="spellEnd"/>
      <w:r w:rsidRPr="001A24D6">
        <w:rPr>
          <w:sz w:val="26"/>
          <w:szCs w:val="26"/>
          <w:lang w:val="uk-UA"/>
        </w:rPr>
        <w:t xml:space="preserve"> та пропорційність розрахунків перед операторами системи за відповідний розрахунковий період (місяць); </w:t>
      </w:r>
    </w:p>
    <w:p w14:paraId="398A77AC" w14:textId="0B39C016" w:rsidR="001A24D6" w:rsidRDefault="001A24D6" w:rsidP="001A24D6">
      <w:pPr>
        <w:ind w:firstLine="709"/>
        <w:jc w:val="both"/>
        <w:rPr>
          <w:sz w:val="26"/>
          <w:szCs w:val="26"/>
          <w:lang w:val="uk-UA"/>
        </w:rPr>
      </w:pPr>
      <w:r w:rsidRPr="001A24D6">
        <w:rPr>
          <w:sz w:val="26"/>
          <w:szCs w:val="26"/>
          <w:lang w:val="uk-UA"/>
        </w:rPr>
        <w:t>- обов'язку споживачів не здійснювати несанкціонований відбір електричної енергії.</w:t>
      </w:r>
    </w:p>
    <w:p w14:paraId="050DD72E" w14:textId="4D525AD5" w:rsidR="001A24D6" w:rsidRPr="001A24D6" w:rsidRDefault="001A24D6" w:rsidP="001A24D6">
      <w:pPr>
        <w:ind w:firstLine="709"/>
        <w:jc w:val="both"/>
        <w:rPr>
          <w:sz w:val="26"/>
          <w:szCs w:val="26"/>
          <w:lang w:val="uk-UA"/>
        </w:rPr>
      </w:pPr>
      <w:r>
        <w:rPr>
          <w:sz w:val="26"/>
          <w:szCs w:val="26"/>
          <w:lang w:val="uk-UA"/>
        </w:rPr>
        <w:t>Крім того</w:t>
      </w:r>
      <w:r w:rsidRPr="001A24D6">
        <w:rPr>
          <w:sz w:val="26"/>
          <w:szCs w:val="26"/>
          <w:lang w:val="uk-UA"/>
        </w:rPr>
        <w:t xml:space="preserve"> положення </w:t>
      </w:r>
      <w:r>
        <w:rPr>
          <w:sz w:val="26"/>
          <w:szCs w:val="26"/>
          <w:lang w:val="uk-UA"/>
        </w:rPr>
        <w:t>Правил</w:t>
      </w:r>
      <w:r w:rsidRPr="00812129">
        <w:rPr>
          <w:color w:val="FF0000"/>
          <w:sz w:val="26"/>
          <w:szCs w:val="26"/>
          <w:lang w:val="uk-UA"/>
        </w:rPr>
        <w:t xml:space="preserve"> </w:t>
      </w:r>
      <w:r>
        <w:rPr>
          <w:sz w:val="26"/>
          <w:szCs w:val="26"/>
          <w:lang w:val="uk-UA"/>
        </w:rPr>
        <w:t xml:space="preserve">потребують </w:t>
      </w:r>
      <w:r w:rsidRPr="001A24D6">
        <w:rPr>
          <w:sz w:val="26"/>
          <w:szCs w:val="26"/>
          <w:lang w:val="uk-UA"/>
        </w:rPr>
        <w:t xml:space="preserve">приведення у відповідність до положень Закону України «Про адміністративну процедуру», </w:t>
      </w:r>
      <w:r>
        <w:rPr>
          <w:sz w:val="26"/>
          <w:szCs w:val="26"/>
          <w:lang w:val="uk-UA"/>
        </w:rPr>
        <w:t xml:space="preserve">зокрема щодо </w:t>
      </w:r>
      <w:r w:rsidRPr="001A24D6">
        <w:rPr>
          <w:sz w:val="26"/>
          <w:szCs w:val="26"/>
          <w:lang w:val="uk-UA"/>
        </w:rPr>
        <w:t>замін</w:t>
      </w:r>
      <w:r>
        <w:rPr>
          <w:sz w:val="26"/>
          <w:szCs w:val="26"/>
          <w:lang w:val="uk-UA"/>
        </w:rPr>
        <w:t>и</w:t>
      </w:r>
      <w:r w:rsidRPr="001A24D6">
        <w:rPr>
          <w:sz w:val="26"/>
          <w:szCs w:val="26"/>
          <w:lang w:val="uk-UA"/>
        </w:rPr>
        <w:t xml:space="preserve"> терміну «анулювання ліцензії» на «припинення дії ліцензії».</w:t>
      </w:r>
    </w:p>
    <w:p w14:paraId="7BE01DBB" w14:textId="4D2E8F89" w:rsidR="00EF069A" w:rsidRPr="004C2A69" w:rsidRDefault="00176290" w:rsidP="00296C87">
      <w:pPr>
        <w:ind w:right="-2" w:firstLine="709"/>
        <w:jc w:val="both"/>
        <w:rPr>
          <w:rStyle w:val="fontstyle01"/>
          <w:rFonts w:ascii="Times New Roman" w:hAnsi="Times New Roman"/>
          <w:sz w:val="26"/>
          <w:szCs w:val="26"/>
          <w:lang w:val="uk-UA"/>
        </w:rPr>
      </w:pPr>
      <w:r w:rsidRPr="004C2A69">
        <w:rPr>
          <w:rStyle w:val="fontstyle01"/>
          <w:rFonts w:ascii="Times New Roman" w:hAnsi="Times New Roman"/>
          <w:sz w:val="26"/>
          <w:szCs w:val="26"/>
          <w:lang w:val="uk-UA"/>
        </w:rPr>
        <w:t xml:space="preserve">Враховуючи викладене, </w:t>
      </w:r>
      <w:r w:rsidR="006664B6" w:rsidRPr="004C2A69">
        <w:rPr>
          <w:sz w:val="26"/>
          <w:szCs w:val="26"/>
          <w:lang w:val="uk-UA"/>
        </w:rPr>
        <w:t>Регулятором</w:t>
      </w:r>
      <w:r w:rsidRPr="004C2A69">
        <w:rPr>
          <w:sz w:val="26"/>
          <w:szCs w:val="26"/>
          <w:lang w:val="uk-UA"/>
        </w:rPr>
        <w:t xml:space="preserve"> розроблено проєкт постанови НКРЕКП «</w:t>
      </w:r>
      <w:r w:rsidR="008E3035" w:rsidRPr="004C2A69">
        <w:rPr>
          <w:sz w:val="26"/>
          <w:szCs w:val="26"/>
          <w:lang w:val="uk-UA"/>
        </w:rPr>
        <w:t xml:space="preserve">Про затвердження Змін до деяких постанов Національної комісії, що здійснює </w:t>
      </w:r>
      <w:r w:rsidR="008E3035" w:rsidRPr="004C2A69">
        <w:rPr>
          <w:sz w:val="26"/>
          <w:szCs w:val="26"/>
          <w:lang w:val="uk-UA"/>
        </w:rPr>
        <w:lastRenderedPageBreak/>
        <w:t>державне регулювання у сферах енергетики та комунальних послуг</w:t>
      </w:r>
      <w:r w:rsidRPr="004C2A69">
        <w:rPr>
          <w:sz w:val="26"/>
          <w:szCs w:val="26"/>
          <w:lang w:val="uk-UA"/>
        </w:rPr>
        <w:t xml:space="preserve">» (далі – </w:t>
      </w:r>
      <w:proofErr w:type="spellStart"/>
      <w:r w:rsidRPr="004C2A69">
        <w:rPr>
          <w:sz w:val="26"/>
          <w:szCs w:val="26"/>
          <w:lang w:val="uk-UA"/>
        </w:rPr>
        <w:t>Проєкт</w:t>
      </w:r>
      <w:proofErr w:type="spellEnd"/>
      <w:r w:rsidRPr="004C2A69">
        <w:rPr>
          <w:sz w:val="26"/>
          <w:szCs w:val="26"/>
          <w:lang w:val="uk-UA"/>
        </w:rPr>
        <w:t>), яким передбачається</w:t>
      </w:r>
      <w:r w:rsidR="005C6908" w:rsidRPr="004C2A69">
        <w:rPr>
          <w:sz w:val="26"/>
          <w:szCs w:val="26"/>
          <w:lang w:val="uk-UA"/>
        </w:rPr>
        <w:t xml:space="preserve"> </w:t>
      </w:r>
      <w:bookmarkStart w:id="3" w:name="_Hlk195607112"/>
      <w:bookmarkStart w:id="4" w:name="_Hlk195607271"/>
      <w:r w:rsidR="00EF069A" w:rsidRPr="004C2A69">
        <w:rPr>
          <w:sz w:val="26"/>
          <w:szCs w:val="26"/>
          <w:lang w:val="uk-UA"/>
        </w:rPr>
        <w:t>уточнення прав та обов'язків учасників роздрібного ринку електричної енергії,</w:t>
      </w:r>
      <w:r w:rsidR="009363CA">
        <w:rPr>
          <w:sz w:val="26"/>
          <w:szCs w:val="26"/>
          <w:lang w:val="uk-UA"/>
        </w:rPr>
        <w:t xml:space="preserve"> зокрема </w:t>
      </w:r>
      <w:r w:rsidR="009363CA" w:rsidRPr="00D23041">
        <w:rPr>
          <w:sz w:val="26"/>
          <w:szCs w:val="26"/>
          <w:lang w:val="uk-UA"/>
        </w:rPr>
        <w:t>збереження активним споживачем із встановленою потужністю генеруючих електроустановок більше 1 МВт статусу активного споживача у разі перевищення обсягу відпуску</w:t>
      </w:r>
      <w:r w:rsidR="009363CA" w:rsidRPr="002C2CDC">
        <w:rPr>
          <w:sz w:val="26"/>
          <w:szCs w:val="26"/>
          <w:lang w:val="uk-UA"/>
        </w:rPr>
        <w:t xml:space="preserve"> </w:t>
      </w:r>
      <w:r w:rsidR="009363CA" w:rsidRPr="00D23041">
        <w:rPr>
          <w:sz w:val="26"/>
          <w:szCs w:val="26"/>
          <w:lang w:val="uk-UA"/>
        </w:rPr>
        <w:t>електричної енергії в мережу, виробленої його генеруючими електроустановками, 50 відсотків загального обсягу споживання електричної енергії за попередній календарний рік</w:t>
      </w:r>
      <w:r w:rsidR="009363CA" w:rsidRPr="004C2A69">
        <w:rPr>
          <w:sz w:val="26"/>
          <w:szCs w:val="26"/>
          <w:lang w:val="uk-UA"/>
        </w:rPr>
        <w:t xml:space="preserve"> </w:t>
      </w:r>
      <w:r w:rsidR="009363CA">
        <w:rPr>
          <w:sz w:val="26"/>
          <w:szCs w:val="26"/>
          <w:lang w:val="uk-UA"/>
        </w:rPr>
        <w:t xml:space="preserve">та </w:t>
      </w:r>
      <w:r w:rsidR="009363CA" w:rsidRPr="009363CA">
        <w:rPr>
          <w:sz w:val="26"/>
          <w:szCs w:val="26"/>
          <w:lang w:val="uk-UA"/>
        </w:rPr>
        <w:t>права третіх осіб приєднувати до мереж виробників електричної енергії/</w:t>
      </w:r>
      <w:proofErr w:type="spellStart"/>
      <w:r w:rsidR="009363CA" w:rsidRPr="009363CA">
        <w:rPr>
          <w:sz w:val="26"/>
          <w:szCs w:val="26"/>
          <w:lang w:val="uk-UA"/>
        </w:rPr>
        <w:t>теплопостачальників</w:t>
      </w:r>
      <w:proofErr w:type="spellEnd"/>
      <w:r w:rsidR="009363CA" w:rsidRPr="009363CA">
        <w:rPr>
          <w:sz w:val="26"/>
          <w:szCs w:val="26"/>
          <w:lang w:val="uk-UA"/>
        </w:rPr>
        <w:t xml:space="preserve"> </w:t>
      </w:r>
      <w:proofErr w:type="spellStart"/>
      <w:r w:rsidR="009363CA" w:rsidRPr="009363CA">
        <w:rPr>
          <w:sz w:val="26"/>
          <w:szCs w:val="26"/>
          <w:lang w:val="uk-UA"/>
        </w:rPr>
        <w:t>когенераційні</w:t>
      </w:r>
      <w:proofErr w:type="spellEnd"/>
      <w:r w:rsidR="009363CA" w:rsidRPr="009363CA">
        <w:rPr>
          <w:sz w:val="26"/>
          <w:szCs w:val="26"/>
          <w:lang w:val="uk-UA"/>
        </w:rPr>
        <w:t xml:space="preserve"> установки електричною потужністю до 20 МВт для забезпечення власних потреб, а також можливістю продажу надлишків виробленої електроенергії за механізмом </w:t>
      </w:r>
      <w:r w:rsidR="009363CA" w:rsidRPr="00F47BC9">
        <w:rPr>
          <w:sz w:val="26"/>
          <w:szCs w:val="26"/>
          <w:lang w:val="uk-UA"/>
        </w:rPr>
        <w:t>самовиробництва</w:t>
      </w:r>
      <w:r w:rsidR="00F47BC9" w:rsidRPr="00F47BC9">
        <w:rPr>
          <w:sz w:val="26"/>
          <w:szCs w:val="26"/>
          <w:lang w:val="uk-UA"/>
        </w:rPr>
        <w:t>,</w:t>
      </w:r>
      <w:r w:rsidR="009363CA" w:rsidRPr="00F47BC9">
        <w:rPr>
          <w:sz w:val="26"/>
          <w:szCs w:val="26"/>
          <w:lang w:val="uk-UA"/>
        </w:rPr>
        <w:t xml:space="preserve"> </w:t>
      </w:r>
      <w:r w:rsidR="00812129" w:rsidRPr="00F47BC9">
        <w:rPr>
          <w:sz w:val="26"/>
          <w:szCs w:val="26"/>
          <w:lang w:val="uk-UA"/>
        </w:rPr>
        <w:t xml:space="preserve">передбачено </w:t>
      </w:r>
      <w:r w:rsidR="00EF069A" w:rsidRPr="00F47BC9">
        <w:rPr>
          <w:sz w:val="26"/>
          <w:szCs w:val="26"/>
          <w:lang w:val="uk-UA"/>
        </w:rPr>
        <w:t>обов</w:t>
      </w:r>
      <w:r w:rsidR="001A24D6" w:rsidRPr="00F47BC9">
        <w:rPr>
          <w:sz w:val="26"/>
          <w:szCs w:val="26"/>
          <w:lang w:val="uk-UA"/>
        </w:rPr>
        <w:t>’</w:t>
      </w:r>
      <w:r w:rsidR="00EF069A" w:rsidRPr="00F47BC9">
        <w:rPr>
          <w:sz w:val="26"/>
          <w:szCs w:val="26"/>
          <w:lang w:val="uk-UA"/>
        </w:rPr>
        <w:t>яз</w:t>
      </w:r>
      <w:r w:rsidR="00F47BC9" w:rsidRPr="00F47BC9">
        <w:rPr>
          <w:sz w:val="26"/>
          <w:szCs w:val="26"/>
          <w:lang w:val="uk-UA"/>
        </w:rPr>
        <w:t>о</w:t>
      </w:r>
      <w:r w:rsidR="00EF069A" w:rsidRPr="00F47BC9">
        <w:rPr>
          <w:sz w:val="26"/>
          <w:szCs w:val="26"/>
          <w:lang w:val="uk-UA"/>
        </w:rPr>
        <w:t xml:space="preserve">к споживачів </w:t>
      </w:r>
      <w:r w:rsidR="00EF069A" w:rsidRPr="004C2A69">
        <w:rPr>
          <w:sz w:val="26"/>
          <w:szCs w:val="26"/>
          <w:lang w:val="uk-UA"/>
        </w:rPr>
        <w:t>не здійснювати несанкціонований відбір електричної енергії</w:t>
      </w:r>
      <w:r w:rsidR="001A24D6">
        <w:rPr>
          <w:sz w:val="26"/>
          <w:szCs w:val="26"/>
          <w:lang w:val="uk-UA"/>
        </w:rPr>
        <w:t xml:space="preserve"> та</w:t>
      </w:r>
      <w:r w:rsidR="00EF069A" w:rsidRPr="004C2A69">
        <w:rPr>
          <w:sz w:val="26"/>
          <w:szCs w:val="26"/>
          <w:lang w:val="uk-UA"/>
        </w:rPr>
        <w:t xml:space="preserve"> зобов’язання </w:t>
      </w:r>
      <w:proofErr w:type="spellStart"/>
      <w:r w:rsidR="002C2CDC" w:rsidRPr="008E3035">
        <w:rPr>
          <w:sz w:val="26"/>
          <w:szCs w:val="26"/>
          <w:lang w:val="uk-UA"/>
        </w:rPr>
        <w:t>електропостачальників</w:t>
      </w:r>
      <w:proofErr w:type="spellEnd"/>
      <w:r w:rsidR="002C2CDC" w:rsidRPr="008E3035">
        <w:rPr>
          <w:sz w:val="26"/>
          <w:szCs w:val="26"/>
          <w:lang w:val="uk-UA"/>
        </w:rPr>
        <w:t xml:space="preserve"> забезпечувати </w:t>
      </w:r>
      <w:proofErr w:type="spellStart"/>
      <w:r w:rsidR="002C2CDC" w:rsidRPr="008E3035">
        <w:rPr>
          <w:sz w:val="26"/>
          <w:szCs w:val="26"/>
          <w:lang w:val="uk-UA"/>
        </w:rPr>
        <w:t>недискримінаційність</w:t>
      </w:r>
      <w:proofErr w:type="spellEnd"/>
      <w:r w:rsidR="002C2CDC" w:rsidRPr="008E3035">
        <w:rPr>
          <w:sz w:val="26"/>
          <w:szCs w:val="26"/>
          <w:lang w:val="uk-UA"/>
        </w:rPr>
        <w:t xml:space="preserve"> та пропорційність розрахунків перед оператор</w:t>
      </w:r>
      <w:r w:rsidR="002C2CDC">
        <w:rPr>
          <w:sz w:val="26"/>
          <w:szCs w:val="26"/>
          <w:lang w:val="uk-UA"/>
        </w:rPr>
        <w:t>ами с</w:t>
      </w:r>
      <w:r w:rsidR="002C2CDC" w:rsidRPr="008E3035">
        <w:rPr>
          <w:sz w:val="26"/>
          <w:szCs w:val="26"/>
          <w:lang w:val="uk-UA"/>
        </w:rPr>
        <w:t>истеми за відповідний розрахунковий період (</w:t>
      </w:r>
      <w:r w:rsidR="002C2CDC" w:rsidRPr="00D23041">
        <w:rPr>
          <w:sz w:val="26"/>
          <w:szCs w:val="26"/>
          <w:lang w:val="uk-UA"/>
        </w:rPr>
        <w:t>місяць)</w:t>
      </w:r>
      <w:bookmarkEnd w:id="3"/>
      <w:r w:rsidR="00EF069A" w:rsidRPr="004C2A69">
        <w:rPr>
          <w:rStyle w:val="fontstyle01"/>
          <w:rFonts w:ascii="Times New Roman" w:hAnsi="Times New Roman"/>
          <w:sz w:val="26"/>
          <w:szCs w:val="26"/>
          <w:lang w:val="uk-UA"/>
        </w:rPr>
        <w:t xml:space="preserve">. </w:t>
      </w:r>
      <w:bookmarkEnd w:id="4"/>
    </w:p>
    <w:p w14:paraId="5FE1864B" w14:textId="77777777" w:rsidR="00A55F47" w:rsidRPr="009C1FF7" w:rsidRDefault="00A55F47" w:rsidP="009C1FF7">
      <w:pPr>
        <w:ind w:firstLine="708"/>
        <w:jc w:val="both"/>
        <w:rPr>
          <w:sz w:val="26"/>
          <w:szCs w:val="26"/>
        </w:rPr>
      </w:pPr>
      <w:proofErr w:type="spellStart"/>
      <w:r w:rsidRPr="009C1FF7">
        <w:rPr>
          <w:rStyle w:val="fontstyle01"/>
          <w:rFonts w:ascii="Times New Roman" w:hAnsi="Times New Roman"/>
          <w:sz w:val="26"/>
          <w:szCs w:val="26"/>
        </w:rPr>
        <w:t>Зазначений</w:t>
      </w:r>
      <w:proofErr w:type="spellEnd"/>
      <w:r w:rsidRPr="009C1FF7">
        <w:rPr>
          <w:rStyle w:val="fontstyle01"/>
          <w:rFonts w:ascii="Times New Roman" w:hAnsi="Times New Roman"/>
          <w:sz w:val="26"/>
          <w:szCs w:val="26"/>
        </w:rPr>
        <w:t xml:space="preserve"> </w:t>
      </w:r>
      <w:proofErr w:type="spellStart"/>
      <w:r w:rsidRPr="009C1FF7">
        <w:rPr>
          <w:rStyle w:val="fontstyle01"/>
          <w:rFonts w:ascii="Times New Roman" w:hAnsi="Times New Roman"/>
          <w:sz w:val="26"/>
          <w:szCs w:val="26"/>
        </w:rPr>
        <w:t>Проєкт</w:t>
      </w:r>
      <w:proofErr w:type="spellEnd"/>
      <w:r w:rsidRPr="009C1FF7">
        <w:rPr>
          <w:rStyle w:val="fontstyle01"/>
          <w:rFonts w:ascii="Times New Roman" w:hAnsi="Times New Roman"/>
          <w:sz w:val="26"/>
          <w:szCs w:val="26"/>
        </w:rPr>
        <w:t xml:space="preserve"> </w:t>
      </w:r>
      <w:proofErr w:type="spellStart"/>
      <w:r w:rsidRPr="009C1FF7">
        <w:rPr>
          <w:rStyle w:val="fontstyle01"/>
          <w:rFonts w:ascii="Times New Roman" w:hAnsi="Times New Roman"/>
          <w:sz w:val="26"/>
          <w:szCs w:val="26"/>
        </w:rPr>
        <w:t>містить</w:t>
      </w:r>
      <w:proofErr w:type="spellEnd"/>
      <w:r w:rsidRPr="009C1FF7">
        <w:rPr>
          <w:rStyle w:val="fontstyle01"/>
          <w:rFonts w:ascii="Times New Roman" w:hAnsi="Times New Roman"/>
          <w:sz w:val="26"/>
          <w:szCs w:val="26"/>
        </w:rPr>
        <w:t xml:space="preserve"> </w:t>
      </w:r>
      <w:proofErr w:type="spellStart"/>
      <w:r w:rsidRPr="009C1FF7">
        <w:rPr>
          <w:rStyle w:val="fontstyle01"/>
          <w:rFonts w:ascii="Times New Roman" w:hAnsi="Times New Roman"/>
          <w:sz w:val="26"/>
          <w:szCs w:val="26"/>
        </w:rPr>
        <w:t>ознаки</w:t>
      </w:r>
      <w:proofErr w:type="spellEnd"/>
      <w:r w:rsidRPr="009C1FF7">
        <w:rPr>
          <w:rStyle w:val="fontstyle01"/>
          <w:rFonts w:ascii="Times New Roman" w:hAnsi="Times New Roman"/>
          <w:sz w:val="26"/>
          <w:szCs w:val="26"/>
        </w:rPr>
        <w:t xml:space="preserve"> регуляторного акта та</w:t>
      </w:r>
      <w:r w:rsidR="004C2A69">
        <w:rPr>
          <w:rStyle w:val="fontstyle01"/>
          <w:rFonts w:ascii="Times New Roman" w:hAnsi="Times New Roman"/>
          <w:sz w:val="26"/>
          <w:szCs w:val="26"/>
          <w:lang w:val="uk-UA"/>
        </w:rPr>
        <w:t xml:space="preserve"> </w:t>
      </w:r>
      <w:proofErr w:type="spellStart"/>
      <w:r w:rsidRPr="009C1FF7">
        <w:rPr>
          <w:rStyle w:val="fontstyle01"/>
          <w:rFonts w:ascii="Times New Roman" w:hAnsi="Times New Roman"/>
          <w:sz w:val="26"/>
          <w:szCs w:val="26"/>
        </w:rPr>
        <w:t>потребує</w:t>
      </w:r>
      <w:proofErr w:type="spellEnd"/>
      <w:r w:rsidRPr="009C1FF7">
        <w:rPr>
          <w:rStyle w:val="fontstyle01"/>
          <w:rFonts w:ascii="Times New Roman" w:hAnsi="Times New Roman"/>
          <w:sz w:val="26"/>
          <w:szCs w:val="26"/>
        </w:rPr>
        <w:t xml:space="preserve"> </w:t>
      </w:r>
      <w:proofErr w:type="spellStart"/>
      <w:r w:rsidRPr="009C1FF7">
        <w:rPr>
          <w:rStyle w:val="fontstyle01"/>
          <w:rFonts w:ascii="Times New Roman" w:hAnsi="Times New Roman"/>
          <w:sz w:val="26"/>
          <w:szCs w:val="26"/>
        </w:rPr>
        <w:t>проходження</w:t>
      </w:r>
      <w:proofErr w:type="spellEnd"/>
      <w:r w:rsidRPr="009C1FF7">
        <w:rPr>
          <w:rStyle w:val="fontstyle01"/>
          <w:rFonts w:ascii="Times New Roman" w:hAnsi="Times New Roman"/>
          <w:sz w:val="26"/>
          <w:szCs w:val="26"/>
        </w:rPr>
        <w:t xml:space="preserve"> </w:t>
      </w:r>
      <w:proofErr w:type="spellStart"/>
      <w:r w:rsidRPr="009C1FF7">
        <w:rPr>
          <w:rStyle w:val="fontstyle01"/>
          <w:rFonts w:ascii="Times New Roman" w:hAnsi="Times New Roman"/>
          <w:sz w:val="26"/>
          <w:szCs w:val="26"/>
        </w:rPr>
        <w:t>регуляторної</w:t>
      </w:r>
      <w:proofErr w:type="spellEnd"/>
      <w:r w:rsidRPr="009C1FF7">
        <w:rPr>
          <w:rStyle w:val="fontstyle01"/>
          <w:rFonts w:ascii="Times New Roman" w:hAnsi="Times New Roman"/>
          <w:sz w:val="26"/>
          <w:szCs w:val="26"/>
        </w:rPr>
        <w:t xml:space="preserve"> </w:t>
      </w:r>
      <w:proofErr w:type="spellStart"/>
      <w:r w:rsidRPr="009C1FF7">
        <w:rPr>
          <w:rStyle w:val="fontstyle01"/>
          <w:rFonts w:ascii="Times New Roman" w:hAnsi="Times New Roman"/>
          <w:sz w:val="26"/>
          <w:szCs w:val="26"/>
        </w:rPr>
        <w:t>процедури</w:t>
      </w:r>
      <w:proofErr w:type="spellEnd"/>
      <w:r w:rsidRPr="009C1FF7">
        <w:rPr>
          <w:rStyle w:val="fontstyle01"/>
          <w:rFonts w:ascii="Times New Roman" w:hAnsi="Times New Roman"/>
          <w:sz w:val="26"/>
          <w:szCs w:val="26"/>
        </w:rPr>
        <w:t xml:space="preserve"> </w:t>
      </w:r>
      <w:proofErr w:type="spellStart"/>
      <w:r w:rsidRPr="009C1FF7">
        <w:rPr>
          <w:rStyle w:val="fontstyle01"/>
          <w:rFonts w:ascii="Times New Roman" w:hAnsi="Times New Roman"/>
          <w:sz w:val="26"/>
          <w:szCs w:val="26"/>
        </w:rPr>
        <w:t>відповідно</w:t>
      </w:r>
      <w:proofErr w:type="spellEnd"/>
      <w:r w:rsidRPr="009C1FF7">
        <w:rPr>
          <w:rStyle w:val="fontstyle01"/>
          <w:rFonts w:ascii="Times New Roman" w:hAnsi="Times New Roman"/>
          <w:sz w:val="26"/>
          <w:szCs w:val="26"/>
        </w:rPr>
        <w:t xml:space="preserve"> до </w:t>
      </w:r>
      <w:proofErr w:type="spellStart"/>
      <w:r w:rsidRPr="009C1FF7">
        <w:rPr>
          <w:rStyle w:val="fontstyle01"/>
          <w:rFonts w:ascii="Times New Roman" w:hAnsi="Times New Roman"/>
          <w:sz w:val="26"/>
          <w:szCs w:val="26"/>
        </w:rPr>
        <w:t>частини</w:t>
      </w:r>
      <w:proofErr w:type="spellEnd"/>
      <w:r w:rsidRPr="009C1FF7">
        <w:rPr>
          <w:rStyle w:val="fontstyle01"/>
          <w:rFonts w:ascii="Times New Roman" w:hAnsi="Times New Roman"/>
          <w:sz w:val="26"/>
          <w:szCs w:val="26"/>
        </w:rPr>
        <w:t xml:space="preserve"> </w:t>
      </w:r>
      <w:proofErr w:type="spellStart"/>
      <w:r w:rsidRPr="009C1FF7">
        <w:rPr>
          <w:rStyle w:val="fontstyle01"/>
          <w:rFonts w:ascii="Times New Roman" w:hAnsi="Times New Roman"/>
          <w:sz w:val="26"/>
          <w:szCs w:val="26"/>
        </w:rPr>
        <w:t>першої</w:t>
      </w:r>
      <w:proofErr w:type="spellEnd"/>
      <w:r w:rsidRPr="009C1FF7">
        <w:rPr>
          <w:sz w:val="26"/>
          <w:szCs w:val="26"/>
        </w:rPr>
        <w:t xml:space="preserve"> </w:t>
      </w:r>
      <w:proofErr w:type="spellStart"/>
      <w:r w:rsidRPr="009C1FF7">
        <w:rPr>
          <w:rStyle w:val="fontstyle01"/>
          <w:rFonts w:ascii="Times New Roman" w:hAnsi="Times New Roman"/>
          <w:sz w:val="26"/>
          <w:szCs w:val="26"/>
        </w:rPr>
        <w:t>статті</w:t>
      </w:r>
      <w:proofErr w:type="spellEnd"/>
      <w:r w:rsidRPr="009C1FF7">
        <w:rPr>
          <w:rStyle w:val="fontstyle01"/>
          <w:rFonts w:ascii="Times New Roman" w:hAnsi="Times New Roman"/>
          <w:sz w:val="26"/>
          <w:szCs w:val="26"/>
        </w:rPr>
        <w:t xml:space="preserve"> 15 Закону </w:t>
      </w:r>
      <w:proofErr w:type="spellStart"/>
      <w:r w:rsidRPr="009C1FF7">
        <w:rPr>
          <w:rStyle w:val="fontstyle01"/>
          <w:rFonts w:ascii="Times New Roman" w:hAnsi="Times New Roman"/>
          <w:sz w:val="26"/>
          <w:szCs w:val="26"/>
        </w:rPr>
        <w:t>України</w:t>
      </w:r>
      <w:proofErr w:type="spellEnd"/>
      <w:r w:rsidRPr="009C1FF7">
        <w:rPr>
          <w:rStyle w:val="fontstyle01"/>
          <w:rFonts w:ascii="Times New Roman" w:hAnsi="Times New Roman"/>
          <w:sz w:val="26"/>
          <w:szCs w:val="26"/>
        </w:rPr>
        <w:t xml:space="preserve"> «Про </w:t>
      </w:r>
      <w:proofErr w:type="spellStart"/>
      <w:r w:rsidRPr="009C1FF7">
        <w:rPr>
          <w:rStyle w:val="fontstyle01"/>
          <w:rFonts w:ascii="Times New Roman" w:hAnsi="Times New Roman"/>
          <w:sz w:val="26"/>
          <w:szCs w:val="26"/>
        </w:rPr>
        <w:t>Національну</w:t>
      </w:r>
      <w:proofErr w:type="spellEnd"/>
      <w:r w:rsidRPr="009C1FF7">
        <w:rPr>
          <w:rStyle w:val="fontstyle01"/>
          <w:rFonts w:ascii="Times New Roman" w:hAnsi="Times New Roman"/>
          <w:sz w:val="26"/>
          <w:szCs w:val="26"/>
        </w:rPr>
        <w:t xml:space="preserve"> </w:t>
      </w:r>
      <w:proofErr w:type="spellStart"/>
      <w:r w:rsidRPr="009C1FF7">
        <w:rPr>
          <w:rStyle w:val="fontstyle01"/>
          <w:rFonts w:ascii="Times New Roman" w:hAnsi="Times New Roman"/>
          <w:sz w:val="26"/>
          <w:szCs w:val="26"/>
        </w:rPr>
        <w:t>комісію</w:t>
      </w:r>
      <w:proofErr w:type="spellEnd"/>
      <w:r w:rsidRPr="009C1FF7">
        <w:rPr>
          <w:rStyle w:val="fontstyle01"/>
          <w:rFonts w:ascii="Times New Roman" w:hAnsi="Times New Roman"/>
          <w:sz w:val="26"/>
          <w:szCs w:val="26"/>
        </w:rPr>
        <w:t xml:space="preserve">, </w:t>
      </w:r>
      <w:proofErr w:type="spellStart"/>
      <w:r w:rsidRPr="009C1FF7">
        <w:rPr>
          <w:rStyle w:val="fontstyle01"/>
          <w:rFonts w:ascii="Times New Roman" w:hAnsi="Times New Roman"/>
          <w:sz w:val="26"/>
          <w:szCs w:val="26"/>
        </w:rPr>
        <w:t>що</w:t>
      </w:r>
      <w:proofErr w:type="spellEnd"/>
      <w:r w:rsidRPr="009C1FF7">
        <w:rPr>
          <w:rStyle w:val="fontstyle01"/>
          <w:rFonts w:ascii="Times New Roman" w:hAnsi="Times New Roman"/>
          <w:sz w:val="26"/>
          <w:szCs w:val="26"/>
        </w:rPr>
        <w:t xml:space="preserve"> </w:t>
      </w:r>
      <w:proofErr w:type="spellStart"/>
      <w:r w:rsidRPr="009C1FF7">
        <w:rPr>
          <w:rStyle w:val="fontstyle01"/>
          <w:rFonts w:ascii="Times New Roman" w:hAnsi="Times New Roman"/>
          <w:sz w:val="26"/>
          <w:szCs w:val="26"/>
        </w:rPr>
        <w:t>здійснює</w:t>
      </w:r>
      <w:proofErr w:type="spellEnd"/>
      <w:r w:rsidRPr="009C1FF7">
        <w:rPr>
          <w:rStyle w:val="fontstyle01"/>
          <w:rFonts w:ascii="Times New Roman" w:hAnsi="Times New Roman"/>
          <w:sz w:val="26"/>
          <w:szCs w:val="26"/>
        </w:rPr>
        <w:t xml:space="preserve"> </w:t>
      </w:r>
      <w:proofErr w:type="spellStart"/>
      <w:r w:rsidRPr="009C1FF7">
        <w:rPr>
          <w:rStyle w:val="fontstyle01"/>
          <w:rFonts w:ascii="Times New Roman" w:hAnsi="Times New Roman"/>
          <w:sz w:val="26"/>
          <w:szCs w:val="26"/>
        </w:rPr>
        <w:t>державне</w:t>
      </w:r>
      <w:proofErr w:type="spellEnd"/>
      <w:r w:rsidRPr="009C1FF7">
        <w:rPr>
          <w:sz w:val="26"/>
          <w:szCs w:val="26"/>
        </w:rPr>
        <w:t xml:space="preserve"> </w:t>
      </w:r>
      <w:proofErr w:type="spellStart"/>
      <w:r w:rsidRPr="009C1FF7">
        <w:rPr>
          <w:rStyle w:val="fontstyle01"/>
          <w:rFonts w:ascii="Times New Roman" w:hAnsi="Times New Roman"/>
          <w:sz w:val="26"/>
          <w:szCs w:val="26"/>
        </w:rPr>
        <w:t>регулювання</w:t>
      </w:r>
      <w:proofErr w:type="spellEnd"/>
      <w:r w:rsidRPr="009C1FF7">
        <w:rPr>
          <w:rStyle w:val="fontstyle01"/>
          <w:rFonts w:ascii="Times New Roman" w:hAnsi="Times New Roman"/>
          <w:sz w:val="26"/>
          <w:szCs w:val="26"/>
        </w:rPr>
        <w:t xml:space="preserve"> у сферах </w:t>
      </w:r>
      <w:proofErr w:type="spellStart"/>
      <w:r w:rsidRPr="009C1FF7">
        <w:rPr>
          <w:rStyle w:val="fontstyle01"/>
          <w:rFonts w:ascii="Times New Roman" w:hAnsi="Times New Roman"/>
          <w:sz w:val="26"/>
          <w:szCs w:val="26"/>
        </w:rPr>
        <w:t>енергетики</w:t>
      </w:r>
      <w:proofErr w:type="spellEnd"/>
      <w:r w:rsidRPr="009C1FF7">
        <w:rPr>
          <w:rStyle w:val="fontstyle01"/>
          <w:rFonts w:ascii="Times New Roman" w:hAnsi="Times New Roman"/>
          <w:sz w:val="26"/>
          <w:szCs w:val="26"/>
        </w:rPr>
        <w:t xml:space="preserve"> та </w:t>
      </w:r>
      <w:proofErr w:type="spellStart"/>
      <w:r w:rsidRPr="009C1FF7">
        <w:rPr>
          <w:rStyle w:val="fontstyle01"/>
          <w:rFonts w:ascii="Times New Roman" w:hAnsi="Times New Roman"/>
          <w:sz w:val="26"/>
          <w:szCs w:val="26"/>
        </w:rPr>
        <w:t>комунальних</w:t>
      </w:r>
      <w:proofErr w:type="spellEnd"/>
      <w:r w:rsidRPr="009C1FF7">
        <w:rPr>
          <w:rStyle w:val="fontstyle01"/>
          <w:rFonts w:ascii="Times New Roman" w:hAnsi="Times New Roman"/>
          <w:sz w:val="26"/>
          <w:szCs w:val="26"/>
        </w:rPr>
        <w:t xml:space="preserve"> </w:t>
      </w:r>
      <w:proofErr w:type="spellStart"/>
      <w:r w:rsidRPr="009C1FF7">
        <w:rPr>
          <w:rStyle w:val="fontstyle01"/>
          <w:rFonts w:ascii="Times New Roman" w:hAnsi="Times New Roman"/>
          <w:sz w:val="26"/>
          <w:szCs w:val="26"/>
        </w:rPr>
        <w:t>послуг</w:t>
      </w:r>
      <w:proofErr w:type="spellEnd"/>
      <w:r w:rsidRPr="009C1FF7">
        <w:rPr>
          <w:rStyle w:val="fontstyle01"/>
          <w:rFonts w:ascii="Times New Roman" w:hAnsi="Times New Roman"/>
          <w:sz w:val="26"/>
          <w:szCs w:val="26"/>
        </w:rPr>
        <w:t>».</w:t>
      </w:r>
    </w:p>
    <w:p w14:paraId="69E9D2B8" w14:textId="77777777" w:rsidR="00176290" w:rsidRPr="004C2A69" w:rsidRDefault="00176290" w:rsidP="009C1FF7">
      <w:pPr>
        <w:shd w:val="clear" w:color="auto" w:fill="FFFFFF"/>
        <w:ind w:firstLine="720"/>
        <w:jc w:val="both"/>
        <w:rPr>
          <w:color w:val="000000"/>
          <w:sz w:val="10"/>
          <w:szCs w:val="10"/>
        </w:rPr>
      </w:pPr>
    </w:p>
    <w:bookmarkEnd w:id="0"/>
    <w:p w14:paraId="4A45D720" w14:textId="77777777" w:rsidR="00335777" w:rsidRPr="009C1FF7" w:rsidRDefault="00447909" w:rsidP="009C1FF7">
      <w:pPr>
        <w:pStyle w:val="a4"/>
        <w:spacing w:before="0" w:beforeAutospacing="0" w:after="0" w:afterAutospacing="0"/>
        <w:ind w:firstLine="709"/>
        <w:rPr>
          <w:bCs/>
          <w:sz w:val="26"/>
          <w:szCs w:val="26"/>
          <w:lang w:val="uk-UA"/>
        </w:rPr>
      </w:pPr>
      <w:r w:rsidRPr="009C1FF7">
        <w:rPr>
          <w:bCs/>
          <w:sz w:val="26"/>
          <w:szCs w:val="26"/>
          <w:lang w:val="uk-UA"/>
        </w:rPr>
        <w:t>Визначення основних груп (підгруп), на які проблема справляє вплив:</w:t>
      </w:r>
    </w:p>
    <w:p w14:paraId="745AD13F" w14:textId="77777777" w:rsidR="00447909" w:rsidRPr="004C2A69" w:rsidRDefault="00447909" w:rsidP="009C1FF7">
      <w:pPr>
        <w:pStyle w:val="a4"/>
        <w:spacing w:before="0" w:beforeAutospacing="0" w:after="0" w:afterAutospacing="0"/>
        <w:ind w:firstLine="709"/>
        <w:rPr>
          <w:bCs/>
          <w:sz w:val="10"/>
          <w:szCs w:val="10"/>
          <w:lang w:val="uk-UA"/>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4111"/>
        <w:gridCol w:w="2126"/>
      </w:tblGrid>
      <w:tr w:rsidR="00335777" w:rsidRPr="004C2A69" w14:paraId="3D849749" w14:textId="77777777" w:rsidTr="005D6D50">
        <w:tc>
          <w:tcPr>
            <w:tcW w:w="3227" w:type="dxa"/>
            <w:shd w:val="clear" w:color="auto" w:fill="auto"/>
          </w:tcPr>
          <w:p w14:paraId="5B1A49EF" w14:textId="77777777" w:rsidR="00335777" w:rsidRPr="004C2A69" w:rsidRDefault="00335777" w:rsidP="009C1FF7">
            <w:pPr>
              <w:pStyle w:val="a4"/>
              <w:spacing w:before="0" w:beforeAutospacing="0" w:after="0" w:afterAutospacing="0"/>
              <w:jc w:val="center"/>
              <w:rPr>
                <w:lang w:val="uk-UA"/>
              </w:rPr>
            </w:pPr>
            <w:r w:rsidRPr="004C2A69">
              <w:rPr>
                <w:lang w:val="uk-UA"/>
              </w:rPr>
              <w:t>Групи (підгрупи)</w:t>
            </w:r>
          </w:p>
        </w:tc>
        <w:tc>
          <w:tcPr>
            <w:tcW w:w="4111" w:type="dxa"/>
            <w:shd w:val="clear" w:color="auto" w:fill="auto"/>
          </w:tcPr>
          <w:p w14:paraId="1A932CF8" w14:textId="77777777" w:rsidR="00335777" w:rsidRPr="004C2A69" w:rsidRDefault="00335777" w:rsidP="009C1FF7">
            <w:pPr>
              <w:pStyle w:val="a4"/>
              <w:spacing w:before="0" w:beforeAutospacing="0" w:after="0" w:afterAutospacing="0"/>
              <w:jc w:val="center"/>
              <w:rPr>
                <w:lang w:val="uk-UA"/>
              </w:rPr>
            </w:pPr>
            <w:r w:rsidRPr="004C2A69">
              <w:rPr>
                <w:lang w:val="uk-UA"/>
              </w:rPr>
              <w:t>Так</w:t>
            </w:r>
          </w:p>
        </w:tc>
        <w:tc>
          <w:tcPr>
            <w:tcW w:w="2126" w:type="dxa"/>
            <w:shd w:val="clear" w:color="auto" w:fill="auto"/>
          </w:tcPr>
          <w:p w14:paraId="1B30E317" w14:textId="77777777" w:rsidR="00335777" w:rsidRPr="004C2A69" w:rsidRDefault="00335777" w:rsidP="009C1FF7">
            <w:pPr>
              <w:pStyle w:val="a4"/>
              <w:spacing w:before="0" w:beforeAutospacing="0" w:after="0" w:afterAutospacing="0"/>
              <w:jc w:val="center"/>
              <w:rPr>
                <w:lang w:val="uk-UA"/>
              </w:rPr>
            </w:pPr>
            <w:r w:rsidRPr="004C2A69">
              <w:rPr>
                <w:lang w:val="uk-UA"/>
              </w:rPr>
              <w:t>Ні</w:t>
            </w:r>
          </w:p>
        </w:tc>
      </w:tr>
      <w:tr w:rsidR="00335777" w:rsidRPr="004C2A69" w14:paraId="4753CA49" w14:textId="77777777" w:rsidTr="005D6D50">
        <w:tc>
          <w:tcPr>
            <w:tcW w:w="3227" w:type="dxa"/>
            <w:shd w:val="clear" w:color="auto" w:fill="auto"/>
          </w:tcPr>
          <w:p w14:paraId="22ACB29F" w14:textId="77777777" w:rsidR="00335777" w:rsidRPr="004C2A69" w:rsidRDefault="00335777" w:rsidP="009C1FF7">
            <w:pPr>
              <w:pStyle w:val="a4"/>
              <w:spacing w:before="0" w:beforeAutospacing="0" w:after="0" w:afterAutospacing="0"/>
              <w:jc w:val="both"/>
              <w:rPr>
                <w:lang w:val="uk-UA"/>
              </w:rPr>
            </w:pPr>
            <w:r w:rsidRPr="004C2A69">
              <w:rPr>
                <w:lang w:val="uk-UA"/>
              </w:rPr>
              <w:t>Громадяни</w:t>
            </w:r>
          </w:p>
        </w:tc>
        <w:tc>
          <w:tcPr>
            <w:tcW w:w="4111" w:type="dxa"/>
            <w:shd w:val="clear" w:color="auto" w:fill="auto"/>
          </w:tcPr>
          <w:p w14:paraId="564D5534" w14:textId="77777777" w:rsidR="00D053DC" w:rsidRPr="004C2A69" w:rsidRDefault="008319C6" w:rsidP="009C1FF7">
            <w:pPr>
              <w:jc w:val="center"/>
              <w:rPr>
                <w:lang w:val="uk-UA"/>
              </w:rPr>
            </w:pPr>
            <w:r w:rsidRPr="004C2A69">
              <w:rPr>
                <w:lang w:val="uk-UA"/>
              </w:rPr>
              <w:t>+</w:t>
            </w:r>
          </w:p>
        </w:tc>
        <w:tc>
          <w:tcPr>
            <w:tcW w:w="2126" w:type="dxa"/>
            <w:shd w:val="clear" w:color="auto" w:fill="auto"/>
          </w:tcPr>
          <w:p w14:paraId="6FCA84C1" w14:textId="77777777" w:rsidR="00335777" w:rsidRPr="004C2A69" w:rsidRDefault="00335777" w:rsidP="009C1FF7">
            <w:pPr>
              <w:pStyle w:val="a4"/>
              <w:spacing w:before="0" w:beforeAutospacing="0" w:after="0" w:afterAutospacing="0"/>
              <w:jc w:val="both"/>
              <w:rPr>
                <w:lang w:val="uk-UA"/>
              </w:rPr>
            </w:pPr>
          </w:p>
        </w:tc>
      </w:tr>
      <w:tr w:rsidR="00335777" w:rsidRPr="004C2A69" w14:paraId="4C44018B" w14:textId="77777777" w:rsidTr="005D6D50">
        <w:tc>
          <w:tcPr>
            <w:tcW w:w="3227" w:type="dxa"/>
            <w:shd w:val="clear" w:color="auto" w:fill="auto"/>
          </w:tcPr>
          <w:p w14:paraId="74843B31" w14:textId="77777777" w:rsidR="00335777" w:rsidRPr="004C2A69" w:rsidRDefault="00335777" w:rsidP="009C1FF7">
            <w:pPr>
              <w:pStyle w:val="a4"/>
              <w:spacing w:before="0" w:beforeAutospacing="0" w:after="0" w:afterAutospacing="0"/>
              <w:jc w:val="both"/>
              <w:rPr>
                <w:lang w:val="uk-UA"/>
              </w:rPr>
            </w:pPr>
            <w:r w:rsidRPr="004C2A69">
              <w:rPr>
                <w:lang w:val="uk-UA"/>
              </w:rPr>
              <w:t>Держава</w:t>
            </w:r>
          </w:p>
        </w:tc>
        <w:tc>
          <w:tcPr>
            <w:tcW w:w="4111" w:type="dxa"/>
            <w:shd w:val="clear" w:color="auto" w:fill="auto"/>
          </w:tcPr>
          <w:p w14:paraId="0FDFBD7E" w14:textId="77777777" w:rsidR="007D7441" w:rsidRPr="004C2A69" w:rsidRDefault="008319C6" w:rsidP="009C1FF7">
            <w:pPr>
              <w:jc w:val="center"/>
              <w:rPr>
                <w:lang w:val="uk-UA"/>
              </w:rPr>
            </w:pPr>
            <w:r w:rsidRPr="004C2A69">
              <w:rPr>
                <w:lang w:val="uk-UA"/>
              </w:rPr>
              <w:t>+</w:t>
            </w:r>
          </w:p>
        </w:tc>
        <w:tc>
          <w:tcPr>
            <w:tcW w:w="2126" w:type="dxa"/>
            <w:shd w:val="clear" w:color="auto" w:fill="auto"/>
          </w:tcPr>
          <w:p w14:paraId="15753376" w14:textId="77777777" w:rsidR="00335777" w:rsidRPr="004C2A69" w:rsidRDefault="00335777" w:rsidP="009C1FF7">
            <w:pPr>
              <w:pStyle w:val="a4"/>
              <w:spacing w:before="0" w:beforeAutospacing="0" w:after="0" w:afterAutospacing="0"/>
              <w:jc w:val="center"/>
              <w:rPr>
                <w:lang w:val="uk-UA"/>
              </w:rPr>
            </w:pPr>
          </w:p>
        </w:tc>
      </w:tr>
      <w:tr w:rsidR="00335777" w:rsidRPr="004C2A69" w14:paraId="2A97F3BB" w14:textId="77777777" w:rsidTr="005D6D50">
        <w:tc>
          <w:tcPr>
            <w:tcW w:w="3227" w:type="dxa"/>
            <w:shd w:val="clear" w:color="auto" w:fill="auto"/>
          </w:tcPr>
          <w:p w14:paraId="67FC1CDE" w14:textId="77777777" w:rsidR="00335777" w:rsidRPr="004C2A69" w:rsidRDefault="00335777" w:rsidP="009C1FF7">
            <w:pPr>
              <w:pStyle w:val="a4"/>
              <w:spacing w:before="0" w:beforeAutospacing="0" w:after="0" w:afterAutospacing="0"/>
              <w:jc w:val="both"/>
              <w:rPr>
                <w:lang w:val="uk-UA"/>
              </w:rPr>
            </w:pPr>
            <w:r w:rsidRPr="004C2A69">
              <w:rPr>
                <w:lang w:val="uk-UA"/>
              </w:rPr>
              <w:t xml:space="preserve">Суб’єкти господарювання </w:t>
            </w:r>
          </w:p>
        </w:tc>
        <w:tc>
          <w:tcPr>
            <w:tcW w:w="4111" w:type="dxa"/>
            <w:shd w:val="clear" w:color="auto" w:fill="auto"/>
          </w:tcPr>
          <w:p w14:paraId="4DEC55A7" w14:textId="77777777" w:rsidR="007D7441" w:rsidRPr="004C2A69" w:rsidRDefault="008319C6" w:rsidP="009C1FF7">
            <w:pPr>
              <w:pStyle w:val="a4"/>
              <w:spacing w:before="0" w:beforeAutospacing="0" w:after="0" w:afterAutospacing="0"/>
              <w:jc w:val="center"/>
              <w:rPr>
                <w:lang w:val="uk-UA"/>
              </w:rPr>
            </w:pPr>
            <w:r w:rsidRPr="004C2A69">
              <w:rPr>
                <w:lang w:val="uk-UA"/>
              </w:rPr>
              <w:t>+</w:t>
            </w:r>
          </w:p>
        </w:tc>
        <w:tc>
          <w:tcPr>
            <w:tcW w:w="2126" w:type="dxa"/>
            <w:shd w:val="clear" w:color="auto" w:fill="auto"/>
          </w:tcPr>
          <w:p w14:paraId="7E9EBBCF" w14:textId="77777777" w:rsidR="00335777" w:rsidRPr="004C2A69" w:rsidRDefault="00335777" w:rsidP="009C1FF7">
            <w:pPr>
              <w:pStyle w:val="a4"/>
              <w:spacing w:before="0" w:beforeAutospacing="0" w:after="0" w:afterAutospacing="0"/>
              <w:jc w:val="both"/>
              <w:rPr>
                <w:lang w:val="uk-UA"/>
              </w:rPr>
            </w:pPr>
          </w:p>
        </w:tc>
      </w:tr>
    </w:tbl>
    <w:p w14:paraId="226E0668" w14:textId="77777777" w:rsidR="000C1CFA" w:rsidRPr="004C2A69" w:rsidRDefault="000C1CFA" w:rsidP="009C1FF7">
      <w:pPr>
        <w:ind w:firstLine="708"/>
        <w:rPr>
          <w:b/>
          <w:sz w:val="16"/>
          <w:szCs w:val="16"/>
          <w:lang w:val="uk-UA"/>
        </w:rPr>
      </w:pPr>
    </w:p>
    <w:p w14:paraId="71F88378" w14:textId="77777777" w:rsidR="005A08AE" w:rsidRPr="009C1FF7" w:rsidRDefault="005A08AE" w:rsidP="009C1FF7">
      <w:pPr>
        <w:jc w:val="center"/>
        <w:rPr>
          <w:b/>
          <w:sz w:val="26"/>
          <w:szCs w:val="26"/>
          <w:lang w:val="uk-UA"/>
        </w:rPr>
      </w:pPr>
      <w:r w:rsidRPr="009C1FF7">
        <w:rPr>
          <w:b/>
          <w:sz w:val="26"/>
          <w:szCs w:val="26"/>
          <w:lang w:val="uk-UA"/>
        </w:rPr>
        <w:t>II. Цілі державного регулювання</w:t>
      </w:r>
    </w:p>
    <w:p w14:paraId="65D87B91" w14:textId="77777777" w:rsidR="007F0235" w:rsidRPr="004C2A69" w:rsidRDefault="007F0235" w:rsidP="009C1FF7">
      <w:pPr>
        <w:widowControl w:val="0"/>
        <w:jc w:val="both"/>
        <w:rPr>
          <w:sz w:val="16"/>
          <w:szCs w:val="16"/>
          <w:lang w:val="uk-UA"/>
        </w:rPr>
      </w:pPr>
    </w:p>
    <w:p w14:paraId="3D0955F3" w14:textId="77777777" w:rsidR="00FD118D" w:rsidRPr="009C1FF7" w:rsidRDefault="00F10853" w:rsidP="009C1FF7">
      <w:pPr>
        <w:widowControl w:val="0"/>
        <w:ind w:firstLine="709"/>
        <w:jc w:val="both"/>
        <w:rPr>
          <w:sz w:val="26"/>
          <w:szCs w:val="26"/>
          <w:lang w:val="uk-UA"/>
        </w:rPr>
      </w:pPr>
      <w:r w:rsidRPr="009C1FF7">
        <w:rPr>
          <w:sz w:val="26"/>
          <w:szCs w:val="26"/>
          <w:lang w:val="uk-UA"/>
        </w:rPr>
        <w:t xml:space="preserve">Метою прийняття постанови НКРЕКП </w:t>
      </w:r>
      <w:r w:rsidR="00C8128C" w:rsidRPr="009C1FF7">
        <w:rPr>
          <w:sz w:val="26"/>
          <w:szCs w:val="26"/>
          <w:lang w:val="uk-UA"/>
        </w:rPr>
        <w:t xml:space="preserve">«Про затвердження Змін до </w:t>
      </w:r>
      <w:r w:rsidR="00B262B3">
        <w:rPr>
          <w:sz w:val="26"/>
          <w:szCs w:val="26"/>
          <w:lang w:val="uk-UA"/>
        </w:rPr>
        <w:t xml:space="preserve">деяких постанов </w:t>
      </w:r>
      <w:r w:rsidR="00434C91" w:rsidRPr="008E3035">
        <w:rPr>
          <w:sz w:val="26"/>
          <w:szCs w:val="26"/>
          <w:lang w:val="uk-UA"/>
        </w:rPr>
        <w:t>Національної комісії, що здійснює державне регулювання у сферах енергетики та комунальних послуг</w:t>
      </w:r>
      <w:r w:rsidR="00C8128C" w:rsidRPr="009C1FF7">
        <w:rPr>
          <w:sz w:val="26"/>
          <w:szCs w:val="26"/>
          <w:lang w:val="uk-UA"/>
        </w:rPr>
        <w:t>»</w:t>
      </w:r>
      <w:r w:rsidR="00914C8A" w:rsidRPr="009C1FF7">
        <w:rPr>
          <w:sz w:val="26"/>
          <w:szCs w:val="26"/>
          <w:lang w:val="uk-UA"/>
        </w:rPr>
        <w:t xml:space="preserve"> </w:t>
      </w:r>
      <w:bookmarkStart w:id="5" w:name="_Hlk106659690"/>
      <w:r w:rsidR="00066578" w:rsidRPr="009C1FF7">
        <w:rPr>
          <w:sz w:val="26"/>
          <w:szCs w:val="26"/>
          <w:lang w:val="uk-UA"/>
        </w:rPr>
        <w:t xml:space="preserve">є </w:t>
      </w:r>
      <w:bookmarkEnd w:id="5"/>
      <w:r w:rsidR="00434CA5" w:rsidRPr="009C1FF7">
        <w:rPr>
          <w:sz w:val="26"/>
          <w:szCs w:val="26"/>
          <w:lang w:val="uk-UA"/>
        </w:rPr>
        <w:t>врегулювання правовідносин</w:t>
      </w:r>
      <w:r w:rsidR="007D7D8E">
        <w:rPr>
          <w:sz w:val="26"/>
          <w:szCs w:val="26"/>
          <w:lang w:val="uk-UA"/>
        </w:rPr>
        <w:t>,</w:t>
      </w:r>
      <w:r w:rsidR="00434CA5" w:rsidRPr="009C1FF7">
        <w:rPr>
          <w:sz w:val="26"/>
          <w:szCs w:val="26"/>
          <w:lang w:val="uk-UA"/>
        </w:rPr>
        <w:t xml:space="preserve"> визначених Правилами</w:t>
      </w:r>
      <w:r w:rsidR="007D7D8E">
        <w:rPr>
          <w:sz w:val="26"/>
          <w:szCs w:val="26"/>
          <w:lang w:val="uk-UA"/>
        </w:rPr>
        <w:t xml:space="preserve"> та Порядком,</w:t>
      </w:r>
      <w:r w:rsidR="00434CA5" w:rsidRPr="009C1FF7">
        <w:rPr>
          <w:sz w:val="26"/>
          <w:szCs w:val="26"/>
          <w:lang w:val="uk-UA"/>
        </w:rPr>
        <w:t xml:space="preserve"> на роздрібному ринку електричної енергії.</w:t>
      </w:r>
    </w:p>
    <w:p w14:paraId="2A3310D0" w14:textId="77777777" w:rsidR="00434CA5" w:rsidRPr="004C2A69" w:rsidRDefault="00434CA5" w:rsidP="009C1FF7">
      <w:pPr>
        <w:widowControl w:val="0"/>
        <w:ind w:firstLine="709"/>
        <w:jc w:val="both"/>
        <w:rPr>
          <w:b/>
          <w:sz w:val="16"/>
          <w:szCs w:val="16"/>
          <w:lang w:val="uk-UA"/>
        </w:rPr>
      </w:pPr>
    </w:p>
    <w:p w14:paraId="0418C49F" w14:textId="77777777" w:rsidR="00C918F0" w:rsidRPr="009C1FF7" w:rsidRDefault="00C918F0" w:rsidP="009C1FF7">
      <w:pPr>
        <w:jc w:val="center"/>
        <w:rPr>
          <w:b/>
          <w:sz w:val="26"/>
          <w:szCs w:val="26"/>
          <w:lang w:val="uk-UA"/>
        </w:rPr>
      </w:pPr>
      <w:r w:rsidRPr="009C1FF7">
        <w:rPr>
          <w:b/>
          <w:sz w:val="26"/>
          <w:szCs w:val="26"/>
          <w:lang w:val="uk-UA"/>
        </w:rPr>
        <w:t xml:space="preserve">ІІІ. Визначення та оцінка альтернативних способів досягнення </w:t>
      </w:r>
      <w:r w:rsidR="00914C8A" w:rsidRPr="009C1FF7">
        <w:rPr>
          <w:b/>
          <w:sz w:val="26"/>
          <w:szCs w:val="26"/>
          <w:lang w:val="uk-UA"/>
        </w:rPr>
        <w:t>цілей</w:t>
      </w:r>
    </w:p>
    <w:p w14:paraId="453BBF0F" w14:textId="77777777" w:rsidR="00C918F0" w:rsidRPr="004C2A69" w:rsidRDefault="00C918F0" w:rsidP="009C1FF7">
      <w:pPr>
        <w:jc w:val="both"/>
        <w:rPr>
          <w:sz w:val="16"/>
          <w:szCs w:val="16"/>
          <w:lang w:val="uk-UA"/>
        </w:rPr>
      </w:pPr>
    </w:p>
    <w:p w14:paraId="201D7E3D" w14:textId="77777777" w:rsidR="00C918F0" w:rsidRPr="009C1FF7" w:rsidRDefault="00C918F0" w:rsidP="009C1FF7">
      <w:pPr>
        <w:ind w:firstLine="709"/>
        <w:jc w:val="both"/>
        <w:rPr>
          <w:sz w:val="26"/>
          <w:szCs w:val="26"/>
          <w:lang w:val="uk-UA"/>
        </w:rPr>
      </w:pPr>
      <w:r w:rsidRPr="009C1FF7">
        <w:rPr>
          <w:sz w:val="26"/>
          <w:szCs w:val="26"/>
          <w:lang w:val="uk-UA"/>
        </w:rPr>
        <w:t>1. Виз</w:t>
      </w:r>
      <w:r w:rsidR="00633DCD" w:rsidRPr="009C1FF7">
        <w:rPr>
          <w:sz w:val="26"/>
          <w:szCs w:val="26"/>
          <w:lang w:val="uk-UA"/>
        </w:rPr>
        <w:t>начення альтернативних способів:</w:t>
      </w:r>
    </w:p>
    <w:p w14:paraId="2680B132" w14:textId="77777777" w:rsidR="0018292F" w:rsidRPr="004C2A69" w:rsidRDefault="0018292F" w:rsidP="009C1FF7">
      <w:pPr>
        <w:ind w:firstLine="709"/>
        <w:jc w:val="both"/>
        <w:rPr>
          <w:sz w:val="10"/>
          <w:szCs w:val="10"/>
          <w:lang w:val="uk-UA"/>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6237"/>
      </w:tblGrid>
      <w:tr w:rsidR="00C918F0" w:rsidRPr="004C2A69" w14:paraId="7FFE6CB4" w14:textId="77777777" w:rsidTr="005D6D50">
        <w:trPr>
          <w:trHeight w:val="631"/>
        </w:trPr>
        <w:tc>
          <w:tcPr>
            <w:tcW w:w="3261" w:type="dxa"/>
            <w:shd w:val="clear" w:color="auto" w:fill="auto"/>
            <w:vAlign w:val="center"/>
          </w:tcPr>
          <w:p w14:paraId="321A8622" w14:textId="77777777" w:rsidR="00C918F0" w:rsidRPr="004C2A69" w:rsidRDefault="00C918F0" w:rsidP="009C1FF7">
            <w:pPr>
              <w:pStyle w:val="21"/>
              <w:spacing w:after="0" w:line="240" w:lineRule="auto"/>
              <w:jc w:val="center"/>
              <w:rPr>
                <w:b/>
              </w:rPr>
            </w:pPr>
            <w:r w:rsidRPr="004C2A69">
              <w:rPr>
                <w:b/>
              </w:rPr>
              <w:t>Вид альтернативи</w:t>
            </w:r>
          </w:p>
        </w:tc>
        <w:tc>
          <w:tcPr>
            <w:tcW w:w="6237" w:type="dxa"/>
            <w:shd w:val="clear" w:color="auto" w:fill="auto"/>
            <w:vAlign w:val="center"/>
          </w:tcPr>
          <w:p w14:paraId="3E989E51" w14:textId="77777777" w:rsidR="00C918F0" w:rsidRPr="004C2A69" w:rsidRDefault="00C918F0" w:rsidP="009C1FF7">
            <w:pPr>
              <w:pStyle w:val="21"/>
              <w:spacing w:after="0" w:line="240" w:lineRule="auto"/>
              <w:jc w:val="center"/>
              <w:rPr>
                <w:b/>
              </w:rPr>
            </w:pPr>
            <w:r w:rsidRPr="004C2A69">
              <w:rPr>
                <w:b/>
              </w:rPr>
              <w:t>Опис альтернативи</w:t>
            </w:r>
          </w:p>
        </w:tc>
      </w:tr>
      <w:tr w:rsidR="00C918F0" w:rsidRPr="00F47BC9" w14:paraId="0B50B92C" w14:textId="77777777" w:rsidTr="005D6D50">
        <w:tc>
          <w:tcPr>
            <w:tcW w:w="3261" w:type="dxa"/>
            <w:shd w:val="clear" w:color="auto" w:fill="auto"/>
          </w:tcPr>
          <w:p w14:paraId="5E9D2914" w14:textId="77777777" w:rsidR="00C918F0" w:rsidRPr="004C2A69" w:rsidRDefault="00C918F0" w:rsidP="009C1FF7">
            <w:pPr>
              <w:pStyle w:val="21"/>
              <w:spacing w:after="0" w:line="240" w:lineRule="auto"/>
              <w:jc w:val="both"/>
              <w:rPr>
                <w:b/>
              </w:rPr>
            </w:pPr>
            <w:r w:rsidRPr="004C2A69">
              <w:rPr>
                <w:b/>
              </w:rPr>
              <w:t>Альтернатива 1</w:t>
            </w:r>
          </w:p>
          <w:p w14:paraId="4E3DCF7D" w14:textId="77777777" w:rsidR="00C918F0" w:rsidRPr="004C2A69" w:rsidRDefault="00C918F0" w:rsidP="009C1FF7">
            <w:pPr>
              <w:pStyle w:val="21"/>
              <w:spacing w:after="0" w:line="240" w:lineRule="auto"/>
            </w:pPr>
            <w:r w:rsidRPr="004C2A69">
              <w:t>Збереження чинного регулю</w:t>
            </w:r>
            <w:r w:rsidR="0007200E" w:rsidRPr="004C2A69">
              <w:t>вання</w:t>
            </w:r>
          </w:p>
        </w:tc>
        <w:tc>
          <w:tcPr>
            <w:tcW w:w="6237" w:type="dxa"/>
            <w:shd w:val="clear" w:color="auto" w:fill="auto"/>
          </w:tcPr>
          <w:p w14:paraId="269DB5B5" w14:textId="29AB75E9" w:rsidR="00C918F0" w:rsidRPr="009363CA" w:rsidRDefault="00C51199" w:rsidP="009363CA">
            <w:pPr>
              <w:pStyle w:val="rvps2"/>
              <w:spacing w:before="0" w:beforeAutospacing="0" w:after="0" w:afterAutospacing="0"/>
              <w:jc w:val="both"/>
              <w:rPr>
                <w:sz w:val="16"/>
                <w:szCs w:val="16"/>
              </w:rPr>
            </w:pPr>
            <w:r w:rsidRPr="004C2A69">
              <w:t>Чин</w:t>
            </w:r>
            <w:r w:rsidR="00164B4B" w:rsidRPr="004C2A69">
              <w:t>ні</w:t>
            </w:r>
            <w:r w:rsidRPr="004C2A69">
              <w:t xml:space="preserve"> редакці</w:t>
            </w:r>
            <w:r w:rsidR="00164B4B" w:rsidRPr="004C2A69">
              <w:t>ї</w:t>
            </w:r>
            <w:r w:rsidRPr="004C2A69">
              <w:t xml:space="preserve"> Правил</w:t>
            </w:r>
            <w:r w:rsidR="00BE553F" w:rsidRPr="004C2A69">
              <w:t xml:space="preserve"> та Порядку</w:t>
            </w:r>
            <w:r w:rsidRPr="004C2A69">
              <w:t xml:space="preserve"> </w:t>
            </w:r>
            <w:r w:rsidR="00A55F47" w:rsidRPr="004C2A69">
              <w:t>не забезпечу</w:t>
            </w:r>
            <w:r w:rsidR="00164B4B" w:rsidRPr="004C2A69">
              <w:t>ють</w:t>
            </w:r>
            <w:r w:rsidR="00A55F47" w:rsidRPr="004C2A69">
              <w:t xml:space="preserve"> </w:t>
            </w:r>
            <w:r w:rsidR="00DC52BF" w:rsidRPr="004C2A69">
              <w:t xml:space="preserve">відповідності </w:t>
            </w:r>
            <w:r w:rsidR="00034257" w:rsidRPr="004C2A69">
              <w:t>ї</w:t>
            </w:r>
            <w:r w:rsidR="00C962CF" w:rsidRPr="004C2A69">
              <w:t>х</w:t>
            </w:r>
            <w:r w:rsidR="00034257" w:rsidRPr="004C2A69">
              <w:t xml:space="preserve"> </w:t>
            </w:r>
            <w:r w:rsidR="00DC52BF" w:rsidRPr="004C2A69">
              <w:t>норм вимогам Закону</w:t>
            </w:r>
            <w:r w:rsidR="00A55F47" w:rsidRPr="004C2A69">
              <w:t xml:space="preserve"> </w:t>
            </w:r>
            <w:r w:rsidR="00F47BC9">
              <w:t>щодо</w:t>
            </w:r>
            <w:r w:rsidR="004064A6" w:rsidRPr="004C2A69">
              <w:t xml:space="preserve"> </w:t>
            </w:r>
            <w:r w:rsidR="009363CA" w:rsidRPr="009363CA">
              <w:t>прав та обов</w:t>
            </w:r>
            <w:r w:rsidR="009363CA">
              <w:t>’</w:t>
            </w:r>
            <w:r w:rsidR="009363CA" w:rsidRPr="009363CA">
              <w:t xml:space="preserve">язків учасників роздрібного ринку електричної </w:t>
            </w:r>
            <w:r w:rsidR="009363CA" w:rsidRPr="00F47BC9">
              <w:t xml:space="preserve">енергії, </w:t>
            </w:r>
            <w:r w:rsidR="00F47BC9" w:rsidRPr="00F47BC9">
              <w:t>зокрема</w:t>
            </w:r>
            <w:r w:rsidR="009363CA" w:rsidRPr="00F47BC9">
              <w:t xml:space="preserve"> </w:t>
            </w:r>
            <w:r w:rsidR="009363CA" w:rsidRPr="009363CA">
              <w:t>збереження активним споживачем із встановленою потужністю генеруючих електроустановок більше 1 МВт статусу активного споживача у разі перевищення обсягу відпуску електричної енергії в мережу, виробленої його генеруючими електроустановками, 50 відсотків загального обсягу споживання електричної енергії за попередній календарний рік та права третіх осіб приєднувати до мереж виробників електричної енергії/</w:t>
            </w:r>
            <w:proofErr w:type="spellStart"/>
            <w:r w:rsidR="009363CA" w:rsidRPr="009363CA">
              <w:t>теплопостачальників</w:t>
            </w:r>
            <w:proofErr w:type="spellEnd"/>
            <w:r w:rsidR="009363CA" w:rsidRPr="009363CA">
              <w:t xml:space="preserve"> </w:t>
            </w:r>
            <w:proofErr w:type="spellStart"/>
            <w:r w:rsidR="009363CA" w:rsidRPr="009363CA">
              <w:t>когенераційні</w:t>
            </w:r>
            <w:proofErr w:type="spellEnd"/>
            <w:r w:rsidR="009363CA" w:rsidRPr="009363CA">
              <w:t xml:space="preserve"> установки електричною потужністю до 20</w:t>
            </w:r>
            <w:r w:rsidR="009363CA">
              <w:t> </w:t>
            </w:r>
            <w:r w:rsidR="009363CA" w:rsidRPr="009363CA">
              <w:t xml:space="preserve">МВт для забезпечення власних потреб, а також можливістю продажу надлишків виробленої </w:t>
            </w:r>
            <w:r w:rsidR="009363CA" w:rsidRPr="009363CA">
              <w:lastRenderedPageBreak/>
              <w:t xml:space="preserve">електроенергії за механізмом </w:t>
            </w:r>
            <w:r w:rsidR="009363CA" w:rsidRPr="00F47BC9">
              <w:t>самовиробництва</w:t>
            </w:r>
            <w:r w:rsidR="00F47BC9" w:rsidRPr="00F47BC9">
              <w:t>,</w:t>
            </w:r>
            <w:r w:rsidR="009363CA" w:rsidRPr="00F47BC9">
              <w:t xml:space="preserve"> обов’язку </w:t>
            </w:r>
            <w:r w:rsidR="009363CA" w:rsidRPr="009363CA">
              <w:t xml:space="preserve">споживачів не здійснювати несанкціонований відбір електричної енергії та зобов’язання </w:t>
            </w:r>
            <w:proofErr w:type="spellStart"/>
            <w:r w:rsidR="009363CA" w:rsidRPr="009363CA">
              <w:t>електропостачальників</w:t>
            </w:r>
            <w:proofErr w:type="spellEnd"/>
            <w:r w:rsidR="009363CA" w:rsidRPr="009363CA">
              <w:t xml:space="preserve"> забезпечувати </w:t>
            </w:r>
            <w:proofErr w:type="spellStart"/>
            <w:r w:rsidR="009363CA" w:rsidRPr="009363CA">
              <w:t>недискримінаційність</w:t>
            </w:r>
            <w:proofErr w:type="spellEnd"/>
            <w:r w:rsidR="009363CA" w:rsidRPr="009363CA">
              <w:t xml:space="preserve"> та пропорційність розрахунків перед операторами системи за відповідний розрахунковий період (місяць</w:t>
            </w:r>
            <w:r w:rsidR="009363CA">
              <w:t>).</w:t>
            </w:r>
          </w:p>
        </w:tc>
      </w:tr>
      <w:tr w:rsidR="00C918F0" w:rsidRPr="004C2A69" w14:paraId="395FD0C8" w14:textId="77777777" w:rsidTr="005D6D50">
        <w:tc>
          <w:tcPr>
            <w:tcW w:w="3261" w:type="dxa"/>
            <w:shd w:val="clear" w:color="auto" w:fill="auto"/>
          </w:tcPr>
          <w:p w14:paraId="32DC8D59" w14:textId="77777777" w:rsidR="00043C8E" w:rsidRPr="004C2A69" w:rsidRDefault="00043C8E" w:rsidP="009C1FF7">
            <w:pPr>
              <w:pStyle w:val="21"/>
              <w:spacing w:after="0" w:line="240" w:lineRule="auto"/>
              <w:jc w:val="both"/>
              <w:rPr>
                <w:b/>
              </w:rPr>
            </w:pPr>
            <w:r w:rsidRPr="004C2A69">
              <w:rPr>
                <w:b/>
              </w:rPr>
              <w:lastRenderedPageBreak/>
              <w:t>Альтернатива 2</w:t>
            </w:r>
          </w:p>
          <w:p w14:paraId="52276A4B" w14:textId="77777777" w:rsidR="00C918F0" w:rsidRPr="004C2A69" w:rsidRDefault="00D87875" w:rsidP="009C1FF7">
            <w:pPr>
              <w:pStyle w:val="21"/>
              <w:spacing w:after="0" w:line="240" w:lineRule="auto"/>
            </w:pPr>
            <w:r w:rsidRPr="004C2A69">
              <w:t xml:space="preserve">Прийняття </w:t>
            </w:r>
            <w:r w:rsidR="00AD33D3" w:rsidRPr="004C2A69">
              <w:t>нового регуляторного акта</w:t>
            </w:r>
          </w:p>
        </w:tc>
        <w:tc>
          <w:tcPr>
            <w:tcW w:w="6237" w:type="dxa"/>
            <w:shd w:val="clear" w:color="auto" w:fill="auto"/>
          </w:tcPr>
          <w:p w14:paraId="4D25ACB7" w14:textId="77777777" w:rsidR="00C918F0" w:rsidRPr="004C2A69" w:rsidRDefault="00D87875" w:rsidP="009C1FF7">
            <w:pPr>
              <w:pStyle w:val="21"/>
              <w:spacing w:after="0" w:line="240" w:lineRule="auto"/>
              <w:jc w:val="both"/>
            </w:pPr>
            <w:r w:rsidRPr="004C2A69">
              <w:t>Прийняття нового регуляторного акта є недоцільним, оскільки на сьогодні є чинний регуляторний акт, яким регулюються відносини на роздрібному ринку електричної енергії.</w:t>
            </w:r>
          </w:p>
        </w:tc>
      </w:tr>
      <w:tr w:rsidR="00C918F0" w:rsidRPr="00F47BC9" w14:paraId="21334FDD" w14:textId="77777777" w:rsidTr="005D6D50">
        <w:tc>
          <w:tcPr>
            <w:tcW w:w="3261" w:type="dxa"/>
            <w:shd w:val="clear" w:color="auto" w:fill="auto"/>
          </w:tcPr>
          <w:p w14:paraId="2BD95C81" w14:textId="77777777" w:rsidR="00C918F0" w:rsidRPr="004C2A69" w:rsidRDefault="0007200E" w:rsidP="009C1FF7">
            <w:pPr>
              <w:pStyle w:val="21"/>
              <w:spacing w:after="0" w:line="240" w:lineRule="auto"/>
              <w:jc w:val="both"/>
              <w:rPr>
                <w:b/>
              </w:rPr>
            </w:pPr>
            <w:r w:rsidRPr="004C2A69">
              <w:rPr>
                <w:b/>
              </w:rPr>
              <w:t>А</w:t>
            </w:r>
            <w:r w:rsidR="00C918F0" w:rsidRPr="004C2A69">
              <w:rPr>
                <w:b/>
              </w:rPr>
              <w:t>льтернатива 3</w:t>
            </w:r>
          </w:p>
          <w:p w14:paraId="4CBE7E27" w14:textId="77777777" w:rsidR="00C918F0" w:rsidRPr="004C2A69" w:rsidRDefault="00CA5308" w:rsidP="009C1FF7">
            <w:pPr>
              <w:pStyle w:val="21"/>
              <w:spacing w:after="0" w:line="240" w:lineRule="auto"/>
            </w:pPr>
            <w:r w:rsidRPr="004C2A69">
              <w:t>Внесення змін до чинного регуляторного акта</w:t>
            </w:r>
          </w:p>
        </w:tc>
        <w:tc>
          <w:tcPr>
            <w:tcW w:w="6237" w:type="dxa"/>
            <w:shd w:val="clear" w:color="auto" w:fill="auto"/>
          </w:tcPr>
          <w:p w14:paraId="42FA8E56" w14:textId="1CBD744E" w:rsidR="00FA6ACF" w:rsidRPr="002138F2" w:rsidRDefault="005D6DB8" w:rsidP="00E70D6D">
            <w:pPr>
              <w:pStyle w:val="rvps2"/>
              <w:spacing w:before="0" w:beforeAutospacing="0" w:after="0" w:afterAutospacing="0"/>
              <w:jc w:val="both"/>
              <w:rPr>
                <w:rFonts w:ascii="TimesNewRomanPSMT" w:hAnsi="TimesNewRomanPSMT"/>
                <w:color w:val="000000"/>
              </w:rPr>
            </w:pPr>
            <w:r w:rsidRPr="002138F2">
              <w:t>Внесення змін до Правил</w:t>
            </w:r>
            <w:r w:rsidR="00225226" w:rsidRPr="002138F2">
              <w:t xml:space="preserve"> та Порядку</w:t>
            </w:r>
            <w:r w:rsidRPr="002138F2">
              <w:t xml:space="preserve"> сприятиме  врегулюванню питань</w:t>
            </w:r>
            <w:r w:rsidR="00F47BC9">
              <w:t xml:space="preserve"> </w:t>
            </w:r>
            <w:r w:rsidR="00F47BC9" w:rsidRPr="00F47BC9">
              <w:t>що</w:t>
            </w:r>
            <w:r w:rsidR="00F47BC9">
              <w:t>д</w:t>
            </w:r>
            <w:r w:rsidR="00F47BC9" w:rsidRPr="00F47BC9">
              <w:t>о прав та обов’язків учасників роздрібного ринку електричної енергії, зокрема збереження активним споживачем із встановленою потужністю генеруючих електроустановок більше 1 МВт статусу активного споживача у разі перевищення обсягу відпуску електричної енергії в мережу, виробленої його генеруючими електроустановками, 50 відсотків загального обсягу споживання електричної енергії за попередній календарний рік та права третіх осіб приєднувати до мереж виробників електричної енергії/</w:t>
            </w:r>
            <w:proofErr w:type="spellStart"/>
            <w:r w:rsidR="00F47BC9" w:rsidRPr="00F47BC9">
              <w:t>теплопостачальників</w:t>
            </w:r>
            <w:proofErr w:type="spellEnd"/>
            <w:r w:rsidR="00F47BC9" w:rsidRPr="00F47BC9">
              <w:t xml:space="preserve"> </w:t>
            </w:r>
            <w:proofErr w:type="spellStart"/>
            <w:r w:rsidR="00F47BC9" w:rsidRPr="00F47BC9">
              <w:t>когенераційні</w:t>
            </w:r>
            <w:proofErr w:type="spellEnd"/>
            <w:r w:rsidR="00F47BC9" w:rsidRPr="00F47BC9">
              <w:t xml:space="preserve"> установки електричною потужністю до 20</w:t>
            </w:r>
            <w:r w:rsidR="005C21B7">
              <w:t> </w:t>
            </w:r>
            <w:r w:rsidR="00F47BC9" w:rsidRPr="00F47BC9">
              <w:t xml:space="preserve">МВт для забезпечення власних потреб, а також можливістю продажу надлишків виробленої електроенергії за механізмом самовиробництва, обов’язку споживачів не здійснювати несанкціонований відбір електричної енергії та зобов’язання </w:t>
            </w:r>
            <w:proofErr w:type="spellStart"/>
            <w:r w:rsidR="00F47BC9" w:rsidRPr="00F47BC9">
              <w:t>електропостачальників</w:t>
            </w:r>
            <w:proofErr w:type="spellEnd"/>
            <w:r w:rsidR="00F47BC9" w:rsidRPr="00F47BC9">
              <w:t xml:space="preserve"> забезпечувати </w:t>
            </w:r>
            <w:proofErr w:type="spellStart"/>
            <w:r w:rsidR="00F47BC9" w:rsidRPr="00F47BC9">
              <w:t>недискримінаційність</w:t>
            </w:r>
            <w:proofErr w:type="spellEnd"/>
            <w:r w:rsidR="00F47BC9" w:rsidRPr="00F47BC9">
              <w:t xml:space="preserve"> та пропорційність розрахунків перед операторами системи за відповідний розрахунковий період (місяць)</w:t>
            </w:r>
          </w:p>
        </w:tc>
      </w:tr>
    </w:tbl>
    <w:p w14:paraId="488B83DD" w14:textId="77777777" w:rsidR="00181D4E" w:rsidRPr="004C2A69" w:rsidRDefault="00181D4E" w:rsidP="009C1FF7">
      <w:pPr>
        <w:pStyle w:val="a6"/>
        <w:spacing w:after="0"/>
        <w:ind w:left="0" w:firstLine="709"/>
        <w:jc w:val="both"/>
        <w:rPr>
          <w:sz w:val="16"/>
          <w:szCs w:val="16"/>
        </w:rPr>
      </w:pPr>
    </w:p>
    <w:p w14:paraId="2B4E8011" w14:textId="77777777" w:rsidR="00C918F0" w:rsidRPr="009C1FF7" w:rsidRDefault="00C918F0" w:rsidP="009C1FF7">
      <w:pPr>
        <w:pStyle w:val="a6"/>
        <w:spacing w:after="0"/>
        <w:ind w:left="0" w:firstLine="709"/>
        <w:jc w:val="both"/>
        <w:rPr>
          <w:sz w:val="26"/>
          <w:szCs w:val="26"/>
        </w:rPr>
      </w:pPr>
      <w:r w:rsidRPr="009C1FF7">
        <w:rPr>
          <w:sz w:val="26"/>
          <w:szCs w:val="26"/>
        </w:rPr>
        <w:t>2. Оцінка вибраних альтернативних способів досягнення цілей.</w:t>
      </w:r>
    </w:p>
    <w:p w14:paraId="7D93CA4A" w14:textId="77777777" w:rsidR="00C918F0" w:rsidRPr="004C2A69" w:rsidRDefault="00C918F0" w:rsidP="009C1FF7">
      <w:pPr>
        <w:pStyle w:val="a6"/>
        <w:spacing w:after="0"/>
        <w:ind w:left="0"/>
        <w:jc w:val="both"/>
        <w:rPr>
          <w:sz w:val="16"/>
          <w:szCs w:val="16"/>
        </w:rPr>
      </w:pPr>
    </w:p>
    <w:p w14:paraId="29C468FA" w14:textId="77777777" w:rsidR="00C918F0" w:rsidRPr="009C1FF7" w:rsidRDefault="00C918F0" w:rsidP="009363CA">
      <w:pPr>
        <w:pStyle w:val="a6"/>
        <w:numPr>
          <w:ilvl w:val="0"/>
          <w:numId w:val="2"/>
        </w:numPr>
        <w:tabs>
          <w:tab w:val="left" w:pos="1134"/>
        </w:tabs>
        <w:spacing w:after="0"/>
        <w:ind w:left="0" w:firstLine="709"/>
        <w:jc w:val="both"/>
        <w:rPr>
          <w:sz w:val="26"/>
          <w:szCs w:val="26"/>
        </w:rPr>
      </w:pPr>
      <w:r w:rsidRPr="009C1FF7">
        <w:rPr>
          <w:sz w:val="26"/>
          <w:szCs w:val="26"/>
        </w:rPr>
        <w:t>Оцінка вп</w:t>
      </w:r>
      <w:r w:rsidR="0007200E" w:rsidRPr="009C1FF7">
        <w:rPr>
          <w:sz w:val="26"/>
          <w:szCs w:val="26"/>
        </w:rPr>
        <w:t>ливу на сферу інтересів держави:</w:t>
      </w:r>
    </w:p>
    <w:p w14:paraId="6EFC0E77" w14:textId="77777777" w:rsidR="00C918F0" w:rsidRPr="004C2A69" w:rsidRDefault="00C918F0" w:rsidP="009C1FF7">
      <w:pPr>
        <w:pStyle w:val="a6"/>
        <w:spacing w:after="0"/>
        <w:ind w:left="0"/>
        <w:jc w:val="both"/>
        <w:rPr>
          <w:sz w:val="10"/>
          <w:szCs w:val="1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4820"/>
        <w:gridCol w:w="1665"/>
      </w:tblGrid>
      <w:tr w:rsidR="00C918F0" w:rsidRPr="004C2A69" w14:paraId="42CAD945" w14:textId="77777777" w:rsidTr="00AD24B4">
        <w:trPr>
          <w:trHeight w:val="496"/>
        </w:trPr>
        <w:tc>
          <w:tcPr>
            <w:tcW w:w="2977" w:type="dxa"/>
            <w:shd w:val="clear" w:color="auto" w:fill="auto"/>
            <w:vAlign w:val="center"/>
          </w:tcPr>
          <w:p w14:paraId="56C3EEA7" w14:textId="77777777" w:rsidR="00C918F0" w:rsidRPr="004C2A69" w:rsidRDefault="00C918F0" w:rsidP="009C1FF7">
            <w:pPr>
              <w:pStyle w:val="21"/>
              <w:spacing w:after="0" w:line="240" w:lineRule="auto"/>
              <w:jc w:val="center"/>
              <w:rPr>
                <w:b/>
              </w:rPr>
            </w:pPr>
            <w:r w:rsidRPr="004C2A69">
              <w:rPr>
                <w:b/>
              </w:rPr>
              <w:t>Вид альтернативи</w:t>
            </w:r>
          </w:p>
        </w:tc>
        <w:tc>
          <w:tcPr>
            <w:tcW w:w="4820" w:type="dxa"/>
            <w:shd w:val="clear" w:color="auto" w:fill="auto"/>
            <w:vAlign w:val="center"/>
          </w:tcPr>
          <w:p w14:paraId="35A76D96" w14:textId="77777777" w:rsidR="00C918F0" w:rsidRPr="004C2A69" w:rsidRDefault="00C918F0" w:rsidP="009C1FF7">
            <w:pPr>
              <w:pStyle w:val="21"/>
              <w:spacing w:after="0" w:line="240" w:lineRule="auto"/>
              <w:jc w:val="center"/>
              <w:rPr>
                <w:b/>
              </w:rPr>
            </w:pPr>
            <w:r w:rsidRPr="004C2A69">
              <w:rPr>
                <w:b/>
              </w:rPr>
              <w:t>Вигоди</w:t>
            </w:r>
          </w:p>
        </w:tc>
        <w:tc>
          <w:tcPr>
            <w:tcW w:w="1665" w:type="dxa"/>
            <w:shd w:val="clear" w:color="auto" w:fill="auto"/>
            <w:vAlign w:val="center"/>
          </w:tcPr>
          <w:p w14:paraId="7323E310" w14:textId="77777777" w:rsidR="00C918F0" w:rsidRPr="004C2A69" w:rsidRDefault="00C918F0" w:rsidP="009C1FF7">
            <w:pPr>
              <w:pStyle w:val="21"/>
              <w:spacing w:after="0" w:line="240" w:lineRule="auto"/>
              <w:jc w:val="center"/>
              <w:rPr>
                <w:b/>
              </w:rPr>
            </w:pPr>
            <w:r w:rsidRPr="004C2A69">
              <w:rPr>
                <w:b/>
              </w:rPr>
              <w:t>Витрати</w:t>
            </w:r>
          </w:p>
        </w:tc>
      </w:tr>
      <w:tr w:rsidR="00330363" w:rsidRPr="004C2A69" w14:paraId="4CDC27A0" w14:textId="77777777" w:rsidTr="00AD24B4">
        <w:tc>
          <w:tcPr>
            <w:tcW w:w="2977" w:type="dxa"/>
            <w:shd w:val="clear" w:color="auto" w:fill="auto"/>
          </w:tcPr>
          <w:p w14:paraId="7AFDFAAA" w14:textId="77777777" w:rsidR="00330363" w:rsidRPr="004C2A69" w:rsidRDefault="00330363" w:rsidP="009C1FF7">
            <w:pPr>
              <w:pStyle w:val="21"/>
              <w:spacing w:after="0" w:line="240" w:lineRule="auto"/>
              <w:jc w:val="both"/>
              <w:rPr>
                <w:b/>
              </w:rPr>
            </w:pPr>
            <w:r w:rsidRPr="004C2A69">
              <w:rPr>
                <w:b/>
              </w:rPr>
              <w:t>Альтернатива 1</w:t>
            </w:r>
          </w:p>
          <w:p w14:paraId="7C863A59" w14:textId="77777777" w:rsidR="00330363" w:rsidRPr="004C2A69" w:rsidRDefault="0007200E" w:rsidP="009C1FF7">
            <w:pPr>
              <w:pStyle w:val="21"/>
              <w:spacing w:after="0" w:line="240" w:lineRule="auto"/>
            </w:pPr>
            <w:r w:rsidRPr="004C2A69">
              <w:t>Збереження чинного регулювання</w:t>
            </w:r>
          </w:p>
        </w:tc>
        <w:tc>
          <w:tcPr>
            <w:tcW w:w="4820" w:type="dxa"/>
            <w:shd w:val="clear" w:color="auto" w:fill="auto"/>
          </w:tcPr>
          <w:p w14:paraId="44796C6E" w14:textId="77777777" w:rsidR="00330363" w:rsidRPr="004C2A69" w:rsidRDefault="0007200E" w:rsidP="009C1FF7">
            <w:pPr>
              <w:pStyle w:val="21"/>
              <w:spacing w:after="0" w:line="240" w:lineRule="auto"/>
              <w:jc w:val="both"/>
            </w:pPr>
            <w:r w:rsidRPr="004C2A69">
              <w:t>Відсутні</w:t>
            </w:r>
            <w:r w:rsidR="0085193E" w:rsidRPr="004C2A69">
              <w:t>.</w:t>
            </w:r>
          </w:p>
        </w:tc>
        <w:tc>
          <w:tcPr>
            <w:tcW w:w="1665" w:type="dxa"/>
            <w:shd w:val="clear" w:color="auto" w:fill="auto"/>
          </w:tcPr>
          <w:p w14:paraId="01419ACC" w14:textId="77777777" w:rsidR="00330363" w:rsidRPr="004C2A69" w:rsidRDefault="005D3B10" w:rsidP="009C1FF7">
            <w:pPr>
              <w:pStyle w:val="21"/>
              <w:spacing w:after="0" w:line="240" w:lineRule="auto"/>
            </w:pPr>
            <w:r w:rsidRPr="004C2A69">
              <w:t>Відсутні.</w:t>
            </w:r>
          </w:p>
        </w:tc>
      </w:tr>
      <w:tr w:rsidR="00AE4E72" w:rsidRPr="004C2A69" w14:paraId="5787D6E6" w14:textId="77777777" w:rsidTr="00AD24B4">
        <w:tc>
          <w:tcPr>
            <w:tcW w:w="2977" w:type="dxa"/>
            <w:shd w:val="clear" w:color="auto" w:fill="auto"/>
          </w:tcPr>
          <w:p w14:paraId="34E902B6" w14:textId="77777777" w:rsidR="00AE4E72" w:rsidRPr="004C2A69" w:rsidRDefault="00AE4E72" w:rsidP="009C1FF7">
            <w:pPr>
              <w:pStyle w:val="21"/>
              <w:spacing w:after="0" w:line="240" w:lineRule="auto"/>
              <w:jc w:val="both"/>
              <w:rPr>
                <w:b/>
              </w:rPr>
            </w:pPr>
            <w:r w:rsidRPr="004C2A69">
              <w:rPr>
                <w:b/>
              </w:rPr>
              <w:t>Альтернатива 2</w:t>
            </w:r>
          </w:p>
          <w:p w14:paraId="6A19E066" w14:textId="77777777" w:rsidR="00AE4E72" w:rsidRPr="004C2A69" w:rsidRDefault="00CE0DE8" w:rsidP="009C1FF7">
            <w:pPr>
              <w:pStyle w:val="21"/>
              <w:spacing w:after="0" w:line="240" w:lineRule="auto"/>
            </w:pPr>
            <w:r w:rsidRPr="004C2A69">
              <w:t>Прийняття нового регуляторного акта</w:t>
            </w:r>
          </w:p>
        </w:tc>
        <w:tc>
          <w:tcPr>
            <w:tcW w:w="4820" w:type="dxa"/>
            <w:shd w:val="clear" w:color="auto" w:fill="auto"/>
          </w:tcPr>
          <w:p w14:paraId="7DC2928D" w14:textId="77777777" w:rsidR="00AE4E72" w:rsidRPr="004C2A69" w:rsidRDefault="00AE4E72" w:rsidP="009C1FF7">
            <w:pPr>
              <w:pStyle w:val="21"/>
              <w:spacing w:after="0" w:line="240" w:lineRule="auto"/>
              <w:jc w:val="both"/>
            </w:pPr>
            <w:r w:rsidRPr="004C2A69">
              <w:t>Відсутні</w:t>
            </w:r>
            <w:r w:rsidR="0085193E" w:rsidRPr="004C2A69">
              <w:t>.</w:t>
            </w:r>
          </w:p>
        </w:tc>
        <w:tc>
          <w:tcPr>
            <w:tcW w:w="1665" w:type="dxa"/>
            <w:shd w:val="clear" w:color="auto" w:fill="auto"/>
          </w:tcPr>
          <w:p w14:paraId="2C7D21D6" w14:textId="77777777" w:rsidR="00AE4E72" w:rsidRPr="004C2A69" w:rsidRDefault="005D3B10" w:rsidP="009C1FF7">
            <w:pPr>
              <w:pStyle w:val="21"/>
              <w:spacing w:after="0" w:line="240" w:lineRule="auto"/>
            </w:pPr>
            <w:r w:rsidRPr="004C2A69">
              <w:t>Відсутні.</w:t>
            </w:r>
          </w:p>
        </w:tc>
      </w:tr>
      <w:tr w:rsidR="00AE4E72" w:rsidRPr="004C2A69" w14:paraId="60FC0506" w14:textId="77777777" w:rsidTr="00AD24B4">
        <w:tc>
          <w:tcPr>
            <w:tcW w:w="2977" w:type="dxa"/>
            <w:shd w:val="clear" w:color="auto" w:fill="auto"/>
          </w:tcPr>
          <w:p w14:paraId="114C0C53" w14:textId="77777777" w:rsidR="00AE4E72" w:rsidRPr="004C2A69" w:rsidRDefault="00AE4E72" w:rsidP="009C1FF7">
            <w:pPr>
              <w:pStyle w:val="21"/>
              <w:spacing w:after="0" w:line="240" w:lineRule="auto"/>
              <w:jc w:val="both"/>
              <w:rPr>
                <w:b/>
              </w:rPr>
            </w:pPr>
            <w:r w:rsidRPr="004C2A69">
              <w:rPr>
                <w:b/>
              </w:rPr>
              <w:t>Альтернатива 3</w:t>
            </w:r>
          </w:p>
          <w:p w14:paraId="2D818CAB" w14:textId="77777777" w:rsidR="00AE4E72" w:rsidRPr="004C2A69" w:rsidRDefault="00CE0DE8" w:rsidP="009C1FF7">
            <w:pPr>
              <w:pStyle w:val="21"/>
              <w:spacing w:after="0" w:line="240" w:lineRule="auto"/>
            </w:pPr>
            <w:r w:rsidRPr="004C2A69">
              <w:t>Внесення змін до чинного регуляторного акта</w:t>
            </w:r>
          </w:p>
        </w:tc>
        <w:tc>
          <w:tcPr>
            <w:tcW w:w="4820" w:type="dxa"/>
            <w:shd w:val="clear" w:color="auto" w:fill="auto"/>
          </w:tcPr>
          <w:p w14:paraId="5DFE3EA8" w14:textId="77777777" w:rsidR="00AE4E72" w:rsidRPr="004C2A69" w:rsidRDefault="00D22881" w:rsidP="009C1FF7">
            <w:pPr>
              <w:rPr>
                <w:lang w:val="uk-UA"/>
              </w:rPr>
            </w:pPr>
            <w:r w:rsidRPr="004C2A69">
              <w:rPr>
                <w:lang w:val="uk-UA"/>
              </w:rPr>
              <w:t xml:space="preserve">Удосконалення державного регулювання у </w:t>
            </w:r>
            <w:r w:rsidR="00AE4E72" w:rsidRPr="004C2A69">
              <w:rPr>
                <w:lang w:val="uk-UA"/>
              </w:rPr>
              <w:t xml:space="preserve"> </w:t>
            </w:r>
            <w:r w:rsidRPr="004C2A69">
              <w:rPr>
                <w:lang w:val="uk-UA"/>
              </w:rPr>
              <w:t>сфері електроенергетики та договірних взаємовідносин.</w:t>
            </w:r>
          </w:p>
        </w:tc>
        <w:tc>
          <w:tcPr>
            <w:tcW w:w="1665" w:type="dxa"/>
            <w:shd w:val="clear" w:color="auto" w:fill="auto"/>
          </w:tcPr>
          <w:p w14:paraId="7DB69842" w14:textId="77777777" w:rsidR="00AE4E72" w:rsidRPr="004C2A69" w:rsidRDefault="00AE4E72" w:rsidP="009C1FF7">
            <w:pPr>
              <w:pStyle w:val="21"/>
              <w:spacing w:after="0" w:line="240" w:lineRule="auto"/>
              <w:jc w:val="both"/>
            </w:pPr>
            <w:r w:rsidRPr="004C2A69">
              <w:t>Відсутні</w:t>
            </w:r>
          </w:p>
        </w:tc>
      </w:tr>
    </w:tbl>
    <w:p w14:paraId="3F59AA7F" w14:textId="77777777" w:rsidR="00AD0453" w:rsidRDefault="00AD0453" w:rsidP="009C1FF7">
      <w:pPr>
        <w:pStyle w:val="a6"/>
        <w:spacing w:after="0"/>
        <w:ind w:left="0"/>
        <w:jc w:val="both"/>
        <w:rPr>
          <w:sz w:val="16"/>
          <w:szCs w:val="16"/>
        </w:rPr>
      </w:pPr>
    </w:p>
    <w:p w14:paraId="77DD780C" w14:textId="77777777" w:rsidR="00F47BC9" w:rsidRDefault="00F47BC9" w:rsidP="009C1FF7">
      <w:pPr>
        <w:pStyle w:val="a6"/>
        <w:spacing w:after="0"/>
        <w:ind w:left="0"/>
        <w:jc w:val="both"/>
        <w:rPr>
          <w:sz w:val="16"/>
          <w:szCs w:val="16"/>
        </w:rPr>
      </w:pPr>
    </w:p>
    <w:p w14:paraId="477C831D" w14:textId="77777777" w:rsidR="00F47BC9" w:rsidRDefault="00F47BC9" w:rsidP="009C1FF7">
      <w:pPr>
        <w:pStyle w:val="a6"/>
        <w:spacing w:after="0"/>
        <w:ind w:left="0"/>
        <w:jc w:val="both"/>
        <w:rPr>
          <w:sz w:val="16"/>
          <w:szCs w:val="16"/>
        </w:rPr>
      </w:pPr>
    </w:p>
    <w:p w14:paraId="46772E1C" w14:textId="77777777" w:rsidR="00F47BC9" w:rsidRDefault="00F47BC9" w:rsidP="009C1FF7">
      <w:pPr>
        <w:pStyle w:val="a6"/>
        <w:spacing w:after="0"/>
        <w:ind w:left="0"/>
        <w:jc w:val="both"/>
        <w:rPr>
          <w:sz w:val="16"/>
          <w:szCs w:val="16"/>
        </w:rPr>
      </w:pPr>
    </w:p>
    <w:p w14:paraId="1AF45A3D" w14:textId="77777777" w:rsidR="00F47BC9" w:rsidRDefault="00F47BC9" w:rsidP="009C1FF7">
      <w:pPr>
        <w:pStyle w:val="a6"/>
        <w:spacing w:after="0"/>
        <w:ind w:left="0"/>
        <w:jc w:val="both"/>
        <w:rPr>
          <w:sz w:val="16"/>
          <w:szCs w:val="16"/>
        </w:rPr>
      </w:pPr>
    </w:p>
    <w:p w14:paraId="679B54C1" w14:textId="77777777" w:rsidR="00F47BC9" w:rsidRDefault="00F47BC9" w:rsidP="009C1FF7">
      <w:pPr>
        <w:pStyle w:val="a6"/>
        <w:spacing w:after="0"/>
        <w:ind w:left="0"/>
        <w:jc w:val="both"/>
        <w:rPr>
          <w:sz w:val="16"/>
          <w:szCs w:val="16"/>
        </w:rPr>
      </w:pPr>
    </w:p>
    <w:p w14:paraId="60FEEB81" w14:textId="77777777" w:rsidR="00F47BC9" w:rsidRDefault="00F47BC9" w:rsidP="009C1FF7">
      <w:pPr>
        <w:pStyle w:val="a6"/>
        <w:spacing w:after="0"/>
        <w:ind w:left="0"/>
        <w:jc w:val="both"/>
        <w:rPr>
          <w:sz w:val="16"/>
          <w:szCs w:val="16"/>
        </w:rPr>
      </w:pPr>
    </w:p>
    <w:p w14:paraId="7273A8F5" w14:textId="77777777" w:rsidR="00F47BC9" w:rsidRDefault="00F47BC9" w:rsidP="009C1FF7">
      <w:pPr>
        <w:pStyle w:val="a6"/>
        <w:spacing w:after="0"/>
        <w:ind w:left="0"/>
        <w:jc w:val="both"/>
        <w:rPr>
          <w:sz w:val="16"/>
          <w:szCs w:val="16"/>
        </w:rPr>
      </w:pPr>
    </w:p>
    <w:p w14:paraId="748CCCED" w14:textId="77777777" w:rsidR="00F47BC9" w:rsidRPr="004C2A69" w:rsidRDefault="00F47BC9" w:rsidP="009C1FF7">
      <w:pPr>
        <w:pStyle w:val="a6"/>
        <w:spacing w:after="0"/>
        <w:ind w:left="0"/>
        <w:jc w:val="both"/>
        <w:rPr>
          <w:sz w:val="16"/>
          <w:szCs w:val="16"/>
        </w:rPr>
      </w:pPr>
    </w:p>
    <w:p w14:paraId="6DEE9284" w14:textId="33C4C340" w:rsidR="00C918F0" w:rsidRPr="009C1FF7" w:rsidRDefault="00C918F0" w:rsidP="009363CA">
      <w:pPr>
        <w:pStyle w:val="a6"/>
        <w:numPr>
          <w:ilvl w:val="0"/>
          <w:numId w:val="2"/>
        </w:numPr>
        <w:tabs>
          <w:tab w:val="left" w:pos="1134"/>
        </w:tabs>
        <w:spacing w:after="0"/>
        <w:ind w:left="0" w:firstLine="709"/>
        <w:jc w:val="both"/>
        <w:rPr>
          <w:sz w:val="26"/>
          <w:szCs w:val="26"/>
        </w:rPr>
      </w:pPr>
      <w:r w:rsidRPr="009C1FF7">
        <w:rPr>
          <w:sz w:val="26"/>
          <w:szCs w:val="26"/>
        </w:rPr>
        <w:lastRenderedPageBreak/>
        <w:t>Оцінка впл</w:t>
      </w:r>
      <w:r w:rsidR="0007200E" w:rsidRPr="009C1FF7">
        <w:rPr>
          <w:sz w:val="26"/>
          <w:szCs w:val="26"/>
        </w:rPr>
        <w:t>иву на сферу інтересів громадян:</w:t>
      </w:r>
    </w:p>
    <w:p w14:paraId="7477BD9F" w14:textId="77777777" w:rsidR="00C918F0" w:rsidRPr="004C2A69" w:rsidRDefault="00C918F0" w:rsidP="009C1FF7">
      <w:pPr>
        <w:pStyle w:val="a6"/>
        <w:spacing w:after="0"/>
        <w:ind w:left="0"/>
        <w:jc w:val="both"/>
        <w:rPr>
          <w:sz w:val="16"/>
          <w:szCs w:val="1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4253"/>
        <w:gridCol w:w="2232"/>
      </w:tblGrid>
      <w:tr w:rsidR="00C918F0" w:rsidRPr="004C2A69" w14:paraId="5E213057" w14:textId="77777777" w:rsidTr="00E95445">
        <w:trPr>
          <w:trHeight w:val="496"/>
        </w:trPr>
        <w:tc>
          <w:tcPr>
            <w:tcW w:w="2977" w:type="dxa"/>
            <w:shd w:val="clear" w:color="auto" w:fill="auto"/>
            <w:vAlign w:val="center"/>
          </w:tcPr>
          <w:p w14:paraId="30B27DB7" w14:textId="77777777" w:rsidR="00C918F0" w:rsidRPr="004C2A69" w:rsidRDefault="00C918F0" w:rsidP="009C1FF7">
            <w:pPr>
              <w:pStyle w:val="21"/>
              <w:spacing w:after="0" w:line="240" w:lineRule="auto"/>
              <w:jc w:val="center"/>
              <w:rPr>
                <w:b/>
              </w:rPr>
            </w:pPr>
            <w:r w:rsidRPr="004C2A69">
              <w:rPr>
                <w:b/>
              </w:rPr>
              <w:t>Вид альтернативи</w:t>
            </w:r>
          </w:p>
        </w:tc>
        <w:tc>
          <w:tcPr>
            <w:tcW w:w="4253" w:type="dxa"/>
            <w:shd w:val="clear" w:color="auto" w:fill="auto"/>
            <w:vAlign w:val="center"/>
          </w:tcPr>
          <w:p w14:paraId="4A8DA02F" w14:textId="77777777" w:rsidR="00C918F0" w:rsidRPr="004C2A69" w:rsidRDefault="00C918F0" w:rsidP="009C1FF7">
            <w:pPr>
              <w:pStyle w:val="21"/>
              <w:spacing w:after="0" w:line="240" w:lineRule="auto"/>
              <w:jc w:val="center"/>
              <w:rPr>
                <w:b/>
              </w:rPr>
            </w:pPr>
            <w:r w:rsidRPr="004C2A69">
              <w:rPr>
                <w:b/>
              </w:rPr>
              <w:t>Вигоди</w:t>
            </w:r>
          </w:p>
        </w:tc>
        <w:tc>
          <w:tcPr>
            <w:tcW w:w="2232" w:type="dxa"/>
            <w:shd w:val="clear" w:color="auto" w:fill="auto"/>
            <w:vAlign w:val="center"/>
          </w:tcPr>
          <w:p w14:paraId="36470896" w14:textId="77777777" w:rsidR="00C918F0" w:rsidRPr="004C2A69" w:rsidRDefault="00C918F0" w:rsidP="009C1FF7">
            <w:pPr>
              <w:pStyle w:val="21"/>
              <w:spacing w:after="0" w:line="240" w:lineRule="auto"/>
              <w:jc w:val="center"/>
              <w:rPr>
                <w:b/>
              </w:rPr>
            </w:pPr>
            <w:r w:rsidRPr="004C2A69">
              <w:rPr>
                <w:b/>
              </w:rPr>
              <w:t>Витрати</w:t>
            </w:r>
          </w:p>
        </w:tc>
      </w:tr>
      <w:tr w:rsidR="00330363" w:rsidRPr="004C2A69" w14:paraId="414B6AAA" w14:textId="77777777" w:rsidTr="00E95445">
        <w:tc>
          <w:tcPr>
            <w:tcW w:w="2977" w:type="dxa"/>
            <w:shd w:val="clear" w:color="auto" w:fill="auto"/>
          </w:tcPr>
          <w:p w14:paraId="3A486F3E" w14:textId="77777777" w:rsidR="00330363" w:rsidRPr="004C2A69" w:rsidRDefault="00330363" w:rsidP="009C1FF7">
            <w:pPr>
              <w:pStyle w:val="21"/>
              <w:spacing w:after="0" w:line="240" w:lineRule="auto"/>
              <w:jc w:val="both"/>
              <w:rPr>
                <w:b/>
              </w:rPr>
            </w:pPr>
            <w:r w:rsidRPr="004C2A69">
              <w:rPr>
                <w:b/>
              </w:rPr>
              <w:t>Альтернатива 1</w:t>
            </w:r>
          </w:p>
          <w:p w14:paraId="07E07E1C" w14:textId="77777777" w:rsidR="00330363" w:rsidRPr="004C2A69" w:rsidRDefault="00330363" w:rsidP="009C1FF7">
            <w:pPr>
              <w:pStyle w:val="21"/>
              <w:spacing w:after="0" w:line="240" w:lineRule="auto"/>
            </w:pPr>
            <w:r w:rsidRPr="004C2A69">
              <w:t>Збереження чинного регулювання</w:t>
            </w:r>
          </w:p>
        </w:tc>
        <w:tc>
          <w:tcPr>
            <w:tcW w:w="4253" w:type="dxa"/>
            <w:shd w:val="clear" w:color="auto" w:fill="auto"/>
          </w:tcPr>
          <w:p w14:paraId="4A52B0D1" w14:textId="77777777" w:rsidR="00330363" w:rsidRPr="004C2A69" w:rsidRDefault="0007200E" w:rsidP="009C1FF7">
            <w:pPr>
              <w:pStyle w:val="21"/>
              <w:spacing w:after="0" w:line="240" w:lineRule="auto"/>
              <w:jc w:val="both"/>
            </w:pPr>
            <w:r w:rsidRPr="004C2A69">
              <w:t>Відсутні</w:t>
            </w:r>
            <w:r w:rsidR="0085193E" w:rsidRPr="004C2A69">
              <w:t>.</w:t>
            </w:r>
          </w:p>
        </w:tc>
        <w:tc>
          <w:tcPr>
            <w:tcW w:w="2232" w:type="dxa"/>
            <w:shd w:val="clear" w:color="auto" w:fill="auto"/>
          </w:tcPr>
          <w:p w14:paraId="6156280D" w14:textId="77777777" w:rsidR="00330363" w:rsidRPr="004C2A69" w:rsidRDefault="00CE0DE8" w:rsidP="009C1FF7">
            <w:pPr>
              <w:pStyle w:val="21"/>
              <w:spacing w:after="0" w:line="240" w:lineRule="auto"/>
            </w:pPr>
            <w:r w:rsidRPr="004C2A69">
              <w:t>Відсутні.</w:t>
            </w:r>
          </w:p>
        </w:tc>
      </w:tr>
      <w:tr w:rsidR="00330363" w:rsidRPr="004C2A69" w14:paraId="19EA17B8" w14:textId="77777777" w:rsidTr="00E95445">
        <w:tc>
          <w:tcPr>
            <w:tcW w:w="2977" w:type="dxa"/>
            <w:shd w:val="clear" w:color="auto" w:fill="auto"/>
          </w:tcPr>
          <w:p w14:paraId="0547E3D6" w14:textId="77777777" w:rsidR="00330363" w:rsidRPr="004C2A69" w:rsidRDefault="00330363" w:rsidP="009C1FF7">
            <w:pPr>
              <w:pStyle w:val="21"/>
              <w:spacing w:after="0" w:line="240" w:lineRule="auto"/>
              <w:jc w:val="both"/>
              <w:rPr>
                <w:b/>
              </w:rPr>
            </w:pPr>
            <w:r w:rsidRPr="004C2A69">
              <w:rPr>
                <w:b/>
              </w:rPr>
              <w:t>Альтернатива 2</w:t>
            </w:r>
          </w:p>
          <w:p w14:paraId="31FC47AF" w14:textId="77777777" w:rsidR="005D6D50" w:rsidRPr="004C2A69" w:rsidRDefault="00CE0DE8" w:rsidP="004C2A69">
            <w:pPr>
              <w:pStyle w:val="21"/>
              <w:spacing w:after="0" w:line="240" w:lineRule="auto"/>
              <w:rPr>
                <w:b/>
              </w:rPr>
            </w:pPr>
            <w:r w:rsidRPr="004C2A69">
              <w:t>Прийняття нового регуляторного акта</w:t>
            </w:r>
          </w:p>
        </w:tc>
        <w:tc>
          <w:tcPr>
            <w:tcW w:w="4253" w:type="dxa"/>
            <w:shd w:val="clear" w:color="auto" w:fill="auto"/>
          </w:tcPr>
          <w:p w14:paraId="3656CE3B" w14:textId="77777777" w:rsidR="00330363" w:rsidRPr="004C2A69" w:rsidRDefault="0007200E" w:rsidP="009C1FF7">
            <w:pPr>
              <w:pStyle w:val="21"/>
              <w:spacing w:after="0" w:line="240" w:lineRule="auto"/>
              <w:jc w:val="both"/>
            </w:pPr>
            <w:r w:rsidRPr="004C2A69">
              <w:t>Відсутні</w:t>
            </w:r>
            <w:r w:rsidR="0085193E" w:rsidRPr="004C2A69">
              <w:t>.</w:t>
            </w:r>
          </w:p>
        </w:tc>
        <w:tc>
          <w:tcPr>
            <w:tcW w:w="2232" w:type="dxa"/>
            <w:shd w:val="clear" w:color="auto" w:fill="auto"/>
          </w:tcPr>
          <w:p w14:paraId="3B32761D" w14:textId="77777777" w:rsidR="00330363" w:rsidRPr="004C2A69" w:rsidRDefault="00CE0DE8" w:rsidP="009C1FF7">
            <w:pPr>
              <w:overflowPunct w:val="0"/>
              <w:autoSpaceDE w:val="0"/>
              <w:autoSpaceDN w:val="0"/>
              <w:adjustRightInd w:val="0"/>
              <w:textAlignment w:val="baseline"/>
              <w:rPr>
                <w:lang w:val="uk-UA"/>
              </w:rPr>
            </w:pPr>
            <w:r w:rsidRPr="004C2A69">
              <w:rPr>
                <w:lang w:val="uk-UA"/>
              </w:rPr>
              <w:t>Відсутні</w:t>
            </w:r>
            <w:r w:rsidRPr="004C2A69">
              <w:t>.</w:t>
            </w:r>
          </w:p>
        </w:tc>
      </w:tr>
      <w:tr w:rsidR="00330363" w:rsidRPr="004C2A69" w14:paraId="77793AC8" w14:textId="77777777" w:rsidTr="00E95445">
        <w:tc>
          <w:tcPr>
            <w:tcW w:w="2977" w:type="dxa"/>
            <w:shd w:val="clear" w:color="auto" w:fill="auto"/>
          </w:tcPr>
          <w:p w14:paraId="449CB7DF" w14:textId="77777777" w:rsidR="00330363" w:rsidRPr="004C2A69" w:rsidRDefault="0007200E" w:rsidP="009C1FF7">
            <w:pPr>
              <w:pStyle w:val="21"/>
              <w:spacing w:after="0" w:line="240" w:lineRule="auto"/>
              <w:jc w:val="both"/>
              <w:rPr>
                <w:b/>
              </w:rPr>
            </w:pPr>
            <w:r w:rsidRPr="004C2A69">
              <w:rPr>
                <w:b/>
              </w:rPr>
              <w:t>А</w:t>
            </w:r>
            <w:r w:rsidR="00330363" w:rsidRPr="004C2A69">
              <w:rPr>
                <w:b/>
              </w:rPr>
              <w:t>льтернатива 3</w:t>
            </w:r>
          </w:p>
          <w:p w14:paraId="4B46D189" w14:textId="77777777" w:rsidR="00330363" w:rsidRPr="004C2A69" w:rsidRDefault="00CE0DE8" w:rsidP="009C1FF7">
            <w:pPr>
              <w:pStyle w:val="21"/>
              <w:spacing w:after="0" w:line="240" w:lineRule="auto"/>
            </w:pPr>
            <w:r w:rsidRPr="004C2A69">
              <w:t>Внесення змін до чинного регуляторного акта</w:t>
            </w:r>
          </w:p>
        </w:tc>
        <w:tc>
          <w:tcPr>
            <w:tcW w:w="4253" w:type="dxa"/>
            <w:shd w:val="clear" w:color="auto" w:fill="auto"/>
          </w:tcPr>
          <w:p w14:paraId="76E14158" w14:textId="77777777" w:rsidR="00963B75" w:rsidRPr="004C2A69" w:rsidRDefault="0023524A" w:rsidP="009C1FF7">
            <w:pPr>
              <w:overflowPunct w:val="0"/>
              <w:autoSpaceDE w:val="0"/>
              <w:autoSpaceDN w:val="0"/>
              <w:adjustRightInd w:val="0"/>
              <w:textAlignment w:val="baseline"/>
              <w:rPr>
                <w:lang w:val="uk-UA"/>
              </w:rPr>
            </w:pPr>
            <w:r w:rsidRPr="004C2A69">
              <w:rPr>
                <w:lang w:val="uk-UA"/>
              </w:rPr>
              <w:t>Удосконалення взаємовідносин</w:t>
            </w:r>
            <w:r w:rsidR="00963B75" w:rsidRPr="004C2A69">
              <w:rPr>
                <w:lang w:val="uk-UA"/>
              </w:rPr>
              <w:t xml:space="preserve"> на роздрібному ринку електричної енергії.</w:t>
            </w:r>
          </w:p>
        </w:tc>
        <w:tc>
          <w:tcPr>
            <w:tcW w:w="2232" w:type="dxa"/>
            <w:shd w:val="clear" w:color="auto" w:fill="auto"/>
          </w:tcPr>
          <w:p w14:paraId="3A94BF3C" w14:textId="77777777" w:rsidR="00330363" w:rsidRPr="004C2A69" w:rsidRDefault="00276984" w:rsidP="009C1FF7">
            <w:pPr>
              <w:overflowPunct w:val="0"/>
              <w:autoSpaceDE w:val="0"/>
              <w:autoSpaceDN w:val="0"/>
              <w:adjustRightInd w:val="0"/>
              <w:textAlignment w:val="baseline"/>
              <w:rPr>
                <w:lang w:val="uk-UA"/>
              </w:rPr>
            </w:pPr>
            <w:r w:rsidRPr="004C2A69">
              <w:rPr>
                <w:lang w:val="uk-UA"/>
              </w:rPr>
              <w:t>Додаткових витрат не передбачається</w:t>
            </w:r>
            <w:r w:rsidR="0085193E" w:rsidRPr="004C2A69">
              <w:rPr>
                <w:lang w:val="uk-UA"/>
              </w:rPr>
              <w:t>.</w:t>
            </w:r>
          </w:p>
        </w:tc>
      </w:tr>
    </w:tbl>
    <w:p w14:paraId="00D110A2" w14:textId="77777777" w:rsidR="00AE4E72" w:rsidRPr="00005855" w:rsidRDefault="00AE4E72" w:rsidP="009C1FF7">
      <w:pPr>
        <w:pStyle w:val="a6"/>
        <w:spacing w:after="0"/>
        <w:ind w:left="0"/>
        <w:jc w:val="both"/>
        <w:rPr>
          <w:sz w:val="16"/>
          <w:szCs w:val="16"/>
        </w:rPr>
      </w:pPr>
    </w:p>
    <w:p w14:paraId="6F77C1A2" w14:textId="77777777" w:rsidR="00C918F0" w:rsidRPr="009C1FF7" w:rsidRDefault="00C918F0" w:rsidP="009363CA">
      <w:pPr>
        <w:pStyle w:val="a6"/>
        <w:numPr>
          <w:ilvl w:val="0"/>
          <w:numId w:val="2"/>
        </w:numPr>
        <w:tabs>
          <w:tab w:val="left" w:pos="1134"/>
        </w:tabs>
        <w:spacing w:after="0"/>
        <w:ind w:left="0" w:firstLine="709"/>
        <w:jc w:val="both"/>
        <w:rPr>
          <w:sz w:val="26"/>
          <w:szCs w:val="26"/>
        </w:rPr>
      </w:pPr>
      <w:r w:rsidRPr="009C1FF7">
        <w:rPr>
          <w:sz w:val="26"/>
          <w:szCs w:val="26"/>
        </w:rPr>
        <w:t>Оцінка впливу на сферу інт</w:t>
      </w:r>
      <w:r w:rsidR="00633DCD" w:rsidRPr="009C1FF7">
        <w:rPr>
          <w:sz w:val="26"/>
          <w:szCs w:val="26"/>
        </w:rPr>
        <w:t>ересів суб'єктів господарювання:</w:t>
      </w:r>
    </w:p>
    <w:p w14:paraId="604C5930" w14:textId="77777777" w:rsidR="0007200E" w:rsidRPr="00005855" w:rsidRDefault="0007200E" w:rsidP="009C1FF7">
      <w:pPr>
        <w:pStyle w:val="a6"/>
        <w:spacing w:after="0"/>
        <w:ind w:left="0"/>
        <w:jc w:val="both"/>
        <w:rPr>
          <w:sz w:val="16"/>
          <w:szCs w:val="1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1"/>
        <w:gridCol w:w="3907"/>
        <w:gridCol w:w="2374"/>
      </w:tblGrid>
      <w:tr w:rsidR="00C918F0" w:rsidRPr="00005855" w14:paraId="0E87A298" w14:textId="77777777" w:rsidTr="00E95445">
        <w:trPr>
          <w:trHeight w:val="496"/>
        </w:trPr>
        <w:tc>
          <w:tcPr>
            <w:tcW w:w="3181" w:type="dxa"/>
            <w:shd w:val="clear" w:color="auto" w:fill="auto"/>
            <w:vAlign w:val="center"/>
          </w:tcPr>
          <w:p w14:paraId="6C067D0C" w14:textId="77777777" w:rsidR="00C918F0" w:rsidRPr="00005855" w:rsidRDefault="00C918F0" w:rsidP="009C1FF7">
            <w:pPr>
              <w:pStyle w:val="21"/>
              <w:spacing w:after="0" w:line="240" w:lineRule="auto"/>
              <w:jc w:val="center"/>
              <w:rPr>
                <w:b/>
              </w:rPr>
            </w:pPr>
            <w:r w:rsidRPr="00005855">
              <w:br w:type="page"/>
            </w:r>
            <w:r w:rsidRPr="00005855">
              <w:rPr>
                <w:b/>
              </w:rPr>
              <w:t>Вид альтернативи</w:t>
            </w:r>
          </w:p>
        </w:tc>
        <w:tc>
          <w:tcPr>
            <w:tcW w:w="3907" w:type="dxa"/>
            <w:shd w:val="clear" w:color="auto" w:fill="auto"/>
            <w:vAlign w:val="center"/>
          </w:tcPr>
          <w:p w14:paraId="4FF823CE" w14:textId="77777777" w:rsidR="00C918F0" w:rsidRPr="00005855" w:rsidRDefault="00C918F0" w:rsidP="009C1FF7">
            <w:pPr>
              <w:pStyle w:val="21"/>
              <w:spacing w:after="0" w:line="240" w:lineRule="auto"/>
              <w:jc w:val="center"/>
              <w:rPr>
                <w:b/>
              </w:rPr>
            </w:pPr>
            <w:r w:rsidRPr="00005855">
              <w:rPr>
                <w:b/>
              </w:rPr>
              <w:t>Вигоди</w:t>
            </w:r>
          </w:p>
        </w:tc>
        <w:tc>
          <w:tcPr>
            <w:tcW w:w="2374" w:type="dxa"/>
            <w:shd w:val="clear" w:color="auto" w:fill="auto"/>
            <w:vAlign w:val="center"/>
          </w:tcPr>
          <w:p w14:paraId="7D8265C8" w14:textId="77777777" w:rsidR="00C918F0" w:rsidRPr="00005855" w:rsidRDefault="00C918F0" w:rsidP="009C1FF7">
            <w:pPr>
              <w:pStyle w:val="21"/>
              <w:spacing w:after="0" w:line="240" w:lineRule="auto"/>
              <w:jc w:val="center"/>
              <w:rPr>
                <w:b/>
              </w:rPr>
            </w:pPr>
            <w:r w:rsidRPr="00005855">
              <w:rPr>
                <w:b/>
              </w:rPr>
              <w:t>Витрати</w:t>
            </w:r>
          </w:p>
        </w:tc>
      </w:tr>
      <w:tr w:rsidR="001C6DC1" w:rsidRPr="00005855" w14:paraId="5FBC1A7D" w14:textId="77777777" w:rsidTr="00E95445">
        <w:tc>
          <w:tcPr>
            <w:tcW w:w="3181" w:type="dxa"/>
            <w:shd w:val="clear" w:color="auto" w:fill="auto"/>
          </w:tcPr>
          <w:p w14:paraId="04755B4B" w14:textId="77777777" w:rsidR="001C6DC1" w:rsidRPr="00005855" w:rsidRDefault="001C6DC1" w:rsidP="009C1FF7">
            <w:pPr>
              <w:pStyle w:val="21"/>
              <w:spacing w:after="0" w:line="240" w:lineRule="auto"/>
              <w:rPr>
                <w:b/>
              </w:rPr>
            </w:pPr>
            <w:r w:rsidRPr="00005855">
              <w:rPr>
                <w:b/>
              </w:rPr>
              <w:t>Альтернатива 1</w:t>
            </w:r>
          </w:p>
          <w:p w14:paraId="253BF6F5" w14:textId="77777777" w:rsidR="001C6DC1" w:rsidRPr="00005855" w:rsidRDefault="0007200E" w:rsidP="009C1FF7">
            <w:pPr>
              <w:pStyle w:val="21"/>
              <w:spacing w:after="0" w:line="240" w:lineRule="auto"/>
            </w:pPr>
            <w:r w:rsidRPr="00005855">
              <w:t>Збереження чинного регулювання</w:t>
            </w:r>
            <w:r w:rsidR="00AD33D3" w:rsidRPr="00005855">
              <w:t>.</w:t>
            </w:r>
          </w:p>
        </w:tc>
        <w:tc>
          <w:tcPr>
            <w:tcW w:w="3907" w:type="dxa"/>
            <w:shd w:val="clear" w:color="auto" w:fill="auto"/>
          </w:tcPr>
          <w:p w14:paraId="087DDD04" w14:textId="77777777" w:rsidR="001C6DC1" w:rsidRPr="00005855" w:rsidRDefault="0007200E" w:rsidP="009C1FF7">
            <w:pPr>
              <w:pStyle w:val="21"/>
              <w:spacing w:after="0" w:line="240" w:lineRule="auto"/>
              <w:jc w:val="both"/>
            </w:pPr>
            <w:r w:rsidRPr="00005855">
              <w:t>Відсутні</w:t>
            </w:r>
            <w:r w:rsidR="0085193E" w:rsidRPr="00005855">
              <w:t>.</w:t>
            </w:r>
          </w:p>
        </w:tc>
        <w:tc>
          <w:tcPr>
            <w:tcW w:w="2374" w:type="dxa"/>
            <w:shd w:val="clear" w:color="auto" w:fill="auto"/>
          </w:tcPr>
          <w:p w14:paraId="5F9484EB" w14:textId="77777777" w:rsidR="001C6DC1" w:rsidRPr="00005855" w:rsidRDefault="00D053DC" w:rsidP="009C1FF7">
            <w:pPr>
              <w:pStyle w:val="21"/>
              <w:spacing w:after="0" w:line="240" w:lineRule="auto"/>
            </w:pPr>
            <w:r w:rsidRPr="00005855">
              <w:t>Відсутні.</w:t>
            </w:r>
          </w:p>
        </w:tc>
      </w:tr>
      <w:tr w:rsidR="00276984" w:rsidRPr="00005855" w14:paraId="2466A96E" w14:textId="77777777" w:rsidTr="00E95445">
        <w:tc>
          <w:tcPr>
            <w:tcW w:w="3181" w:type="dxa"/>
            <w:shd w:val="clear" w:color="auto" w:fill="auto"/>
          </w:tcPr>
          <w:p w14:paraId="4E51158F" w14:textId="77777777" w:rsidR="00276984" w:rsidRPr="00005855" w:rsidRDefault="00276984" w:rsidP="009C1FF7">
            <w:pPr>
              <w:pStyle w:val="21"/>
              <w:spacing w:after="0" w:line="240" w:lineRule="auto"/>
              <w:rPr>
                <w:b/>
              </w:rPr>
            </w:pPr>
            <w:r w:rsidRPr="00005855">
              <w:rPr>
                <w:b/>
              </w:rPr>
              <w:t>Альтернатива 2</w:t>
            </w:r>
          </w:p>
          <w:p w14:paraId="17B4FB39" w14:textId="77777777" w:rsidR="00276984" w:rsidRPr="00005855" w:rsidRDefault="00D053DC" w:rsidP="009C1FF7">
            <w:pPr>
              <w:pStyle w:val="21"/>
              <w:spacing w:after="0" w:line="240" w:lineRule="auto"/>
              <w:rPr>
                <w:b/>
              </w:rPr>
            </w:pPr>
            <w:r w:rsidRPr="00005855">
              <w:t>Прийняття нового регуляторного акта</w:t>
            </w:r>
            <w:r w:rsidR="00AD33D3" w:rsidRPr="00005855">
              <w:t>.</w:t>
            </w:r>
          </w:p>
        </w:tc>
        <w:tc>
          <w:tcPr>
            <w:tcW w:w="3907" w:type="dxa"/>
            <w:shd w:val="clear" w:color="auto" w:fill="auto"/>
          </w:tcPr>
          <w:p w14:paraId="15167F3E" w14:textId="77777777" w:rsidR="00276984" w:rsidRPr="00005855" w:rsidRDefault="00276984" w:rsidP="009C1FF7">
            <w:pPr>
              <w:pStyle w:val="21"/>
              <w:spacing w:after="0" w:line="240" w:lineRule="auto"/>
              <w:jc w:val="both"/>
            </w:pPr>
            <w:r w:rsidRPr="00005855">
              <w:t>Відсутні</w:t>
            </w:r>
            <w:r w:rsidR="0085193E" w:rsidRPr="00005855">
              <w:t>.</w:t>
            </w:r>
          </w:p>
        </w:tc>
        <w:tc>
          <w:tcPr>
            <w:tcW w:w="2374" w:type="dxa"/>
            <w:shd w:val="clear" w:color="auto" w:fill="auto"/>
          </w:tcPr>
          <w:p w14:paraId="1B1C3695" w14:textId="77777777" w:rsidR="00276984" w:rsidRPr="00005855" w:rsidRDefault="00D053DC" w:rsidP="009C1FF7">
            <w:pPr>
              <w:pStyle w:val="21"/>
              <w:spacing w:after="0" w:line="240" w:lineRule="auto"/>
              <w:jc w:val="both"/>
            </w:pPr>
            <w:r w:rsidRPr="00005855">
              <w:t>Відсутні.</w:t>
            </w:r>
          </w:p>
        </w:tc>
      </w:tr>
      <w:tr w:rsidR="001C6DC1" w:rsidRPr="00005855" w14:paraId="48BA6DBB" w14:textId="77777777" w:rsidTr="00E95445">
        <w:tc>
          <w:tcPr>
            <w:tcW w:w="3181" w:type="dxa"/>
            <w:shd w:val="clear" w:color="auto" w:fill="auto"/>
          </w:tcPr>
          <w:p w14:paraId="117E9663" w14:textId="77777777" w:rsidR="001C6DC1" w:rsidRPr="00005855" w:rsidRDefault="0007200E" w:rsidP="009C1FF7">
            <w:pPr>
              <w:pStyle w:val="21"/>
              <w:spacing w:after="0" w:line="240" w:lineRule="auto"/>
              <w:rPr>
                <w:b/>
              </w:rPr>
            </w:pPr>
            <w:r w:rsidRPr="00005855">
              <w:rPr>
                <w:b/>
              </w:rPr>
              <w:t>А</w:t>
            </w:r>
            <w:r w:rsidR="001C6DC1" w:rsidRPr="00005855">
              <w:rPr>
                <w:b/>
              </w:rPr>
              <w:t>льтернатива 3</w:t>
            </w:r>
          </w:p>
          <w:p w14:paraId="405C1AFF" w14:textId="77777777" w:rsidR="001C6DC1" w:rsidRPr="00005855" w:rsidRDefault="00D053DC" w:rsidP="009C1FF7">
            <w:pPr>
              <w:pStyle w:val="21"/>
              <w:spacing w:after="0" w:line="240" w:lineRule="auto"/>
            </w:pPr>
            <w:r w:rsidRPr="00005855">
              <w:t>Внесення змін до чинного регуляторного акта</w:t>
            </w:r>
          </w:p>
        </w:tc>
        <w:tc>
          <w:tcPr>
            <w:tcW w:w="3907" w:type="dxa"/>
            <w:shd w:val="clear" w:color="auto" w:fill="auto"/>
          </w:tcPr>
          <w:p w14:paraId="288489F8" w14:textId="77777777" w:rsidR="001C6DC1" w:rsidRPr="00005855" w:rsidRDefault="00963B75" w:rsidP="009C1FF7">
            <w:pPr>
              <w:overflowPunct w:val="0"/>
              <w:autoSpaceDE w:val="0"/>
              <w:autoSpaceDN w:val="0"/>
              <w:adjustRightInd w:val="0"/>
              <w:textAlignment w:val="baseline"/>
              <w:rPr>
                <w:lang w:val="uk-UA"/>
              </w:rPr>
            </w:pPr>
            <w:r w:rsidRPr="00005855">
              <w:rPr>
                <w:lang w:val="uk-UA"/>
              </w:rPr>
              <w:t>Удосконалення взаємовідносин на роздрібному ринку електричної енергії.</w:t>
            </w:r>
          </w:p>
        </w:tc>
        <w:tc>
          <w:tcPr>
            <w:tcW w:w="2374" w:type="dxa"/>
            <w:shd w:val="clear" w:color="auto" w:fill="auto"/>
          </w:tcPr>
          <w:p w14:paraId="7FADC70E" w14:textId="77777777" w:rsidR="001C6DC1" w:rsidRPr="00005855" w:rsidRDefault="001C6DC1" w:rsidP="009C1FF7">
            <w:pPr>
              <w:overflowPunct w:val="0"/>
              <w:autoSpaceDE w:val="0"/>
              <w:autoSpaceDN w:val="0"/>
              <w:adjustRightInd w:val="0"/>
              <w:textAlignment w:val="baseline"/>
              <w:rPr>
                <w:lang w:val="uk-UA"/>
              </w:rPr>
            </w:pPr>
            <w:r w:rsidRPr="00005855">
              <w:rPr>
                <w:lang w:val="uk-UA"/>
              </w:rPr>
              <w:t>Дода</w:t>
            </w:r>
            <w:r w:rsidR="0007200E" w:rsidRPr="00005855">
              <w:rPr>
                <w:lang w:val="uk-UA"/>
              </w:rPr>
              <w:t>ткових витрат не передбачається</w:t>
            </w:r>
            <w:r w:rsidR="00CA5B01" w:rsidRPr="00005855">
              <w:rPr>
                <w:lang w:val="uk-UA"/>
              </w:rPr>
              <w:t>.</w:t>
            </w:r>
          </w:p>
        </w:tc>
      </w:tr>
    </w:tbl>
    <w:p w14:paraId="33106C56" w14:textId="77777777" w:rsidR="00E95445" w:rsidRPr="00005855" w:rsidRDefault="00E95445" w:rsidP="009C1FF7">
      <w:pPr>
        <w:pStyle w:val="a6"/>
        <w:spacing w:after="0"/>
        <w:ind w:left="0" w:firstLine="709"/>
        <w:jc w:val="both"/>
        <w:rPr>
          <w:b/>
          <w:sz w:val="16"/>
          <w:szCs w:val="16"/>
        </w:rPr>
      </w:pPr>
    </w:p>
    <w:p w14:paraId="1818EB13" w14:textId="77777777" w:rsidR="00C918F0" w:rsidRPr="009C1FF7" w:rsidRDefault="00C918F0" w:rsidP="009C1FF7">
      <w:pPr>
        <w:pStyle w:val="a6"/>
        <w:spacing w:after="0"/>
        <w:ind w:left="0"/>
        <w:jc w:val="center"/>
        <w:rPr>
          <w:b/>
          <w:sz w:val="26"/>
          <w:szCs w:val="26"/>
        </w:rPr>
      </w:pPr>
      <w:r w:rsidRPr="009C1FF7">
        <w:rPr>
          <w:b/>
          <w:sz w:val="26"/>
          <w:szCs w:val="26"/>
        </w:rPr>
        <w:t xml:space="preserve">ІV. Вибір найбільш оптимального альтернативного способу досягнення </w:t>
      </w:r>
      <w:r w:rsidR="00914C8A" w:rsidRPr="009C1FF7">
        <w:rPr>
          <w:b/>
          <w:sz w:val="26"/>
          <w:szCs w:val="26"/>
        </w:rPr>
        <w:t>цілей</w:t>
      </w:r>
    </w:p>
    <w:p w14:paraId="0EFEE47D" w14:textId="77777777" w:rsidR="00C918F0" w:rsidRPr="00005855" w:rsidRDefault="00C918F0" w:rsidP="009C1FF7">
      <w:pPr>
        <w:pStyle w:val="a6"/>
        <w:spacing w:after="0"/>
        <w:ind w:left="0"/>
        <w:jc w:val="both"/>
        <w:rPr>
          <w:sz w:val="16"/>
          <w:szCs w:val="1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5"/>
        <w:gridCol w:w="2677"/>
        <w:gridCol w:w="3650"/>
      </w:tblGrid>
      <w:tr w:rsidR="00C918F0" w:rsidRPr="00005855" w14:paraId="0C650E6B" w14:textId="77777777" w:rsidTr="00EC0CCB">
        <w:trPr>
          <w:trHeight w:val="1289"/>
        </w:trPr>
        <w:tc>
          <w:tcPr>
            <w:tcW w:w="3135" w:type="dxa"/>
            <w:tcBorders>
              <w:top w:val="outset" w:sz="6" w:space="0" w:color="auto"/>
              <w:left w:val="outset" w:sz="6" w:space="0" w:color="auto"/>
              <w:bottom w:val="outset" w:sz="6" w:space="0" w:color="auto"/>
              <w:right w:val="outset" w:sz="6" w:space="0" w:color="auto"/>
            </w:tcBorders>
            <w:shd w:val="clear" w:color="auto" w:fill="auto"/>
            <w:vAlign w:val="center"/>
          </w:tcPr>
          <w:p w14:paraId="639045CE" w14:textId="77777777" w:rsidR="00C918F0" w:rsidRPr="00005855" w:rsidRDefault="00C918F0" w:rsidP="009C1FF7">
            <w:pPr>
              <w:pStyle w:val="a4"/>
              <w:spacing w:before="0" w:beforeAutospacing="0" w:after="0" w:afterAutospacing="0"/>
              <w:jc w:val="center"/>
              <w:rPr>
                <w:b/>
                <w:lang w:val="uk-UA"/>
              </w:rPr>
            </w:pPr>
            <w:r w:rsidRPr="00005855">
              <w:rPr>
                <w:b/>
                <w:lang w:val="uk-UA"/>
              </w:rPr>
              <w:t>Рейтинг результативності (досягнення цілей під час вирішення проблеми)</w:t>
            </w:r>
          </w:p>
        </w:tc>
        <w:tc>
          <w:tcPr>
            <w:tcW w:w="2677" w:type="dxa"/>
            <w:tcBorders>
              <w:top w:val="outset" w:sz="6" w:space="0" w:color="auto"/>
              <w:left w:val="outset" w:sz="6" w:space="0" w:color="auto"/>
              <w:bottom w:val="outset" w:sz="6" w:space="0" w:color="auto"/>
              <w:right w:val="outset" w:sz="6" w:space="0" w:color="auto"/>
            </w:tcBorders>
            <w:shd w:val="clear" w:color="auto" w:fill="auto"/>
            <w:vAlign w:val="center"/>
          </w:tcPr>
          <w:p w14:paraId="30D2EB18" w14:textId="77777777" w:rsidR="00C918F0" w:rsidRPr="00005855" w:rsidRDefault="00C918F0" w:rsidP="009C1FF7">
            <w:pPr>
              <w:pStyle w:val="a4"/>
              <w:spacing w:before="0" w:beforeAutospacing="0" w:after="0" w:afterAutospacing="0"/>
              <w:jc w:val="center"/>
              <w:rPr>
                <w:b/>
                <w:lang w:val="uk-UA"/>
              </w:rPr>
            </w:pPr>
            <w:r w:rsidRPr="00005855">
              <w:rPr>
                <w:b/>
                <w:lang w:val="uk-UA"/>
              </w:rPr>
              <w:t>Бал результативності</w:t>
            </w:r>
          </w:p>
          <w:p w14:paraId="2691C9D8" w14:textId="77777777" w:rsidR="00C918F0" w:rsidRPr="00005855" w:rsidRDefault="00C918F0" w:rsidP="009C1FF7">
            <w:pPr>
              <w:pStyle w:val="a4"/>
              <w:spacing w:before="0" w:beforeAutospacing="0" w:after="0" w:afterAutospacing="0"/>
              <w:jc w:val="center"/>
              <w:rPr>
                <w:b/>
                <w:lang w:val="uk-UA"/>
              </w:rPr>
            </w:pPr>
            <w:r w:rsidRPr="00005855">
              <w:rPr>
                <w:b/>
                <w:lang w:val="uk-UA"/>
              </w:rPr>
              <w:t>(за чотирибальною системою оцінки)</w:t>
            </w:r>
          </w:p>
        </w:tc>
        <w:tc>
          <w:tcPr>
            <w:tcW w:w="3650" w:type="dxa"/>
            <w:tcBorders>
              <w:top w:val="outset" w:sz="6" w:space="0" w:color="auto"/>
              <w:left w:val="outset" w:sz="6" w:space="0" w:color="auto"/>
              <w:bottom w:val="outset" w:sz="6" w:space="0" w:color="auto"/>
              <w:right w:val="outset" w:sz="6" w:space="0" w:color="auto"/>
            </w:tcBorders>
            <w:shd w:val="clear" w:color="auto" w:fill="auto"/>
            <w:vAlign w:val="center"/>
          </w:tcPr>
          <w:p w14:paraId="41F919F1" w14:textId="77777777" w:rsidR="00C918F0" w:rsidRPr="00005855" w:rsidRDefault="00C918F0" w:rsidP="009C1FF7">
            <w:pPr>
              <w:pStyle w:val="a4"/>
              <w:spacing w:before="0" w:beforeAutospacing="0" w:after="0" w:afterAutospacing="0"/>
              <w:jc w:val="center"/>
              <w:rPr>
                <w:b/>
                <w:lang w:val="uk-UA"/>
              </w:rPr>
            </w:pPr>
            <w:r w:rsidRPr="00005855">
              <w:rPr>
                <w:b/>
                <w:lang w:val="uk-UA"/>
              </w:rPr>
              <w:t>Коментарі щодо присвоєння відповідного бала</w:t>
            </w:r>
          </w:p>
        </w:tc>
      </w:tr>
      <w:tr w:rsidR="00BC053E" w:rsidRPr="00005855" w14:paraId="7EC5CBEC" w14:textId="77777777" w:rsidTr="00EC0CCB">
        <w:tc>
          <w:tcPr>
            <w:tcW w:w="3135" w:type="dxa"/>
            <w:shd w:val="clear" w:color="auto" w:fill="auto"/>
          </w:tcPr>
          <w:p w14:paraId="1BE6C683" w14:textId="77777777" w:rsidR="00BC053E" w:rsidRPr="00005855" w:rsidRDefault="00BC053E" w:rsidP="009C1FF7">
            <w:pPr>
              <w:pStyle w:val="21"/>
              <w:spacing w:after="0" w:line="240" w:lineRule="auto"/>
              <w:jc w:val="both"/>
              <w:rPr>
                <w:b/>
              </w:rPr>
            </w:pPr>
            <w:r w:rsidRPr="00005855">
              <w:rPr>
                <w:b/>
              </w:rPr>
              <w:t>Альтернатива 1</w:t>
            </w:r>
          </w:p>
          <w:p w14:paraId="7F5A466F" w14:textId="77777777" w:rsidR="00BC053E" w:rsidRPr="00005855" w:rsidRDefault="0007200E" w:rsidP="009C1FF7">
            <w:pPr>
              <w:pStyle w:val="21"/>
              <w:spacing w:after="0" w:line="240" w:lineRule="auto"/>
            </w:pPr>
            <w:r w:rsidRPr="00005855">
              <w:t>Збереження чинного регулювання</w:t>
            </w:r>
          </w:p>
        </w:tc>
        <w:tc>
          <w:tcPr>
            <w:tcW w:w="2677" w:type="dxa"/>
            <w:shd w:val="clear" w:color="auto" w:fill="auto"/>
          </w:tcPr>
          <w:p w14:paraId="454D0F07" w14:textId="77777777" w:rsidR="00BC053E" w:rsidRPr="00005855" w:rsidRDefault="00CA5B01" w:rsidP="009C1FF7">
            <w:pPr>
              <w:jc w:val="center"/>
              <w:rPr>
                <w:lang w:val="uk-UA"/>
              </w:rPr>
            </w:pPr>
            <w:r w:rsidRPr="00005855">
              <w:rPr>
                <w:lang w:val="uk-UA"/>
              </w:rPr>
              <w:t>1</w:t>
            </w:r>
          </w:p>
        </w:tc>
        <w:tc>
          <w:tcPr>
            <w:tcW w:w="3650" w:type="dxa"/>
            <w:shd w:val="clear" w:color="auto" w:fill="auto"/>
          </w:tcPr>
          <w:p w14:paraId="38465F61" w14:textId="77777777" w:rsidR="00BC053E" w:rsidRPr="00005855" w:rsidRDefault="008319C6" w:rsidP="009C1FF7">
            <w:pPr>
              <w:rPr>
                <w:lang w:val="uk-UA"/>
              </w:rPr>
            </w:pPr>
            <w:r w:rsidRPr="00005855">
              <w:rPr>
                <w:lang w:val="uk-UA"/>
              </w:rPr>
              <w:t>Не виконуються вимоги чинного законодавства</w:t>
            </w:r>
          </w:p>
        </w:tc>
      </w:tr>
      <w:tr w:rsidR="00BC053E" w:rsidRPr="00005855" w14:paraId="5503BF73" w14:textId="77777777" w:rsidTr="00EC0CCB">
        <w:tc>
          <w:tcPr>
            <w:tcW w:w="3135" w:type="dxa"/>
            <w:shd w:val="clear" w:color="auto" w:fill="auto"/>
          </w:tcPr>
          <w:p w14:paraId="052D2C13" w14:textId="77777777" w:rsidR="00BC053E" w:rsidRPr="00005855" w:rsidRDefault="00BC053E" w:rsidP="009C1FF7">
            <w:pPr>
              <w:pStyle w:val="21"/>
              <w:spacing w:after="0" w:line="240" w:lineRule="auto"/>
              <w:jc w:val="both"/>
              <w:rPr>
                <w:b/>
              </w:rPr>
            </w:pPr>
            <w:r w:rsidRPr="00005855">
              <w:rPr>
                <w:b/>
              </w:rPr>
              <w:t>Альтернатива 2</w:t>
            </w:r>
          </w:p>
          <w:p w14:paraId="31009AD0" w14:textId="77777777" w:rsidR="00BC053E" w:rsidRPr="00005855" w:rsidRDefault="00AD33D3" w:rsidP="009C1FF7">
            <w:pPr>
              <w:pStyle w:val="21"/>
              <w:spacing w:after="0" w:line="240" w:lineRule="auto"/>
              <w:rPr>
                <w:b/>
              </w:rPr>
            </w:pPr>
            <w:r w:rsidRPr="00005855">
              <w:t>Прийняття нового регуляторного акта</w:t>
            </w:r>
          </w:p>
        </w:tc>
        <w:tc>
          <w:tcPr>
            <w:tcW w:w="2677" w:type="dxa"/>
            <w:shd w:val="clear" w:color="auto" w:fill="auto"/>
          </w:tcPr>
          <w:p w14:paraId="7F3FE318" w14:textId="77777777" w:rsidR="00BC053E" w:rsidRPr="00005855" w:rsidRDefault="00CA5B01" w:rsidP="009C1FF7">
            <w:pPr>
              <w:jc w:val="center"/>
              <w:rPr>
                <w:lang w:val="uk-UA"/>
              </w:rPr>
            </w:pPr>
            <w:r w:rsidRPr="00005855">
              <w:rPr>
                <w:lang w:val="uk-UA"/>
              </w:rPr>
              <w:t>2</w:t>
            </w:r>
          </w:p>
        </w:tc>
        <w:tc>
          <w:tcPr>
            <w:tcW w:w="3650" w:type="dxa"/>
            <w:shd w:val="clear" w:color="auto" w:fill="auto"/>
          </w:tcPr>
          <w:p w14:paraId="50F7FF23" w14:textId="77777777" w:rsidR="00BC053E" w:rsidRPr="00005855" w:rsidRDefault="00AC2793" w:rsidP="009C1FF7">
            <w:pPr>
              <w:rPr>
                <w:lang w:val="uk-UA"/>
              </w:rPr>
            </w:pPr>
            <w:r w:rsidRPr="00005855">
              <w:rPr>
                <w:lang w:val="uk-UA"/>
              </w:rPr>
              <w:t>Недоцільність прийняття нового регуляторного акта, який буде дублювати чинний регуляторний акт.</w:t>
            </w:r>
          </w:p>
        </w:tc>
      </w:tr>
      <w:tr w:rsidR="00BC053E" w:rsidRPr="00F47BC9" w14:paraId="088CC1BD" w14:textId="77777777" w:rsidTr="00EC0CCB">
        <w:tc>
          <w:tcPr>
            <w:tcW w:w="3135" w:type="dxa"/>
            <w:shd w:val="clear" w:color="auto" w:fill="auto"/>
          </w:tcPr>
          <w:p w14:paraId="0BD48189" w14:textId="77777777" w:rsidR="00BC053E" w:rsidRPr="00005855" w:rsidRDefault="0007200E" w:rsidP="009C1FF7">
            <w:pPr>
              <w:pStyle w:val="21"/>
              <w:spacing w:after="0" w:line="240" w:lineRule="auto"/>
              <w:jc w:val="both"/>
              <w:rPr>
                <w:b/>
              </w:rPr>
            </w:pPr>
            <w:r w:rsidRPr="00005855">
              <w:rPr>
                <w:b/>
              </w:rPr>
              <w:t>Обрана а</w:t>
            </w:r>
            <w:r w:rsidR="00BC053E" w:rsidRPr="00005855">
              <w:rPr>
                <w:b/>
              </w:rPr>
              <w:t>льтернатива 3</w:t>
            </w:r>
          </w:p>
          <w:p w14:paraId="727A27AE" w14:textId="77777777" w:rsidR="00AD33D3" w:rsidRPr="00005855" w:rsidRDefault="00AD33D3" w:rsidP="009C1FF7">
            <w:pPr>
              <w:pStyle w:val="21"/>
              <w:spacing w:after="0" w:line="240" w:lineRule="auto"/>
            </w:pPr>
            <w:r w:rsidRPr="00005855">
              <w:t>Внесення змін до чинного регуляторного акта</w:t>
            </w:r>
          </w:p>
        </w:tc>
        <w:tc>
          <w:tcPr>
            <w:tcW w:w="2677" w:type="dxa"/>
            <w:shd w:val="clear" w:color="auto" w:fill="auto"/>
          </w:tcPr>
          <w:p w14:paraId="53511FEB" w14:textId="77777777" w:rsidR="00BC053E" w:rsidRPr="00005855" w:rsidRDefault="00BC053E" w:rsidP="009C1FF7">
            <w:pPr>
              <w:jc w:val="center"/>
              <w:rPr>
                <w:lang w:val="uk-UA"/>
              </w:rPr>
            </w:pPr>
            <w:r w:rsidRPr="00005855">
              <w:rPr>
                <w:lang w:val="uk-UA"/>
              </w:rPr>
              <w:t>4</w:t>
            </w:r>
          </w:p>
        </w:tc>
        <w:tc>
          <w:tcPr>
            <w:tcW w:w="3650" w:type="dxa"/>
            <w:shd w:val="clear" w:color="auto" w:fill="auto"/>
          </w:tcPr>
          <w:p w14:paraId="6A424ED0" w14:textId="77777777" w:rsidR="00E0302F" w:rsidRPr="00737077" w:rsidRDefault="00276984" w:rsidP="009C1FF7">
            <w:pPr>
              <w:jc w:val="both"/>
              <w:rPr>
                <w:lang w:val="uk-UA"/>
              </w:rPr>
            </w:pPr>
            <w:r w:rsidRPr="00737077">
              <w:rPr>
                <w:lang w:val="uk-UA"/>
              </w:rPr>
              <w:t xml:space="preserve">Дозволяє вирішити проблему самим ефективним шляхом. </w:t>
            </w:r>
          </w:p>
          <w:p w14:paraId="0CD6769B" w14:textId="77777777" w:rsidR="00AC2793" w:rsidRPr="00737077" w:rsidRDefault="00AC2793" w:rsidP="009C1FF7">
            <w:pPr>
              <w:jc w:val="both"/>
              <w:rPr>
                <w:lang w:val="uk-UA"/>
              </w:rPr>
            </w:pPr>
            <w:r w:rsidRPr="00737077">
              <w:rPr>
                <w:lang w:val="uk-UA"/>
              </w:rPr>
              <w:t xml:space="preserve">Забезпечує </w:t>
            </w:r>
            <w:r w:rsidR="00E36378" w:rsidRPr="00737077">
              <w:rPr>
                <w:lang w:val="uk-UA"/>
              </w:rPr>
              <w:t>удосконалення норм та процедур</w:t>
            </w:r>
            <w:r w:rsidR="00005A4D" w:rsidRPr="00737077">
              <w:rPr>
                <w:lang w:val="uk-UA"/>
              </w:rPr>
              <w:t xml:space="preserve">, </w:t>
            </w:r>
            <w:r w:rsidR="00E36378" w:rsidRPr="00737077">
              <w:rPr>
                <w:lang w:val="uk-UA"/>
              </w:rPr>
              <w:t>визначених Правилами</w:t>
            </w:r>
            <w:r w:rsidR="00005A4D" w:rsidRPr="00737077">
              <w:rPr>
                <w:lang w:val="uk-UA"/>
              </w:rPr>
              <w:t xml:space="preserve"> та Порядком</w:t>
            </w:r>
            <w:r w:rsidRPr="00737077">
              <w:rPr>
                <w:lang w:val="uk-UA"/>
              </w:rPr>
              <w:t>.</w:t>
            </w:r>
          </w:p>
          <w:p w14:paraId="3E4E820E" w14:textId="1DF4DA9A" w:rsidR="002138F2" w:rsidRPr="00737077" w:rsidRDefault="00AC2793" w:rsidP="005D61F2">
            <w:pPr>
              <w:jc w:val="both"/>
              <w:rPr>
                <w:lang w:val="uk-UA"/>
              </w:rPr>
            </w:pPr>
            <w:r w:rsidRPr="00737077">
              <w:rPr>
                <w:lang w:val="uk-UA"/>
              </w:rPr>
              <w:t xml:space="preserve">Внесення відповідних змін до Правил </w:t>
            </w:r>
            <w:r w:rsidR="00005A4D" w:rsidRPr="00737077">
              <w:rPr>
                <w:lang w:val="uk-UA"/>
              </w:rPr>
              <w:t xml:space="preserve">та Порядку </w:t>
            </w:r>
            <w:r w:rsidRPr="00737077">
              <w:rPr>
                <w:lang w:val="uk-UA"/>
              </w:rPr>
              <w:t>сприятиме</w:t>
            </w:r>
            <w:r w:rsidR="00BF756B" w:rsidRPr="00737077">
              <w:rPr>
                <w:lang w:val="uk-UA"/>
              </w:rPr>
              <w:t xml:space="preserve"> удосконаленн</w:t>
            </w:r>
            <w:r w:rsidR="005C21B7">
              <w:rPr>
                <w:lang w:val="uk-UA"/>
              </w:rPr>
              <w:t>ю</w:t>
            </w:r>
            <w:r w:rsidR="00BF756B" w:rsidRPr="00737077">
              <w:rPr>
                <w:lang w:val="uk-UA"/>
              </w:rPr>
              <w:t xml:space="preserve"> їх норм</w:t>
            </w:r>
            <w:r w:rsidR="00F47BC9">
              <w:rPr>
                <w:lang w:val="uk-UA"/>
              </w:rPr>
              <w:t xml:space="preserve"> щодо </w:t>
            </w:r>
            <w:r w:rsidR="002138F2" w:rsidRPr="00737077">
              <w:rPr>
                <w:lang w:val="uk-UA"/>
              </w:rPr>
              <w:t>уточненн</w:t>
            </w:r>
            <w:r w:rsidR="00F47BC9">
              <w:rPr>
                <w:lang w:val="uk-UA"/>
              </w:rPr>
              <w:t>я</w:t>
            </w:r>
            <w:r w:rsidR="002138F2" w:rsidRPr="00737077">
              <w:rPr>
                <w:lang w:val="uk-UA"/>
              </w:rPr>
              <w:t xml:space="preserve"> </w:t>
            </w:r>
            <w:r w:rsidR="00E410B6" w:rsidRPr="00E410B6">
              <w:rPr>
                <w:lang w:val="uk-UA"/>
              </w:rPr>
              <w:t xml:space="preserve">прав та обов’язків учасників роздрібного ринку електричної енергії, зокрема збереження активним споживачем із встановленою </w:t>
            </w:r>
            <w:r w:rsidR="00E410B6" w:rsidRPr="00E410B6">
              <w:rPr>
                <w:lang w:val="uk-UA"/>
              </w:rPr>
              <w:lastRenderedPageBreak/>
              <w:t>потужністю генеруючих електроустановок більше 1 МВт статусу активного споживача у разі перевищення обсягу відпуску електричної енергії в мережу, виробленої його генеруючими електроустановками, 50 відсотків загального обсягу споживання електричної енергії за попередній календарний рік та права третіх осіб приєднувати до мереж виробників електричної енергії/</w:t>
            </w:r>
            <w:proofErr w:type="spellStart"/>
            <w:r w:rsidR="00E410B6" w:rsidRPr="00E410B6">
              <w:rPr>
                <w:lang w:val="uk-UA"/>
              </w:rPr>
              <w:t>теплопостачальників</w:t>
            </w:r>
            <w:proofErr w:type="spellEnd"/>
            <w:r w:rsidR="00E410B6" w:rsidRPr="00E410B6">
              <w:rPr>
                <w:lang w:val="uk-UA"/>
              </w:rPr>
              <w:t xml:space="preserve"> </w:t>
            </w:r>
            <w:proofErr w:type="spellStart"/>
            <w:r w:rsidR="00E410B6" w:rsidRPr="00E410B6">
              <w:rPr>
                <w:lang w:val="uk-UA"/>
              </w:rPr>
              <w:t>когенераційні</w:t>
            </w:r>
            <w:proofErr w:type="spellEnd"/>
            <w:r w:rsidR="00E410B6" w:rsidRPr="00E410B6">
              <w:rPr>
                <w:lang w:val="uk-UA"/>
              </w:rPr>
              <w:t xml:space="preserve"> установки електричною потужністю до 20</w:t>
            </w:r>
            <w:r w:rsidR="00E410B6">
              <w:rPr>
                <w:lang w:val="uk-UA"/>
              </w:rPr>
              <w:t> </w:t>
            </w:r>
            <w:r w:rsidR="00E410B6" w:rsidRPr="00E410B6">
              <w:rPr>
                <w:lang w:val="uk-UA"/>
              </w:rPr>
              <w:t xml:space="preserve">МВт для забезпечення власних потреб, а також можливістю продажу надлишків виробленої електроенергії за механізмом </w:t>
            </w:r>
            <w:r w:rsidR="00E410B6" w:rsidRPr="004E4ADB">
              <w:rPr>
                <w:lang w:val="uk-UA"/>
              </w:rPr>
              <w:t>самовиробництва</w:t>
            </w:r>
            <w:r w:rsidR="004E4ADB" w:rsidRPr="004E4ADB">
              <w:rPr>
                <w:lang w:val="uk-UA"/>
              </w:rPr>
              <w:t xml:space="preserve">, </w:t>
            </w:r>
            <w:r w:rsidR="00E410B6" w:rsidRPr="004E4ADB">
              <w:rPr>
                <w:lang w:val="uk-UA"/>
              </w:rPr>
              <w:t>обов’язку споживачів не</w:t>
            </w:r>
            <w:r w:rsidR="00E410B6" w:rsidRPr="00E410B6">
              <w:rPr>
                <w:lang w:val="uk-UA"/>
              </w:rPr>
              <w:t xml:space="preserve"> здійснювати несанкціонований відбір електричної енергії та зобов’язання </w:t>
            </w:r>
            <w:proofErr w:type="spellStart"/>
            <w:r w:rsidR="00E410B6" w:rsidRPr="00E410B6">
              <w:rPr>
                <w:lang w:val="uk-UA"/>
              </w:rPr>
              <w:t>електропостачальників</w:t>
            </w:r>
            <w:proofErr w:type="spellEnd"/>
            <w:r w:rsidR="00E410B6" w:rsidRPr="00E410B6">
              <w:rPr>
                <w:lang w:val="uk-UA"/>
              </w:rPr>
              <w:t xml:space="preserve"> забезпечувати </w:t>
            </w:r>
            <w:proofErr w:type="spellStart"/>
            <w:r w:rsidR="00E410B6" w:rsidRPr="00E410B6">
              <w:rPr>
                <w:lang w:val="uk-UA"/>
              </w:rPr>
              <w:t>недискримінаційність</w:t>
            </w:r>
            <w:proofErr w:type="spellEnd"/>
            <w:r w:rsidR="00E410B6" w:rsidRPr="00E410B6">
              <w:rPr>
                <w:lang w:val="uk-UA"/>
              </w:rPr>
              <w:t xml:space="preserve"> та пропорційність розрахунків перед операторами системи за відповідний розрахунковий період (місяць).</w:t>
            </w:r>
          </w:p>
          <w:p w14:paraId="64E03637" w14:textId="66BF7267" w:rsidR="00461DF2" w:rsidRPr="00E410B6" w:rsidRDefault="00461DF2" w:rsidP="005D61F2">
            <w:pPr>
              <w:jc w:val="both"/>
              <w:rPr>
                <w:sz w:val="16"/>
                <w:szCs w:val="16"/>
                <w:lang w:val="uk-UA"/>
              </w:rPr>
            </w:pPr>
          </w:p>
        </w:tc>
      </w:tr>
    </w:tbl>
    <w:p w14:paraId="1AF11667" w14:textId="77777777" w:rsidR="00EC0CCB" w:rsidRPr="009C1FF7" w:rsidRDefault="00EC0CCB" w:rsidP="009C1FF7">
      <w:pPr>
        <w:pStyle w:val="a6"/>
        <w:spacing w:after="0"/>
        <w:ind w:left="0"/>
        <w:jc w:val="both"/>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1985"/>
        <w:gridCol w:w="1842"/>
        <w:gridCol w:w="3225"/>
      </w:tblGrid>
      <w:tr w:rsidR="00C918F0" w:rsidRPr="00005855" w14:paraId="1548C251" w14:textId="77777777" w:rsidTr="005D6D50">
        <w:tc>
          <w:tcPr>
            <w:tcW w:w="2410" w:type="dxa"/>
            <w:shd w:val="clear" w:color="auto" w:fill="auto"/>
            <w:vAlign w:val="center"/>
          </w:tcPr>
          <w:p w14:paraId="2DF51D60" w14:textId="77777777" w:rsidR="00C918F0" w:rsidRPr="00005855" w:rsidRDefault="00C918F0" w:rsidP="009C1FF7">
            <w:pPr>
              <w:pStyle w:val="a4"/>
              <w:spacing w:before="0" w:beforeAutospacing="0" w:after="0" w:afterAutospacing="0"/>
              <w:jc w:val="center"/>
              <w:rPr>
                <w:b/>
                <w:lang w:val="uk-UA"/>
              </w:rPr>
            </w:pPr>
            <w:r w:rsidRPr="00005855">
              <w:rPr>
                <w:lang w:val="uk-UA"/>
              </w:rPr>
              <w:br w:type="page"/>
            </w:r>
            <w:r w:rsidRPr="00005855">
              <w:rPr>
                <w:b/>
                <w:lang w:val="uk-UA"/>
              </w:rPr>
              <w:t>Рейтинг результативності</w:t>
            </w:r>
          </w:p>
        </w:tc>
        <w:tc>
          <w:tcPr>
            <w:tcW w:w="1985" w:type="dxa"/>
            <w:shd w:val="clear" w:color="auto" w:fill="auto"/>
            <w:vAlign w:val="center"/>
          </w:tcPr>
          <w:p w14:paraId="2F74A8F1" w14:textId="77777777" w:rsidR="00C918F0" w:rsidRPr="00005855" w:rsidRDefault="00C918F0" w:rsidP="009C1FF7">
            <w:pPr>
              <w:pStyle w:val="a4"/>
              <w:spacing w:before="0" w:beforeAutospacing="0" w:after="0" w:afterAutospacing="0"/>
              <w:jc w:val="center"/>
              <w:rPr>
                <w:b/>
                <w:lang w:val="uk-UA"/>
              </w:rPr>
            </w:pPr>
            <w:r w:rsidRPr="00005855">
              <w:rPr>
                <w:b/>
                <w:lang w:val="uk-UA"/>
              </w:rPr>
              <w:t>Вигоди (підсумок)</w:t>
            </w:r>
          </w:p>
        </w:tc>
        <w:tc>
          <w:tcPr>
            <w:tcW w:w="1842" w:type="dxa"/>
            <w:shd w:val="clear" w:color="auto" w:fill="auto"/>
            <w:vAlign w:val="center"/>
          </w:tcPr>
          <w:p w14:paraId="298200D1" w14:textId="77777777" w:rsidR="00C918F0" w:rsidRPr="00005855" w:rsidRDefault="00C918F0" w:rsidP="009C1FF7">
            <w:pPr>
              <w:pStyle w:val="a4"/>
              <w:spacing w:before="0" w:beforeAutospacing="0" w:after="0" w:afterAutospacing="0"/>
              <w:jc w:val="center"/>
              <w:rPr>
                <w:b/>
                <w:lang w:val="uk-UA"/>
              </w:rPr>
            </w:pPr>
            <w:r w:rsidRPr="00005855">
              <w:rPr>
                <w:b/>
                <w:lang w:val="uk-UA"/>
              </w:rPr>
              <w:t>Витрати (підсумок)</w:t>
            </w:r>
          </w:p>
        </w:tc>
        <w:tc>
          <w:tcPr>
            <w:tcW w:w="3225" w:type="dxa"/>
            <w:shd w:val="clear" w:color="auto" w:fill="auto"/>
            <w:vAlign w:val="center"/>
          </w:tcPr>
          <w:p w14:paraId="7B660E8A" w14:textId="77777777" w:rsidR="00C918F0" w:rsidRPr="00005855" w:rsidRDefault="00C918F0" w:rsidP="009C1FF7">
            <w:pPr>
              <w:pStyle w:val="a4"/>
              <w:spacing w:before="0" w:beforeAutospacing="0" w:after="0" w:afterAutospacing="0"/>
              <w:jc w:val="center"/>
              <w:rPr>
                <w:b/>
                <w:lang w:val="uk-UA"/>
              </w:rPr>
            </w:pPr>
            <w:r w:rsidRPr="00005855">
              <w:rPr>
                <w:b/>
                <w:lang w:val="uk-UA"/>
              </w:rPr>
              <w:t>Обґрунтування відповідного місця альтернативи у рейтингу</w:t>
            </w:r>
          </w:p>
        </w:tc>
      </w:tr>
      <w:tr w:rsidR="00E969B9" w:rsidRPr="00005855" w14:paraId="6CF1D079" w14:textId="77777777" w:rsidTr="005D6D50">
        <w:tc>
          <w:tcPr>
            <w:tcW w:w="2410" w:type="dxa"/>
            <w:shd w:val="clear" w:color="auto" w:fill="auto"/>
          </w:tcPr>
          <w:p w14:paraId="23534C68" w14:textId="77777777" w:rsidR="00E969B9" w:rsidRPr="00005855" w:rsidRDefault="00E969B9" w:rsidP="009C1FF7">
            <w:pPr>
              <w:pStyle w:val="21"/>
              <w:spacing w:after="0" w:line="240" w:lineRule="auto"/>
              <w:jc w:val="both"/>
              <w:rPr>
                <w:b/>
              </w:rPr>
            </w:pPr>
            <w:r w:rsidRPr="00005855">
              <w:rPr>
                <w:b/>
              </w:rPr>
              <w:t>Альтернатива 1</w:t>
            </w:r>
          </w:p>
          <w:p w14:paraId="4DA70759" w14:textId="77777777" w:rsidR="00E969B9" w:rsidRPr="00005855" w:rsidRDefault="00E969B9" w:rsidP="009C1FF7">
            <w:pPr>
              <w:pStyle w:val="21"/>
              <w:spacing w:after="0" w:line="240" w:lineRule="auto"/>
            </w:pPr>
            <w:r w:rsidRPr="00005855">
              <w:t>Збереження чинного регулювання</w:t>
            </w:r>
          </w:p>
        </w:tc>
        <w:tc>
          <w:tcPr>
            <w:tcW w:w="1985" w:type="dxa"/>
            <w:shd w:val="clear" w:color="auto" w:fill="auto"/>
          </w:tcPr>
          <w:p w14:paraId="1BD1CBCF" w14:textId="77777777" w:rsidR="00E969B9" w:rsidRPr="00005855" w:rsidRDefault="00E969B9" w:rsidP="009C1FF7">
            <w:pPr>
              <w:rPr>
                <w:lang w:val="uk-UA"/>
              </w:rPr>
            </w:pPr>
            <w:r w:rsidRPr="00005855">
              <w:rPr>
                <w:lang w:val="uk-UA"/>
              </w:rPr>
              <w:t>Відсутні</w:t>
            </w:r>
            <w:r w:rsidR="00291610" w:rsidRPr="00005855">
              <w:rPr>
                <w:lang w:val="uk-UA"/>
              </w:rPr>
              <w:t>.</w:t>
            </w:r>
          </w:p>
        </w:tc>
        <w:tc>
          <w:tcPr>
            <w:tcW w:w="1842" w:type="dxa"/>
            <w:shd w:val="clear" w:color="auto" w:fill="auto"/>
          </w:tcPr>
          <w:p w14:paraId="5A847BF2" w14:textId="77777777" w:rsidR="00E969B9" w:rsidRPr="00005855" w:rsidRDefault="00AC2793" w:rsidP="009C1FF7">
            <w:pPr>
              <w:jc w:val="both"/>
              <w:rPr>
                <w:lang w:val="uk-UA"/>
              </w:rPr>
            </w:pPr>
            <w:r w:rsidRPr="00005855">
              <w:rPr>
                <w:lang w:val="uk-UA"/>
              </w:rPr>
              <w:t>Відсутні.</w:t>
            </w:r>
          </w:p>
        </w:tc>
        <w:tc>
          <w:tcPr>
            <w:tcW w:w="3225" w:type="dxa"/>
            <w:shd w:val="clear" w:color="auto" w:fill="auto"/>
          </w:tcPr>
          <w:p w14:paraId="2793D226" w14:textId="77777777" w:rsidR="00E969B9" w:rsidRPr="00005855" w:rsidRDefault="008319C6" w:rsidP="009C1FF7">
            <w:pPr>
              <w:rPr>
                <w:lang w:val="uk-UA"/>
              </w:rPr>
            </w:pPr>
            <w:r w:rsidRPr="00005855">
              <w:rPr>
                <w:lang w:val="uk-UA"/>
              </w:rPr>
              <w:t>Не виконуються вимоги чинного законодавства</w:t>
            </w:r>
          </w:p>
        </w:tc>
      </w:tr>
      <w:tr w:rsidR="00E969B9" w:rsidRPr="00005855" w14:paraId="21C90213" w14:textId="77777777" w:rsidTr="005D6D50">
        <w:tc>
          <w:tcPr>
            <w:tcW w:w="2410" w:type="dxa"/>
            <w:shd w:val="clear" w:color="auto" w:fill="auto"/>
          </w:tcPr>
          <w:p w14:paraId="13D7958A" w14:textId="77777777" w:rsidR="00E969B9" w:rsidRPr="00005855" w:rsidRDefault="00E969B9" w:rsidP="009C1FF7">
            <w:pPr>
              <w:pStyle w:val="21"/>
              <w:spacing w:after="0" w:line="240" w:lineRule="auto"/>
              <w:jc w:val="both"/>
              <w:rPr>
                <w:b/>
              </w:rPr>
            </w:pPr>
            <w:r w:rsidRPr="00005855">
              <w:rPr>
                <w:b/>
              </w:rPr>
              <w:t>Альтернатива 2</w:t>
            </w:r>
          </w:p>
          <w:p w14:paraId="5090920B" w14:textId="77777777" w:rsidR="00E969B9" w:rsidRPr="00005855" w:rsidRDefault="00AC2793" w:rsidP="009C1FF7">
            <w:pPr>
              <w:pStyle w:val="21"/>
              <w:spacing w:after="0" w:line="240" w:lineRule="auto"/>
              <w:rPr>
                <w:b/>
              </w:rPr>
            </w:pPr>
            <w:r w:rsidRPr="00005855">
              <w:t>Прийняття нового регуляторного акта</w:t>
            </w:r>
          </w:p>
        </w:tc>
        <w:tc>
          <w:tcPr>
            <w:tcW w:w="1985" w:type="dxa"/>
            <w:shd w:val="clear" w:color="auto" w:fill="auto"/>
          </w:tcPr>
          <w:p w14:paraId="553F91B4" w14:textId="77777777" w:rsidR="00E969B9" w:rsidRPr="00005855" w:rsidRDefault="0007200E" w:rsidP="009C1FF7">
            <w:pPr>
              <w:pStyle w:val="21"/>
              <w:spacing w:after="0" w:line="240" w:lineRule="auto"/>
              <w:jc w:val="both"/>
            </w:pPr>
            <w:r w:rsidRPr="00005855">
              <w:t>Відсутні</w:t>
            </w:r>
            <w:r w:rsidR="00291610" w:rsidRPr="00005855">
              <w:t>.</w:t>
            </w:r>
          </w:p>
        </w:tc>
        <w:tc>
          <w:tcPr>
            <w:tcW w:w="1842" w:type="dxa"/>
            <w:shd w:val="clear" w:color="auto" w:fill="auto"/>
          </w:tcPr>
          <w:p w14:paraId="02C57AD7" w14:textId="77777777" w:rsidR="00E969B9" w:rsidRPr="00005855" w:rsidRDefault="00AC2793" w:rsidP="009C1FF7">
            <w:pPr>
              <w:pStyle w:val="21"/>
              <w:spacing w:after="0" w:line="240" w:lineRule="auto"/>
              <w:jc w:val="both"/>
            </w:pPr>
            <w:r w:rsidRPr="00005855">
              <w:t>Відсутні.</w:t>
            </w:r>
          </w:p>
        </w:tc>
        <w:tc>
          <w:tcPr>
            <w:tcW w:w="3225" w:type="dxa"/>
            <w:shd w:val="clear" w:color="auto" w:fill="auto"/>
          </w:tcPr>
          <w:p w14:paraId="6D06326A" w14:textId="77777777" w:rsidR="00E969B9" w:rsidRPr="00005855" w:rsidRDefault="00AC2793" w:rsidP="009C1FF7">
            <w:pPr>
              <w:rPr>
                <w:lang w:val="uk-UA"/>
              </w:rPr>
            </w:pPr>
            <w:r w:rsidRPr="00005855">
              <w:rPr>
                <w:lang w:val="uk-UA"/>
              </w:rPr>
              <w:t xml:space="preserve">Недоцільність прийняття нового регуляторного акта, </w:t>
            </w:r>
          </w:p>
        </w:tc>
      </w:tr>
      <w:tr w:rsidR="00AC2793" w:rsidRPr="00005855" w14:paraId="0276CC5E" w14:textId="77777777" w:rsidTr="005D6D50">
        <w:tc>
          <w:tcPr>
            <w:tcW w:w="2410" w:type="dxa"/>
            <w:shd w:val="clear" w:color="auto" w:fill="auto"/>
          </w:tcPr>
          <w:p w14:paraId="37615D28" w14:textId="77777777" w:rsidR="00AC2793" w:rsidRPr="00005855" w:rsidRDefault="00AC2793" w:rsidP="009C1FF7">
            <w:pPr>
              <w:pStyle w:val="21"/>
              <w:spacing w:after="0" w:line="240" w:lineRule="auto"/>
              <w:jc w:val="both"/>
              <w:rPr>
                <w:b/>
              </w:rPr>
            </w:pPr>
            <w:r w:rsidRPr="00005855">
              <w:rPr>
                <w:b/>
              </w:rPr>
              <w:t>Обрана альтернатива 3</w:t>
            </w:r>
          </w:p>
          <w:p w14:paraId="2D3FA199" w14:textId="77777777" w:rsidR="00AC2793" w:rsidRPr="00005855" w:rsidRDefault="00AC2793" w:rsidP="009C1FF7">
            <w:pPr>
              <w:pStyle w:val="21"/>
              <w:spacing w:after="0" w:line="240" w:lineRule="auto"/>
            </w:pPr>
            <w:r w:rsidRPr="00005855">
              <w:t>Внесення змін до чинного регуляторного акта</w:t>
            </w:r>
          </w:p>
        </w:tc>
        <w:tc>
          <w:tcPr>
            <w:tcW w:w="1985" w:type="dxa"/>
            <w:shd w:val="clear" w:color="auto" w:fill="auto"/>
          </w:tcPr>
          <w:p w14:paraId="7D272ACB" w14:textId="77777777" w:rsidR="00AC2793" w:rsidRPr="00005855" w:rsidRDefault="00AC2793" w:rsidP="009C1FF7">
            <w:pPr>
              <w:rPr>
                <w:lang w:val="uk-UA"/>
              </w:rPr>
            </w:pPr>
            <w:r w:rsidRPr="00005855">
              <w:rPr>
                <w:lang w:val="uk-UA"/>
              </w:rPr>
              <w:t>Забезпечує досягнення цілей державного регулювання.</w:t>
            </w:r>
          </w:p>
        </w:tc>
        <w:tc>
          <w:tcPr>
            <w:tcW w:w="1842" w:type="dxa"/>
            <w:shd w:val="clear" w:color="auto" w:fill="auto"/>
          </w:tcPr>
          <w:p w14:paraId="62A1A122" w14:textId="77777777" w:rsidR="00AC2793" w:rsidRPr="00005855" w:rsidRDefault="00D22881" w:rsidP="009C1FF7">
            <w:pPr>
              <w:rPr>
                <w:lang w:val="uk-UA"/>
              </w:rPr>
            </w:pPr>
            <w:r w:rsidRPr="00005855">
              <w:rPr>
                <w:lang w:val="uk-UA"/>
              </w:rPr>
              <w:t>Відсутні.</w:t>
            </w:r>
          </w:p>
        </w:tc>
        <w:tc>
          <w:tcPr>
            <w:tcW w:w="3225" w:type="dxa"/>
            <w:shd w:val="clear" w:color="auto" w:fill="auto"/>
          </w:tcPr>
          <w:p w14:paraId="6DAF8B10" w14:textId="77777777" w:rsidR="00461DF2" w:rsidRPr="00005855" w:rsidRDefault="00AC2793" w:rsidP="00005855">
            <w:pPr>
              <w:jc w:val="both"/>
            </w:pPr>
            <w:r w:rsidRPr="00005855">
              <w:rPr>
                <w:lang w:val="uk-UA"/>
              </w:rPr>
              <w:t xml:space="preserve">Дозволяє вирішити проблему самим ефективним шляхом. </w:t>
            </w:r>
            <w:r w:rsidR="00B1639E" w:rsidRPr="00005855">
              <w:rPr>
                <w:lang w:val="uk-UA"/>
              </w:rPr>
              <w:t>Забезпечує удосконалення норм та процедур визначених Правилами</w:t>
            </w:r>
            <w:r w:rsidR="00361C75" w:rsidRPr="00005855">
              <w:rPr>
                <w:lang w:val="uk-UA"/>
              </w:rPr>
              <w:t xml:space="preserve"> та Порядком</w:t>
            </w:r>
            <w:r w:rsidR="00B1639E" w:rsidRPr="00005855">
              <w:rPr>
                <w:lang w:val="uk-UA"/>
              </w:rPr>
              <w:t>.</w:t>
            </w:r>
          </w:p>
        </w:tc>
      </w:tr>
    </w:tbl>
    <w:p w14:paraId="228AE6D3" w14:textId="77777777" w:rsidR="00C918F0" w:rsidRDefault="00C918F0" w:rsidP="009C1FF7">
      <w:pPr>
        <w:pStyle w:val="a6"/>
        <w:spacing w:after="0"/>
        <w:ind w:left="0"/>
        <w:jc w:val="both"/>
        <w:rPr>
          <w:sz w:val="26"/>
          <w:szCs w:val="26"/>
        </w:rPr>
      </w:pPr>
    </w:p>
    <w:p w14:paraId="336A7AA8" w14:textId="77777777" w:rsidR="00E410B6" w:rsidRDefault="00E410B6" w:rsidP="009C1FF7">
      <w:pPr>
        <w:pStyle w:val="a6"/>
        <w:spacing w:after="0"/>
        <w:ind w:left="0"/>
        <w:jc w:val="both"/>
        <w:rPr>
          <w:sz w:val="26"/>
          <w:szCs w:val="26"/>
        </w:rPr>
      </w:pPr>
    </w:p>
    <w:p w14:paraId="1C6BE1BF" w14:textId="77777777" w:rsidR="00E410B6" w:rsidRDefault="00E410B6" w:rsidP="009C1FF7">
      <w:pPr>
        <w:pStyle w:val="a6"/>
        <w:spacing w:after="0"/>
        <w:ind w:left="0"/>
        <w:jc w:val="both"/>
        <w:rPr>
          <w:sz w:val="26"/>
          <w:szCs w:val="26"/>
        </w:rPr>
      </w:pPr>
    </w:p>
    <w:p w14:paraId="74FE8B79" w14:textId="77777777" w:rsidR="00E410B6" w:rsidRPr="009C1FF7" w:rsidRDefault="00E410B6" w:rsidP="009C1FF7">
      <w:pPr>
        <w:pStyle w:val="a6"/>
        <w:spacing w:after="0"/>
        <w:ind w:left="0"/>
        <w:jc w:val="both"/>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1"/>
        <w:gridCol w:w="4143"/>
        <w:gridCol w:w="2658"/>
      </w:tblGrid>
      <w:tr w:rsidR="00C918F0" w:rsidRPr="00005855" w14:paraId="629B98A9" w14:textId="77777777" w:rsidTr="00AE5E9D">
        <w:tc>
          <w:tcPr>
            <w:tcW w:w="2661" w:type="dxa"/>
            <w:shd w:val="clear" w:color="auto" w:fill="auto"/>
            <w:vAlign w:val="center"/>
          </w:tcPr>
          <w:p w14:paraId="45C5FABB" w14:textId="77777777" w:rsidR="00C918F0" w:rsidRPr="00005855" w:rsidRDefault="00C918F0" w:rsidP="009C1FF7">
            <w:pPr>
              <w:pStyle w:val="a4"/>
              <w:spacing w:before="0" w:beforeAutospacing="0" w:after="0" w:afterAutospacing="0"/>
              <w:jc w:val="center"/>
              <w:rPr>
                <w:b/>
                <w:lang w:val="uk-UA"/>
              </w:rPr>
            </w:pPr>
            <w:r w:rsidRPr="00005855">
              <w:rPr>
                <w:b/>
                <w:lang w:val="uk-UA"/>
              </w:rPr>
              <w:lastRenderedPageBreak/>
              <w:t>Рейтинг</w:t>
            </w:r>
          </w:p>
        </w:tc>
        <w:tc>
          <w:tcPr>
            <w:tcW w:w="4143" w:type="dxa"/>
            <w:shd w:val="clear" w:color="auto" w:fill="auto"/>
            <w:vAlign w:val="center"/>
          </w:tcPr>
          <w:p w14:paraId="5730ACC0" w14:textId="77777777" w:rsidR="00C918F0" w:rsidRPr="00005855" w:rsidRDefault="00C918F0" w:rsidP="009C1FF7">
            <w:pPr>
              <w:pStyle w:val="a4"/>
              <w:spacing w:before="0" w:beforeAutospacing="0" w:after="0" w:afterAutospacing="0"/>
              <w:jc w:val="center"/>
              <w:rPr>
                <w:b/>
                <w:lang w:val="uk-UA"/>
              </w:rPr>
            </w:pPr>
            <w:r w:rsidRPr="00005855">
              <w:rPr>
                <w:b/>
                <w:lang w:val="uk-UA"/>
              </w:rPr>
              <w:t>Аргументи щодо переваги обраної альтернативи / причини відмови від альтернативи</w:t>
            </w:r>
          </w:p>
        </w:tc>
        <w:tc>
          <w:tcPr>
            <w:tcW w:w="2658" w:type="dxa"/>
            <w:shd w:val="clear" w:color="auto" w:fill="auto"/>
            <w:vAlign w:val="center"/>
          </w:tcPr>
          <w:p w14:paraId="01603345" w14:textId="77777777" w:rsidR="00C918F0" w:rsidRPr="00005855" w:rsidRDefault="00C918F0" w:rsidP="009C1FF7">
            <w:pPr>
              <w:pStyle w:val="a4"/>
              <w:spacing w:before="0" w:beforeAutospacing="0" w:after="0" w:afterAutospacing="0"/>
              <w:jc w:val="center"/>
              <w:rPr>
                <w:b/>
                <w:lang w:val="uk-UA"/>
              </w:rPr>
            </w:pPr>
            <w:r w:rsidRPr="00005855">
              <w:rPr>
                <w:b/>
                <w:lang w:val="uk-UA"/>
              </w:rPr>
              <w:t>Оцінка ризику зовнішніх чинників на дію запропонованого регуляторного акта</w:t>
            </w:r>
          </w:p>
        </w:tc>
      </w:tr>
      <w:tr w:rsidR="00105307" w:rsidRPr="00005855" w14:paraId="744C89D2" w14:textId="77777777" w:rsidTr="00AE5E9D">
        <w:tc>
          <w:tcPr>
            <w:tcW w:w="2661" w:type="dxa"/>
            <w:shd w:val="clear" w:color="auto" w:fill="auto"/>
          </w:tcPr>
          <w:p w14:paraId="063C66E3" w14:textId="77777777" w:rsidR="00105307" w:rsidRPr="00005855" w:rsidRDefault="00105307" w:rsidP="009C1FF7">
            <w:pPr>
              <w:pStyle w:val="21"/>
              <w:spacing w:after="0" w:line="240" w:lineRule="auto"/>
              <w:jc w:val="both"/>
              <w:rPr>
                <w:b/>
              </w:rPr>
            </w:pPr>
            <w:r w:rsidRPr="00005855">
              <w:rPr>
                <w:b/>
              </w:rPr>
              <w:t>Альтернатива 1</w:t>
            </w:r>
          </w:p>
          <w:p w14:paraId="5643C916" w14:textId="77777777" w:rsidR="00105307" w:rsidRPr="00005855" w:rsidRDefault="0007200E" w:rsidP="009C1FF7">
            <w:pPr>
              <w:pStyle w:val="21"/>
              <w:spacing w:after="0" w:line="240" w:lineRule="auto"/>
            </w:pPr>
            <w:r w:rsidRPr="00005855">
              <w:t>Збереження чинного регулювання</w:t>
            </w:r>
          </w:p>
        </w:tc>
        <w:tc>
          <w:tcPr>
            <w:tcW w:w="4143" w:type="dxa"/>
            <w:shd w:val="clear" w:color="auto" w:fill="auto"/>
          </w:tcPr>
          <w:p w14:paraId="01863ACC" w14:textId="77777777" w:rsidR="00105307" w:rsidRPr="00005855" w:rsidRDefault="008319C6" w:rsidP="009C1FF7">
            <w:pPr>
              <w:rPr>
                <w:lang w:val="uk-UA"/>
              </w:rPr>
            </w:pPr>
            <w:r w:rsidRPr="00005855">
              <w:rPr>
                <w:lang w:val="uk-UA"/>
              </w:rPr>
              <w:t>Не дозволяє виконувати вимоги чинного законодавства</w:t>
            </w:r>
          </w:p>
        </w:tc>
        <w:tc>
          <w:tcPr>
            <w:tcW w:w="2658" w:type="dxa"/>
            <w:shd w:val="clear" w:color="auto" w:fill="auto"/>
          </w:tcPr>
          <w:p w14:paraId="158A4382" w14:textId="77777777" w:rsidR="00105307" w:rsidRPr="00005855" w:rsidRDefault="00105307" w:rsidP="009C1FF7">
            <w:pPr>
              <w:rPr>
                <w:lang w:val="uk-UA"/>
              </w:rPr>
            </w:pPr>
            <w:r w:rsidRPr="00005855">
              <w:rPr>
                <w:lang w:val="uk-UA"/>
              </w:rPr>
              <w:t>Відсутні</w:t>
            </w:r>
            <w:r w:rsidR="00291610" w:rsidRPr="00005855">
              <w:rPr>
                <w:lang w:val="uk-UA"/>
              </w:rPr>
              <w:t>.</w:t>
            </w:r>
          </w:p>
        </w:tc>
      </w:tr>
      <w:tr w:rsidR="00105307" w:rsidRPr="00005855" w14:paraId="1B17E7F2" w14:textId="77777777" w:rsidTr="00AE5E9D">
        <w:tc>
          <w:tcPr>
            <w:tcW w:w="2661" w:type="dxa"/>
            <w:shd w:val="clear" w:color="auto" w:fill="auto"/>
          </w:tcPr>
          <w:p w14:paraId="37504074" w14:textId="77777777" w:rsidR="00105307" w:rsidRPr="00005855" w:rsidRDefault="00105307" w:rsidP="009C1FF7">
            <w:pPr>
              <w:pStyle w:val="21"/>
              <w:spacing w:after="0" w:line="240" w:lineRule="auto"/>
              <w:jc w:val="both"/>
              <w:rPr>
                <w:b/>
              </w:rPr>
            </w:pPr>
            <w:r w:rsidRPr="00005855">
              <w:rPr>
                <w:b/>
              </w:rPr>
              <w:t>Альтернатива 2</w:t>
            </w:r>
          </w:p>
          <w:p w14:paraId="1CC56774" w14:textId="77777777" w:rsidR="00105307" w:rsidRPr="00005855" w:rsidRDefault="00FD097E" w:rsidP="009C1FF7">
            <w:pPr>
              <w:pStyle w:val="21"/>
              <w:spacing w:after="0" w:line="240" w:lineRule="auto"/>
            </w:pPr>
            <w:r w:rsidRPr="00005855">
              <w:t>Прийняття нового регуляторного акта</w:t>
            </w:r>
          </w:p>
        </w:tc>
        <w:tc>
          <w:tcPr>
            <w:tcW w:w="4143" w:type="dxa"/>
            <w:shd w:val="clear" w:color="auto" w:fill="auto"/>
          </w:tcPr>
          <w:p w14:paraId="5C1E814A" w14:textId="77777777" w:rsidR="00105307" w:rsidRPr="00005855" w:rsidRDefault="00FD097E" w:rsidP="009C1FF7">
            <w:pPr>
              <w:rPr>
                <w:lang w:val="uk-UA"/>
              </w:rPr>
            </w:pPr>
            <w:r w:rsidRPr="00005855">
              <w:rPr>
                <w:lang w:val="uk-UA"/>
              </w:rPr>
              <w:t>Недоцільність прийняття нового регуляторного акта, який буде дублювати чинний регуляторний акт.</w:t>
            </w:r>
          </w:p>
        </w:tc>
        <w:tc>
          <w:tcPr>
            <w:tcW w:w="2658" w:type="dxa"/>
            <w:shd w:val="clear" w:color="auto" w:fill="auto"/>
          </w:tcPr>
          <w:p w14:paraId="1952DDE9" w14:textId="77777777" w:rsidR="00105307" w:rsidRPr="00005855" w:rsidRDefault="00105307" w:rsidP="009C1FF7">
            <w:pPr>
              <w:rPr>
                <w:lang w:val="uk-UA"/>
              </w:rPr>
            </w:pPr>
            <w:r w:rsidRPr="00005855">
              <w:rPr>
                <w:lang w:val="uk-UA"/>
              </w:rPr>
              <w:t>Відсутні</w:t>
            </w:r>
            <w:r w:rsidR="00291610" w:rsidRPr="00005855">
              <w:rPr>
                <w:lang w:val="uk-UA"/>
              </w:rPr>
              <w:t>.</w:t>
            </w:r>
          </w:p>
        </w:tc>
      </w:tr>
      <w:tr w:rsidR="00105307" w:rsidRPr="00005855" w14:paraId="33652D9B" w14:textId="77777777" w:rsidTr="00AE5E9D">
        <w:tc>
          <w:tcPr>
            <w:tcW w:w="2661" w:type="dxa"/>
            <w:shd w:val="clear" w:color="auto" w:fill="auto"/>
          </w:tcPr>
          <w:p w14:paraId="7F2A0082" w14:textId="77777777" w:rsidR="00AE4E72" w:rsidRPr="00005855" w:rsidRDefault="00105307" w:rsidP="009C1FF7">
            <w:pPr>
              <w:pStyle w:val="21"/>
              <w:spacing w:after="0" w:line="240" w:lineRule="auto"/>
              <w:jc w:val="both"/>
              <w:rPr>
                <w:b/>
              </w:rPr>
            </w:pPr>
            <w:r w:rsidRPr="00005855">
              <w:rPr>
                <w:b/>
              </w:rPr>
              <w:t xml:space="preserve">Обрана </w:t>
            </w:r>
          </w:p>
          <w:p w14:paraId="09627404" w14:textId="77777777" w:rsidR="00105307" w:rsidRPr="00005855" w:rsidRDefault="00105307" w:rsidP="009C1FF7">
            <w:pPr>
              <w:pStyle w:val="21"/>
              <w:spacing w:after="0" w:line="240" w:lineRule="auto"/>
              <w:jc w:val="both"/>
              <w:rPr>
                <w:b/>
              </w:rPr>
            </w:pPr>
            <w:r w:rsidRPr="00005855">
              <w:rPr>
                <w:b/>
              </w:rPr>
              <w:t>альтернатива 3</w:t>
            </w:r>
          </w:p>
          <w:p w14:paraId="21096970" w14:textId="77777777" w:rsidR="00105307" w:rsidRPr="00005855" w:rsidRDefault="00FD097E" w:rsidP="009C1FF7">
            <w:pPr>
              <w:pStyle w:val="21"/>
              <w:spacing w:after="0" w:line="240" w:lineRule="auto"/>
            </w:pPr>
            <w:r w:rsidRPr="00005855">
              <w:t>Внесення змін до чинного регуляторного акта</w:t>
            </w:r>
          </w:p>
        </w:tc>
        <w:tc>
          <w:tcPr>
            <w:tcW w:w="4143" w:type="dxa"/>
            <w:shd w:val="clear" w:color="auto" w:fill="auto"/>
          </w:tcPr>
          <w:p w14:paraId="011EB912" w14:textId="77777777" w:rsidR="00FD097E" w:rsidRPr="00005855" w:rsidRDefault="00FD097E" w:rsidP="009C1FF7">
            <w:pPr>
              <w:rPr>
                <w:lang w:val="uk-UA"/>
              </w:rPr>
            </w:pPr>
            <w:r w:rsidRPr="00005855">
              <w:rPr>
                <w:lang w:val="uk-UA"/>
              </w:rPr>
              <w:t xml:space="preserve">Дозволяє вирішити проблему самим ефективним шляхом. </w:t>
            </w:r>
          </w:p>
          <w:p w14:paraId="12AE90AE" w14:textId="77777777" w:rsidR="00461DF2" w:rsidRPr="00005855" w:rsidRDefault="00461DF2" w:rsidP="009C1FF7">
            <w:pPr>
              <w:jc w:val="both"/>
              <w:rPr>
                <w:lang w:val="uk-UA"/>
              </w:rPr>
            </w:pPr>
          </w:p>
        </w:tc>
        <w:tc>
          <w:tcPr>
            <w:tcW w:w="2658" w:type="dxa"/>
            <w:shd w:val="clear" w:color="auto" w:fill="auto"/>
          </w:tcPr>
          <w:p w14:paraId="4DF10BF9" w14:textId="77777777" w:rsidR="00105307" w:rsidRPr="00005855" w:rsidRDefault="00105307" w:rsidP="009C1FF7">
            <w:pPr>
              <w:rPr>
                <w:lang w:val="uk-UA"/>
              </w:rPr>
            </w:pPr>
            <w:r w:rsidRPr="00005855">
              <w:rPr>
                <w:lang w:val="uk-UA"/>
              </w:rPr>
              <w:t>Відсутні</w:t>
            </w:r>
            <w:r w:rsidR="00291610" w:rsidRPr="00005855">
              <w:rPr>
                <w:lang w:val="uk-UA"/>
              </w:rPr>
              <w:t>.</w:t>
            </w:r>
          </w:p>
        </w:tc>
      </w:tr>
    </w:tbl>
    <w:p w14:paraId="4B9362E2" w14:textId="77777777" w:rsidR="00EC0CCB" w:rsidRPr="00005855" w:rsidRDefault="00EC0CCB" w:rsidP="009C1FF7">
      <w:pPr>
        <w:pStyle w:val="a6"/>
        <w:spacing w:after="0"/>
        <w:ind w:left="0" w:firstLine="709"/>
        <w:jc w:val="both"/>
        <w:rPr>
          <w:b/>
          <w:sz w:val="16"/>
          <w:szCs w:val="16"/>
        </w:rPr>
      </w:pPr>
    </w:p>
    <w:p w14:paraId="70454E31" w14:textId="77777777" w:rsidR="00C918F0" w:rsidRPr="009C1FF7" w:rsidRDefault="00C918F0" w:rsidP="009C1FF7">
      <w:pPr>
        <w:pStyle w:val="a6"/>
        <w:spacing w:after="0"/>
        <w:ind w:left="0"/>
        <w:jc w:val="center"/>
        <w:rPr>
          <w:b/>
          <w:sz w:val="26"/>
          <w:szCs w:val="26"/>
        </w:rPr>
      </w:pPr>
      <w:r w:rsidRPr="009C1FF7">
        <w:rPr>
          <w:b/>
          <w:sz w:val="26"/>
          <w:szCs w:val="26"/>
        </w:rPr>
        <w:t>V. Механізми та заходи, які забезпечать розв'язання визначеної проблеми</w:t>
      </w:r>
    </w:p>
    <w:p w14:paraId="2DD5A2B1" w14:textId="77777777" w:rsidR="0018292F" w:rsidRPr="00005855" w:rsidRDefault="0018292F" w:rsidP="009C1FF7">
      <w:pPr>
        <w:pStyle w:val="a6"/>
        <w:spacing w:after="0"/>
        <w:ind w:left="0" w:firstLine="709"/>
        <w:jc w:val="both"/>
        <w:rPr>
          <w:b/>
          <w:sz w:val="16"/>
          <w:szCs w:val="16"/>
        </w:rPr>
      </w:pPr>
    </w:p>
    <w:p w14:paraId="77CF218F" w14:textId="77777777" w:rsidR="00F150C4" w:rsidRPr="009C1FF7" w:rsidRDefault="00C918F0" w:rsidP="009C1FF7">
      <w:pPr>
        <w:widowControl w:val="0"/>
        <w:ind w:firstLine="709"/>
        <w:jc w:val="both"/>
        <w:rPr>
          <w:sz w:val="26"/>
          <w:szCs w:val="26"/>
          <w:lang w:val="uk-UA"/>
        </w:rPr>
      </w:pPr>
      <w:r w:rsidRPr="009C1FF7">
        <w:rPr>
          <w:sz w:val="26"/>
          <w:szCs w:val="26"/>
          <w:lang w:val="uk-UA"/>
        </w:rPr>
        <w:t>Про</w:t>
      </w:r>
      <w:r w:rsidR="00651390" w:rsidRPr="009C1FF7">
        <w:rPr>
          <w:sz w:val="26"/>
          <w:szCs w:val="26"/>
          <w:lang w:val="uk-UA"/>
        </w:rPr>
        <w:t>є</w:t>
      </w:r>
      <w:r w:rsidRPr="009C1FF7">
        <w:rPr>
          <w:sz w:val="26"/>
          <w:szCs w:val="26"/>
          <w:lang w:val="uk-UA"/>
        </w:rPr>
        <w:t xml:space="preserve">ктом пропонується </w:t>
      </w:r>
      <w:r w:rsidR="00461DF2" w:rsidRPr="009C1FF7">
        <w:rPr>
          <w:sz w:val="26"/>
          <w:szCs w:val="26"/>
          <w:lang w:val="uk-UA"/>
        </w:rPr>
        <w:t>затвердити</w:t>
      </w:r>
      <w:r w:rsidRPr="009C1FF7">
        <w:rPr>
          <w:sz w:val="26"/>
          <w:szCs w:val="26"/>
          <w:lang w:val="uk-UA"/>
        </w:rPr>
        <w:t xml:space="preserve"> </w:t>
      </w:r>
      <w:r w:rsidR="00461DF2" w:rsidRPr="009C1FF7">
        <w:rPr>
          <w:sz w:val="26"/>
          <w:szCs w:val="26"/>
          <w:lang w:val="uk-UA"/>
        </w:rPr>
        <w:t>З</w:t>
      </w:r>
      <w:r w:rsidR="00FD097E" w:rsidRPr="009C1FF7">
        <w:rPr>
          <w:sz w:val="26"/>
          <w:szCs w:val="26"/>
          <w:lang w:val="uk-UA"/>
        </w:rPr>
        <w:t xml:space="preserve">міни до </w:t>
      </w:r>
      <w:r w:rsidR="00361C75">
        <w:rPr>
          <w:sz w:val="26"/>
          <w:szCs w:val="26"/>
          <w:lang w:val="uk-UA"/>
        </w:rPr>
        <w:t xml:space="preserve">деяких постанов </w:t>
      </w:r>
      <w:r w:rsidR="006151C5" w:rsidRPr="008E3035">
        <w:rPr>
          <w:sz w:val="26"/>
          <w:szCs w:val="26"/>
          <w:lang w:val="uk-UA"/>
        </w:rPr>
        <w:t>Національної комісії, що здійснює державне регулювання у сферах енергетики та комунальних послуг</w:t>
      </w:r>
      <w:r w:rsidR="00BF756B">
        <w:rPr>
          <w:sz w:val="26"/>
          <w:szCs w:val="26"/>
          <w:lang w:val="uk-UA"/>
        </w:rPr>
        <w:t xml:space="preserve"> </w:t>
      </w:r>
      <w:r w:rsidR="00D22881" w:rsidRPr="009C1FF7">
        <w:rPr>
          <w:sz w:val="26"/>
          <w:szCs w:val="26"/>
          <w:lang w:val="uk-UA"/>
        </w:rPr>
        <w:t>з метою</w:t>
      </w:r>
      <w:r w:rsidR="00674E41" w:rsidRPr="009C1FF7">
        <w:rPr>
          <w:sz w:val="26"/>
          <w:szCs w:val="26"/>
          <w:lang w:val="uk-UA"/>
        </w:rPr>
        <w:t xml:space="preserve"> </w:t>
      </w:r>
      <w:r w:rsidR="001D103A" w:rsidRPr="009C1FF7">
        <w:rPr>
          <w:sz w:val="26"/>
          <w:szCs w:val="26"/>
          <w:lang w:val="uk-UA"/>
        </w:rPr>
        <w:t>удосконалення норм та процедур</w:t>
      </w:r>
      <w:r w:rsidR="00361C75">
        <w:rPr>
          <w:sz w:val="26"/>
          <w:szCs w:val="26"/>
          <w:lang w:val="uk-UA"/>
        </w:rPr>
        <w:t>,</w:t>
      </w:r>
      <w:r w:rsidR="001D103A" w:rsidRPr="009C1FF7">
        <w:rPr>
          <w:sz w:val="26"/>
          <w:szCs w:val="26"/>
          <w:lang w:val="uk-UA"/>
        </w:rPr>
        <w:t xml:space="preserve"> визначених Правилами</w:t>
      </w:r>
      <w:r w:rsidR="00361C75">
        <w:rPr>
          <w:sz w:val="26"/>
          <w:szCs w:val="26"/>
          <w:lang w:val="uk-UA"/>
        </w:rPr>
        <w:t xml:space="preserve"> та Порядком.</w:t>
      </w:r>
    </w:p>
    <w:p w14:paraId="6047732B" w14:textId="18B63890" w:rsidR="00BF756B" w:rsidRDefault="007626FF" w:rsidP="00BF756B">
      <w:pPr>
        <w:pStyle w:val="rvps2"/>
        <w:spacing w:before="0" w:beforeAutospacing="0" w:after="0" w:afterAutospacing="0"/>
        <w:ind w:firstLine="709"/>
        <w:jc w:val="both"/>
        <w:rPr>
          <w:b/>
          <w:sz w:val="26"/>
          <w:szCs w:val="26"/>
        </w:rPr>
      </w:pPr>
      <w:r w:rsidRPr="009C1FF7">
        <w:rPr>
          <w:sz w:val="26"/>
          <w:szCs w:val="26"/>
        </w:rPr>
        <w:t>Реалізація Про</w:t>
      </w:r>
      <w:r w:rsidR="0077582C" w:rsidRPr="009C1FF7">
        <w:rPr>
          <w:sz w:val="26"/>
          <w:szCs w:val="26"/>
        </w:rPr>
        <w:t>є</w:t>
      </w:r>
      <w:r w:rsidRPr="009C1FF7">
        <w:rPr>
          <w:sz w:val="26"/>
          <w:szCs w:val="26"/>
        </w:rPr>
        <w:t xml:space="preserve">кту забезпечить </w:t>
      </w:r>
      <w:r w:rsidR="00F062BD">
        <w:rPr>
          <w:sz w:val="26"/>
          <w:szCs w:val="26"/>
        </w:rPr>
        <w:t xml:space="preserve">можливість </w:t>
      </w:r>
      <w:r w:rsidR="00852A76">
        <w:rPr>
          <w:sz w:val="26"/>
          <w:szCs w:val="26"/>
        </w:rPr>
        <w:t>удосконалення норм Правил та Порядку</w:t>
      </w:r>
      <w:r w:rsidR="004E4ADB">
        <w:rPr>
          <w:sz w:val="26"/>
          <w:szCs w:val="26"/>
        </w:rPr>
        <w:t xml:space="preserve"> </w:t>
      </w:r>
      <w:r w:rsidR="009D1834">
        <w:rPr>
          <w:sz w:val="26"/>
          <w:szCs w:val="26"/>
        </w:rPr>
        <w:t xml:space="preserve">в частині </w:t>
      </w:r>
      <w:r w:rsidR="00E410B6" w:rsidRPr="00E410B6">
        <w:rPr>
          <w:sz w:val="26"/>
          <w:szCs w:val="26"/>
        </w:rPr>
        <w:t xml:space="preserve">прав та обов’язків учасників роздрібного ринку електричної енергії, </w:t>
      </w:r>
      <w:r w:rsidR="00E410B6" w:rsidRPr="004E4ADB">
        <w:rPr>
          <w:sz w:val="26"/>
          <w:szCs w:val="26"/>
        </w:rPr>
        <w:t xml:space="preserve">зокрема </w:t>
      </w:r>
      <w:r w:rsidR="00E410B6" w:rsidRPr="00E410B6">
        <w:rPr>
          <w:sz w:val="26"/>
          <w:szCs w:val="26"/>
        </w:rPr>
        <w:t>збереження активним споживачем із встановленою потужністю генеруючих електроустановок більше 1 МВт статусу активного споживача у разі перевищення обсягу відпуску електричної енергії в мережу, виробленої його генеруючими електроустановками, 50 відсотків загального обсягу споживання електричної енергії за попередній календарний рік та права третіх осіб приєднувати до мереж виробників електричної енергії/</w:t>
      </w:r>
      <w:proofErr w:type="spellStart"/>
      <w:r w:rsidR="00E410B6" w:rsidRPr="00E410B6">
        <w:rPr>
          <w:sz w:val="26"/>
          <w:szCs w:val="26"/>
        </w:rPr>
        <w:t>теплопостачальників</w:t>
      </w:r>
      <w:proofErr w:type="spellEnd"/>
      <w:r w:rsidR="00E410B6" w:rsidRPr="00E410B6">
        <w:rPr>
          <w:sz w:val="26"/>
          <w:szCs w:val="26"/>
        </w:rPr>
        <w:t xml:space="preserve"> </w:t>
      </w:r>
      <w:proofErr w:type="spellStart"/>
      <w:r w:rsidR="00E410B6" w:rsidRPr="00E410B6">
        <w:rPr>
          <w:sz w:val="26"/>
          <w:szCs w:val="26"/>
        </w:rPr>
        <w:t>когенераційні</w:t>
      </w:r>
      <w:proofErr w:type="spellEnd"/>
      <w:r w:rsidR="00E410B6" w:rsidRPr="00E410B6">
        <w:rPr>
          <w:sz w:val="26"/>
          <w:szCs w:val="26"/>
        </w:rPr>
        <w:t xml:space="preserve"> установки електричною потужністю до 20 МВт для забезпечення власних потреб, а також можливістю продажу надлишків виробленої електроенергії за механізмом </w:t>
      </w:r>
      <w:r w:rsidR="00E410B6" w:rsidRPr="004E4ADB">
        <w:rPr>
          <w:sz w:val="26"/>
          <w:szCs w:val="26"/>
        </w:rPr>
        <w:t>самовиробництва</w:t>
      </w:r>
      <w:r w:rsidR="004E4ADB" w:rsidRPr="004E4ADB">
        <w:rPr>
          <w:sz w:val="26"/>
          <w:szCs w:val="26"/>
        </w:rPr>
        <w:t>,</w:t>
      </w:r>
      <w:r w:rsidR="00E410B6" w:rsidRPr="004E4ADB">
        <w:rPr>
          <w:sz w:val="26"/>
          <w:szCs w:val="26"/>
        </w:rPr>
        <w:t xml:space="preserve"> обов’язку </w:t>
      </w:r>
      <w:r w:rsidR="00E410B6" w:rsidRPr="00E410B6">
        <w:rPr>
          <w:sz w:val="26"/>
          <w:szCs w:val="26"/>
        </w:rPr>
        <w:t xml:space="preserve">споживачів не здійснювати несанкціонований відбір електричної енергії та зобов’язання </w:t>
      </w:r>
      <w:proofErr w:type="spellStart"/>
      <w:r w:rsidR="00E410B6" w:rsidRPr="00E410B6">
        <w:rPr>
          <w:sz w:val="26"/>
          <w:szCs w:val="26"/>
        </w:rPr>
        <w:t>електропостачальників</w:t>
      </w:r>
      <w:proofErr w:type="spellEnd"/>
      <w:r w:rsidR="00E410B6" w:rsidRPr="00E410B6">
        <w:rPr>
          <w:sz w:val="26"/>
          <w:szCs w:val="26"/>
        </w:rPr>
        <w:t xml:space="preserve"> забезпечувати </w:t>
      </w:r>
      <w:proofErr w:type="spellStart"/>
      <w:r w:rsidR="00E410B6" w:rsidRPr="00E410B6">
        <w:rPr>
          <w:sz w:val="26"/>
          <w:szCs w:val="26"/>
        </w:rPr>
        <w:t>недискримінаційність</w:t>
      </w:r>
      <w:proofErr w:type="spellEnd"/>
      <w:r w:rsidR="00E410B6" w:rsidRPr="00E410B6">
        <w:rPr>
          <w:sz w:val="26"/>
          <w:szCs w:val="26"/>
        </w:rPr>
        <w:t xml:space="preserve"> та пропорційність розрахунків перед операторами системи за відповідний розрахунковий період (місяць).</w:t>
      </w:r>
    </w:p>
    <w:p w14:paraId="301A1B27" w14:textId="77777777" w:rsidR="00BF756B" w:rsidRPr="00005855" w:rsidRDefault="00BF756B" w:rsidP="00BF756B">
      <w:pPr>
        <w:pStyle w:val="rvps2"/>
        <w:spacing w:before="0" w:beforeAutospacing="0" w:after="0" w:afterAutospacing="0"/>
        <w:ind w:firstLine="709"/>
        <w:jc w:val="both"/>
        <w:rPr>
          <w:b/>
          <w:sz w:val="16"/>
          <w:szCs w:val="16"/>
        </w:rPr>
      </w:pPr>
    </w:p>
    <w:p w14:paraId="74907B89" w14:textId="77777777" w:rsidR="00C918F0" w:rsidRPr="009C1FF7" w:rsidRDefault="00C918F0" w:rsidP="00BF756B">
      <w:pPr>
        <w:pStyle w:val="rvps2"/>
        <w:spacing w:before="0" w:beforeAutospacing="0" w:after="0" w:afterAutospacing="0"/>
        <w:ind w:firstLine="709"/>
        <w:jc w:val="both"/>
        <w:rPr>
          <w:b/>
          <w:sz w:val="26"/>
          <w:szCs w:val="26"/>
        </w:rPr>
      </w:pPr>
      <w:r w:rsidRPr="009C1FF7">
        <w:rPr>
          <w:b/>
          <w:sz w:val="26"/>
          <w:szCs w:val="26"/>
        </w:rPr>
        <w:t>VI. Обґрунтування запропонованог</w:t>
      </w:r>
      <w:r w:rsidR="00283A88" w:rsidRPr="009C1FF7">
        <w:rPr>
          <w:b/>
          <w:sz w:val="26"/>
          <w:szCs w:val="26"/>
        </w:rPr>
        <w:t>о строку дії регуляторного акта</w:t>
      </w:r>
    </w:p>
    <w:p w14:paraId="65E024D6" w14:textId="77777777" w:rsidR="0018292F" w:rsidRPr="00005855" w:rsidRDefault="0018292F" w:rsidP="009C1FF7">
      <w:pPr>
        <w:jc w:val="center"/>
        <w:rPr>
          <w:sz w:val="16"/>
          <w:szCs w:val="16"/>
          <w:lang w:val="uk-UA"/>
        </w:rPr>
      </w:pPr>
    </w:p>
    <w:p w14:paraId="62F21F80" w14:textId="77777777" w:rsidR="00C918F0" w:rsidRPr="009C1FF7" w:rsidRDefault="00C918F0" w:rsidP="009C1FF7">
      <w:pPr>
        <w:ind w:firstLine="709"/>
        <w:jc w:val="both"/>
        <w:rPr>
          <w:sz w:val="26"/>
          <w:szCs w:val="26"/>
          <w:lang w:val="uk-UA"/>
        </w:rPr>
      </w:pPr>
      <w:r w:rsidRPr="009C1FF7">
        <w:rPr>
          <w:sz w:val="26"/>
          <w:szCs w:val="26"/>
          <w:lang w:val="uk-UA"/>
        </w:rPr>
        <w:t>Термін дії акта необмежений та може бути змінений у разі внесення відповідних змін до чинного законодавства.</w:t>
      </w:r>
    </w:p>
    <w:p w14:paraId="7DAF51B4" w14:textId="77777777" w:rsidR="0018292F" w:rsidRPr="00005855" w:rsidRDefault="0018292F" w:rsidP="009C1FF7">
      <w:pPr>
        <w:ind w:firstLine="709"/>
        <w:jc w:val="both"/>
        <w:rPr>
          <w:b/>
          <w:sz w:val="16"/>
          <w:szCs w:val="16"/>
          <w:lang w:val="uk-UA"/>
        </w:rPr>
      </w:pPr>
    </w:p>
    <w:p w14:paraId="49DE6F49" w14:textId="77777777" w:rsidR="00C918F0" w:rsidRPr="009C1FF7" w:rsidRDefault="00C918F0" w:rsidP="009C1FF7">
      <w:pPr>
        <w:jc w:val="center"/>
        <w:rPr>
          <w:b/>
          <w:sz w:val="26"/>
          <w:szCs w:val="26"/>
          <w:lang w:val="uk-UA"/>
        </w:rPr>
      </w:pPr>
      <w:r w:rsidRPr="009C1FF7">
        <w:rPr>
          <w:b/>
          <w:sz w:val="26"/>
          <w:szCs w:val="26"/>
          <w:lang w:val="uk-UA"/>
        </w:rPr>
        <w:t>VII. Визначення показників результа</w:t>
      </w:r>
      <w:r w:rsidR="00283A88" w:rsidRPr="009C1FF7">
        <w:rPr>
          <w:b/>
          <w:sz w:val="26"/>
          <w:szCs w:val="26"/>
          <w:lang w:val="uk-UA"/>
        </w:rPr>
        <w:t>тивності дії регуляторного акта</w:t>
      </w:r>
    </w:p>
    <w:p w14:paraId="756017F6" w14:textId="77777777" w:rsidR="00455503" w:rsidRPr="00005855" w:rsidRDefault="00455503" w:rsidP="009C1FF7">
      <w:pPr>
        <w:ind w:firstLine="709"/>
        <w:jc w:val="both"/>
        <w:rPr>
          <w:sz w:val="16"/>
          <w:szCs w:val="16"/>
          <w:lang w:val="uk-UA"/>
        </w:rPr>
      </w:pPr>
    </w:p>
    <w:p w14:paraId="02842D69" w14:textId="77777777" w:rsidR="00C918F0" w:rsidRPr="009C1FF7" w:rsidRDefault="00C918F0" w:rsidP="009C1FF7">
      <w:pPr>
        <w:ind w:firstLine="709"/>
        <w:jc w:val="both"/>
        <w:rPr>
          <w:sz w:val="26"/>
          <w:szCs w:val="26"/>
          <w:lang w:val="uk-UA"/>
        </w:rPr>
      </w:pPr>
      <w:r w:rsidRPr="009C1FF7">
        <w:rPr>
          <w:sz w:val="26"/>
          <w:szCs w:val="26"/>
          <w:lang w:val="uk-UA"/>
        </w:rPr>
        <w:t>За результатами дії регуляторного акта:</w:t>
      </w:r>
    </w:p>
    <w:p w14:paraId="23CEBE22" w14:textId="77777777" w:rsidR="00C918F0" w:rsidRPr="009C1FF7" w:rsidRDefault="00C918F0" w:rsidP="009C1FF7">
      <w:pPr>
        <w:ind w:firstLine="709"/>
        <w:jc w:val="both"/>
        <w:rPr>
          <w:sz w:val="26"/>
          <w:szCs w:val="26"/>
          <w:lang w:val="uk-UA"/>
        </w:rPr>
      </w:pPr>
      <w:r w:rsidRPr="009C1FF7">
        <w:rPr>
          <w:sz w:val="26"/>
          <w:szCs w:val="26"/>
          <w:lang w:val="uk-UA"/>
        </w:rPr>
        <w:t>дія акта не передбачає надходжень та/або видатків з/до державного та/або місцевих бюджетів і державних цільових фондів, пов'язаних із дією акта;</w:t>
      </w:r>
    </w:p>
    <w:p w14:paraId="4D60DF8B" w14:textId="77777777" w:rsidR="006B3402" w:rsidRPr="009C1FF7" w:rsidRDefault="00C918F0" w:rsidP="009C1FF7">
      <w:pPr>
        <w:ind w:firstLine="709"/>
        <w:jc w:val="both"/>
        <w:rPr>
          <w:sz w:val="26"/>
          <w:szCs w:val="26"/>
          <w:lang w:val="uk-UA"/>
        </w:rPr>
      </w:pPr>
      <w:r w:rsidRPr="009C1FF7">
        <w:rPr>
          <w:sz w:val="26"/>
          <w:szCs w:val="26"/>
          <w:lang w:val="uk-UA"/>
        </w:rPr>
        <w:t xml:space="preserve">дія акта </w:t>
      </w:r>
      <w:r w:rsidRPr="00005855">
        <w:rPr>
          <w:sz w:val="26"/>
          <w:szCs w:val="26"/>
          <w:lang w:val="uk-UA"/>
        </w:rPr>
        <w:t>розповсюджується</w:t>
      </w:r>
      <w:r w:rsidR="00D23041">
        <w:rPr>
          <w:sz w:val="26"/>
          <w:szCs w:val="26"/>
          <w:lang w:val="uk-UA"/>
        </w:rPr>
        <w:t xml:space="preserve"> на</w:t>
      </w:r>
      <w:r w:rsidRPr="000C0D24">
        <w:rPr>
          <w:sz w:val="26"/>
          <w:szCs w:val="26"/>
          <w:lang w:val="uk-UA"/>
        </w:rPr>
        <w:t xml:space="preserve"> </w:t>
      </w:r>
      <w:r w:rsidR="00005855" w:rsidRPr="000C0D24">
        <w:rPr>
          <w:sz w:val="26"/>
          <w:szCs w:val="26"/>
          <w:lang w:val="uk-UA"/>
        </w:rPr>
        <w:t>електропостачальників</w:t>
      </w:r>
      <w:r w:rsidR="00BC7215" w:rsidRPr="009C1FF7">
        <w:rPr>
          <w:sz w:val="26"/>
          <w:szCs w:val="26"/>
          <w:lang w:val="uk-UA"/>
        </w:rPr>
        <w:t xml:space="preserve">, </w:t>
      </w:r>
      <w:r w:rsidR="00B739AD" w:rsidRPr="009C1FF7">
        <w:rPr>
          <w:sz w:val="26"/>
          <w:szCs w:val="26"/>
          <w:lang w:val="uk-UA"/>
        </w:rPr>
        <w:t>оператора</w:t>
      </w:r>
      <w:r w:rsidR="002A7652" w:rsidRPr="009C1FF7">
        <w:rPr>
          <w:sz w:val="26"/>
          <w:szCs w:val="26"/>
          <w:lang w:val="uk-UA"/>
        </w:rPr>
        <w:t xml:space="preserve"> системи передачі</w:t>
      </w:r>
      <w:r w:rsidR="003C3D28" w:rsidRPr="009C1FF7">
        <w:rPr>
          <w:sz w:val="26"/>
          <w:szCs w:val="26"/>
          <w:lang w:val="uk-UA"/>
        </w:rPr>
        <w:t>, операторів систем розподілу</w:t>
      </w:r>
      <w:r w:rsidR="00B739AD" w:rsidRPr="009C1FF7">
        <w:rPr>
          <w:sz w:val="26"/>
          <w:szCs w:val="26"/>
          <w:lang w:val="uk-UA"/>
        </w:rPr>
        <w:t>, а також на</w:t>
      </w:r>
      <w:r w:rsidRPr="009C1FF7">
        <w:rPr>
          <w:sz w:val="26"/>
          <w:szCs w:val="26"/>
          <w:lang w:val="uk-UA"/>
        </w:rPr>
        <w:t xml:space="preserve"> </w:t>
      </w:r>
      <w:r w:rsidR="00E56F07" w:rsidRPr="009C1FF7">
        <w:rPr>
          <w:sz w:val="26"/>
          <w:szCs w:val="26"/>
          <w:lang w:val="uk-UA"/>
        </w:rPr>
        <w:t>споживачів електричної енергії</w:t>
      </w:r>
      <w:r w:rsidR="00005855" w:rsidRPr="000C0D24">
        <w:rPr>
          <w:sz w:val="26"/>
          <w:szCs w:val="26"/>
          <w:lang w:val="uk-UA"/>
        </w:rPr>
        <w:t>, у тому числі активних споживачів</w:t>
      </w:r>
      <w:r w:rsidR="00005855">
        <w:rPr>
          <w:sz w:val="26"/>
          <w:szCs w:val="26"/>
          <w:lang w:val="uk-UA"/>
        </w:rPr>
        <w:t>;</w:t>
      </w:r>
    </w:p>
    <w:p w14:paraId="186CA307" w14:textId="77777777" w:rsidR="00CC2006" w:rsidRPr="009C1FF7" w:rsidRDefault="00CC2006" w:rsidP="009C1FF7">
      <w:pPr>
        <w:pStyle w:val="aa"/>
        <w:widowControl w:val="0"/>
        <w:spacing w:after="0"/>
        <w:ind w:firstLine="709"/>
        <w:jc w:val="both"/>
        <w:rPr>
          <w:b/>
          <w:bCs/>
          <w:color w:val="000000"/>
          <w:sz w:val="26"/>
          <w:szCs w:val="26"/>
          <w:u w:val="single"/>
          <w:lang w:val="uk-UA"/>
        </w:rPr>
      </w:pPr>
      <w:r w:rsidRPr="009C1FF7">
        <w:rPr>
          <w:bCs/>
          <w:color w:val="000000"/>
          <w:sz w:val="26"/>
          <w:szCs w:val="26"/>
          <w:lang w:val="uk-UA"/>
        </w:rPr>
        <w:t>рівнем поінформованості суб’єктів господарювання</w:t>
      </w:r>
      <w:r w:rsidR="00B739AD" w:rsidRPr="009C1FF7">
        <w:rPr>
          <w:bCs/>
          <w:color w:val="000000"/>
          <w:sz w:val="26"/>
          <w:szCs w:val="26"/>
          <w:lang w:val="uk-UA"/>
        </w:rPr>
        <w:t xml:space="preserve"> та фізичних осіб </w:t>
      </w:r>
      <w:r w:rsidRPr="009C1FF7">
        <w:rPr>
          <w:bCs/>
          <w:color w:val="000000"/>
          <w:sz w:val="26"/>
          <w:szCs w:val="26"/>
          <w:lang w:val="uk-UA"/>
        </w:rPr>
        <w:t>з основних положень акта</w:t>
      </w:r>
      <w:r w:rsidR="00B739AD" w:rsidRPr="009C1FF7">
        <w:rPr>
          <w:bCs/>
          <w:color w:val="000000"/>
          <w:sz w:val="26"/>
          <w:szCs w:val="26"/>
          <w:lang w:val="uk-UA"/>
        </w:rPr>
        <w:t xml:space="preserve"> – середній</w:t>
      </w:r>
      <w:r w:rsidRPr="009C1FF7">
        <w:rPr>
          <w:sz w:val="26"/>
          <w:szCs w:val="26"/>
          <w:lang w:val="uk-UA"/>
        </w:rPr>
        <w:t>.</w:t>
      </w:r>
    </w:p>
    <w:p w14:paraId="1AB6FA9E" w14:textId="77777777" w:rsidR="006E650E" w:rsidRPr="009C1FF7" w:rsidRDefault="00CC2006" w:rsidP="009C1FF7">
      <w:pPr>
        <w:pStyle w:val="aa"/>
        <w:widowControl w:val="0"/>
        <w:spacing w:after="0"/>
        <w:ind w:firstLine="709"/>
        <w:jc w:val="both"/>
        <w:rPr>
          <w:bCs/>
          <w:color w:val="000000"/>
          <w:sz w:val="26"/>
          <w:szCs w:val="26"/>
          <w:lang w:val="uk-UA"/>
        </w:rPr>
      </w:pPr>
      <w:r w:rsidRPr="009C1FF7">
        <w:rPr>
          <w:bCs/>
          <w:color w:val="000000"/>
          <w:sz w:val="26"/>
          <w:szCs w:val="26"/>
          <w:lang w:val="uk-UA"/>
        </w:rPr>
        <w:t xml:space="preserve">Відповідно до </w:t>
      </w:r>
      <w:r w:rsidR="00B739AD" w:rsidRPr="009C1FF7">
        <w:rPr>
          <w:bCs/>
          <w:color w:val="000000"/>
          <w:sz w:val="26"/>
          <w:szCs w:val="26"/>
          <w:lang w:val="uk-UA"/>
        </w:rPr>
        <w:t>вимог</w:t>
      </w:r>
      <w:r w:rsidRPr="009C1FF7">
        <w:rPr>
          <w:bCs/>
          <w:color w:val="000000"/>
          <w:sz w:val="26"/>
          <w:szCs w:val="26"/>
          <w:lang w:val="uk-UA"/>
        </w:rPr>
        <w:t xml:space="preserve"> статті 15 Закону України «Про Національну комісію, що здійснює державне регулювання у сферах енергетики та комунальних послуг» </w:t>
      </w:r>
      <w:r w:rsidR="00677F94" w:rsidRPr="009C1FF7">
        <w:rPr>
          <w:bCs/>
          <w:color w:val="000000"/>
          <w:sz w:val="26"/>
          <w:szCs w:val="26"/>
          <w:lang w:val="uk-UA"/>
        </w:rPr>
        <w:t>проєкт</w:t>
      </w:r>
      <w:r w:rsidRPr="009C1FF7">
        <w:rPr>
          <w:bCs/>
          <w:color w:val="000000"/>
          <w:sz w:val="26"/>
          <w:szCs w:val="26"/>
          <w:lang w:val="uk-UA"/>
        </w:rPr>
        <w:t xml:space="preserve"> </w:t>
      </w:r>
      <w:r w:rsidRPr="009C1FF7">
        <w:rPr>
          <w:bCs/>
          <w:color w:val="000000"/>
          <w:sz w:val="26"/>
          <w:szCs w:val="26"/>
          <w:lang w:val="uk-UA"/>
        </w:rPr>
        <w:lastRenderedPageBreak/>
        <w:t>постанови</w:t>
      </w:r>
      <w:r w:rsidR="00E853A2" w:rsidRPr="009C1FF7">
        <w:rPr>
          <w:bCs/>
          <w:color w:val="000000"/>
          <w:sz w:val="26"/>
          <w:szCs w:val="26"/>
          <w:lang w:val="uk-UA"/>
        </w:rPr>
        <w:t xml:space="preserve"> </w:t>
      </w:r>
      <w:r w:rsidR="00E853A2" w:rsidRPr="009C1FF7">
        <w:rPr>
          <w:sz w:val="26"/>
          <w:szCs w:val="26"/>
          <w:lang w:val="uk-UA"/>
        </w:rPr>
        <w:t xml:space="preserve">НКРЕКП </w:t>
      </w:r>
      <w:r w:rsidR="005D6D50" w:rsidRPr="009C1FF7">
        <w:rPr>
          <w:sz w:val="26"/>
          <w:szCs w:val="26"/>
          <w:lang w:val="uk-UA"/>
        </w:rPr>
        <w:t xml:space="preserve">«Про </w:t>
      </w:r>
      <w:r w:rsidR="00F150C4" w:rsidRPr="009C1FF7">
        <w:rPr>
          <w:sz w:val="26"/>
          <w:szCs w:val="26"/>
          <w:lang w:val="uk-UA"/>
        </w:rPr>
        <w:t>внесення з</w:t>
      </w:r>
      <w:r w:rsidR="005D6D50" w:rsidRPr="009C1FF7">
        <w:rPr>
          <w:sz w:val="26"/>
          <w:szCs w:val="26"/>
          <w:lang w:val="uk-UA"/>
        </w:rPr>
        <w:t>мін до</w:t>
      </w:r>
      <w:r w:rsidR="006151C5">
        <w:rPr>
          <w:sz w:val="26"/>
          <w:szCs w:val="26"/>
          <w:lang w:val="uk-UA"/>
        </w:rPr>
        <w:t xml:space="preserve"> деяких постанов</w:t>
      </w:r>
      <w:r w:rsidR="005D6D50" w:rsidRPr="009C1FF7">
        <w:rPr>
          <w:sz w:val="26"/>
          <w:szCs w:val="26"/>
          <w:lang w:val="uk-UA"/>
        </w:rPr>
        <w:t xml:space="preserve"> </w:t>
      </w:r>
      <w:r w:rsidR="006151C5" w:rsidRPr="008E3035">
        <w:rPr>
          <w:sz w:val="26"/>
          <w:szCs w:val="26"/>
          <w:lang w:val="uk-UA"/>
        </w:rPr>
        <w:t>Національної комісії, що здійснює державне регулювання у сферах енергетики та комунальних послуг</w:t>
      </w:r>
      <w:r w:rsidR="005D6D50" w:rsidRPr="009C1FF7">
        <w:rPr>
          <w:sz w:val="26"/>
          <w:szCs w:val="26"/>
          <w:lang w:val="uk-UA"/>
        </w:rPr>
        <w:t>»</w:t>
      </w:r>
      <w:r w:rsidRPr="009C1FF7">
        <w:rPr>
          <w:bCs/>
          <w:color w:val="000000"/>
          <w:sz w:val="26"/>
          <w:szCs w:val="26"/>
          <w:lang w:val="uk-UA"/>
        </w:rPr>
        <w:t xml:space="preserve">, що має ознаки регуляторного акта, аналіз впливу та повідомлення про оприлюднення розміщено на офіційному вебсайті НКРЕКП в мережі Інтернет </w:t>
      </w:r>
      <w:hyperlink r:id="rId8" w:history="1">
        <w:r w:rsidRPr="009C1FF7">
          <w:rPr>
            <w:rStyle w:val="ac"/>
            <w:bCs/>
            <w:sz w:val="26"/>
            <w:szCs w:val="26"/>
            <w:lang w:val="uk-UA"/>
          </w:rPr>
          <w:t>www.nerc.gov.ua</w:t>
        </w:r>
      </w:hyperlink>
      <w:r w:rsidRPr="009C1FF7">
        <w:rPr>
          <w:rStyle w:val="ac"/>
          <w:bCs/>
          <w:sz w:val="26"/>
          <w:szCs w:val="26"/>
          <w:lang w:val="uk-UA"/>
        </w:rPr>
        <w:t>.</w:t>
      </w:r>
      <w:r w:rsidRPr="009C1FF7">
        <w:rPr>
          <w:bCs/>
          <w:color w:val="000000"/>
          <w:sz w:val="26"/>
          <w:szCs w:val="26"/>
          <w:lang w:val="uk-UA"/>
        </w:rPr>
        <w:t xml:space="preserve"> </w:t>
      </w:r>
    </w:p>
    <w:p w14:paraId="78B94647" w14:textId="77777777" w:rsidR="00455503" w:rsidRPr="009C1FF7" w:rsidRDefault="00CC2006" w:rsidP="009C1FF7">
      <w:pPr>
        <w:pStyle w:val="aa"/>
        <w:widowControl w:val="0"/>
        <w:spacing w:after="0"/>
        <w:ind w:firstLine="709"/>
        <w:jc w:val="both"/>
        <w:rPr>
          <w:bCs/>
          <w:color w:val="000000"/>
          <w:sz w:val="26"/>
          <w:szCs w:val="26"/>
          <w:lang w:val="uk-UA"/>
        </w:rPr>
      </w:pPr>
      <w:r w:rsidRPr="009C1FF7">
        <w:rPr>
          <w:bCs/>
          <w:color w:val="000000"/>
          <w:sz w:val="26"/>
          <w:szCs w:val="26"/>
          <w:lang w:val="uk-UA"/>
        </w:rPr>
        <w:t>НКРЕКП у межах компетенції надає необхідні роз’яснення щодо норм про</w:t>
      </w:r>
      <w:r w:rsidR="00BC7215" w:rsidRPr="009C1FF7">
        <w:rPr>
          <w:bCs/>
          <w:color w:val="000000"/>
          <w:sz w:val="26"/>
          <w:szCs w:val="26"/>
          <w:lang w:val="uk-UA"/>
        </w:rPr>
        <w:t>є</w:t>
      </w:r>
      <w:r w:rsidRPr="009C1FF7">
        <w:rPr>
          <w:bCs/>
          <w:color w:val="000000"/>
          <w:sz w:val="26"/>
          <w:szCs w:val="26"/>
          <w:lang w:val="uk-UA"/>
        </w:rPr>
        <w:t>кту регуляторного акта і надаватиме роз’яснення щодо застосування акта, який буде опубліковано в засобах масової інформації після його прийняття.</w:t>
      </w:r>
    </w:p>
    <w:p w14:paraId="76CA0B8C" w14:textId="77777777" w:rsidR="00455503" w:rsidRPr="00005855" w:rsidRDefault="00455503" w:rsidP="009C1FF7">
      <w:pPr>
        <w:pStyle w:val="aa"/>
        <w:widowControl w:val="0"/>
        <w:spacing w:after="0"/>
        <w:ind w:firstLine="709"/>
        <w:jc w:val="both"/>
        <w:rPr>
          <w:bCs/>
          <w:color w:val="000000"/>
          <w:sz w:val="16"/>
          <w:szCs w:val="16"/>
          <w:lang w:val="uk-UA"/>
        </w:rPr>
      </w:pPr>
    </w:p>
    <w:p w14:paraId="402A0081" w14:textId="77777777" w:rsidR="00C918F0" w:rsidRPr="009C1FF7" w:rsidRDefault="00447909" w:rsidP="009C1FF7">
      <w:pPr>
        <w:jc w:val="center"/>
        <w:rPr>
          <w:b/>
          <w:sz w:val="26"/>
          <w:szCs w:val="26"/>
          <w:lang w:val="uk-UA"/>
        </w:rPr>
      </w:pPr>
      <w:r w:rsidRPr="009C1FF7">
        <w:rPr>
          <w:b/>
          <w:sz w:val="26"/>
          <w:szCs w:val="26"/>
          <w:lang w:val="uk-UA"/>
        </w:rPr>
        <w:t>VIII</w:t>
      </w:r>
      <w:r w:rsidR="00C918F0" w:rsidRPr="009C1FF7">
        <w:rPr>
          <w:b/>
          <w:sz w:val="26"/>
          <w:szCs w:val="26"/>
          <w:lang w:val="uk-UA"/>
        </w:rPr>
        <w:t xml:space="preserve">. </w:t>
      </w:r>
      <w:r w:rsidRPr="009C1FF7">
        <w:rPr>
          <w:b/>
          <w:sz w:val="26"/>
          <w:szCs w:val="26"/>
          <w:lang w:val="uk-UA"/>
        </w:rPr>
        <w:t>Очікувані результати прийняття регуляторного акта</w:t>
      </w:r>
    </w:p>
    <w:p w14:paraId="26623E70" w14:textId="77777777" w:rsidR="007626FF" w:rsidRPr="00005855" w:rsidRDefault="007626FF" w:rsidP="009C1FF7">
      <w:pPr>
        <w:jc w:val="center"/>
        <w:rPr>
          <w:b/>
          <w:sz w:val="16"/>
          <w:szCs w:val="16"/>
          <w:lang w:val="uk-UA"/>
        </w:rPr>
      </w:pPr>
    </w:p>
    <w:p w14:paraId="220225E8" w14:textId="47BA6A34" w:rsidR="00852A76" w:rsidRDefault="00CC2006" w:rsidP="00852A76">
      <w:pPr>
        <w:pStyle w:val="rvps2"/>
        <w:spacing w:before="0" w:beforeAutospacing="0" w:after="0" w:afterAutospacing="0"/>
        <w:ind w:firstLine="709"/>
        <w:jc w:val="both"/>
        <w:rPr>
          <w:rStyle w:val="fontstyle01"/>
          <w:rFonts w:ascii="Times New Roman" w:hAnsi="Times New Roman"/>
          <w:sz w:val="26"/>
          <w:szCs w:val="26"/>
        </w:rPr>
      </w:pPr>
      <w:r w:rsidRPr="009C1FF7">
        <w:rPr>
          <w:sz w:val="26"/>
          <w:szCs w:val="26"/>
        </w:rPr>
        <w:t>Результатом прийняття про</w:t>
      </w:r>
      <w:r w:rsidR="007628C8" w:rsidRPr="009C1FF7">
        <w:rPr>
          <w:sz w:val="26"/>
          <w:szCs w:val="26"/>
        </w:rPr>
        <w:t>є</w:t>
      </w:r>
      <w:r w:rsidRPr="009C1FF7">
        <w:rPr>
          <w:sz w:val="26"/>
          <w:szCs w:val="26"/>
        </w:rPr>
        <w:t xml:space="preserve">кту постанови НКРЕКП </w:t>
      </w:r>
      <w:r w:rsidR="007626FF" w:rsidRPr="009C1FF7">
        <w:rPr>
          <w:sz w:val="26"/>
          <w:szCs w:val="26"/>
        </w:rPr>
        <w:t xml:space="preserve">«Про </w:t>
      </w:r>
      <w:r w:rsidR="00461DF2" w:rsidRPr="009C1FF7">
        <w:rPr>
          <w:sz w:val="26"/>
          <w:szCs w:val="26"/>
        </w:rPr>
        <w:t>затвердження</w:t>
      </w:r>
      <w:r w:rsidR="00F150C4" w:rsidRPr="009C1FF7">
        <w:rPr>
          <w:sz w:val="26"/>
          <w:szCs w:val="26"/>
        </w:rPr>
        <w:t xml:space="preserve"> </w:t>
      </w:r>
      <w:r w:rsidR="00461DF2" w:rsidRPr="009C1FF7">
        <w:rPr>
          <w:sz w:val="26"/>
          <w:szCs w:val="26"/>
        </w:rPr>
        <w:t>З</w:t>
      </w:r>
      <w:r w:rsidR="007626FF" w:rsidRPr="009C1FF7">
        <w:rPr>
          <w:sz w:val="26"/>
          <w:szCs w:val="26"/>
        </w:rPr>
        <w:t xml:space="preserve">мін до </w:t>
      </w:r>
      <w:r w:rsidR="00852A76">
        <w:rPr>
          <w:sz w:val="26"/>
          <w:szCs w:val="26"/>
        </w:rPr>
        <w:t xml:space="preserve">деяких постанов </w:t>
      </w:r>
      <w:r w:rsidR="006151C5" w:rsidRPr="008E3035">
        <w:rPr>
          <w:sz w:val="26"/>
          <w:szCs w:val="26"/>
          <w:lang w:eastAsia="ru-RU"/>
        </w:rPr>
        <w:t>Національної комісії, що здійснює державне регулювання у сферах енергетики та комунальних послуг</w:t>
      </w:r>
      <w:r w:rsidR="007626FF" w:rsidRPr="009C1FF7">
        <w:rPr>
          <w:sz w:val="26"/>
          <w:szCs w:val="26"/>
        </w:rPr>
        <w:t xml:space="preserve">» </w:t>
      </w:r>
      <w:bookmarkStart w:id="6" w:name="_Hlk82507523"/>
      <w:r w:rsidRPr="009C1FF7">
        <w:rPr>
          <w:sz w:val="26"/>
          <w:szCs w:val="26"/>
        </w:rPr>
        <w:t xml:space="preserve">є </w:t>
      </w:r>
      <w:bookmarkEnd w:id="6"/>
      <w:r w:rsidR="00593E61">
        <w:rPr>
          <w:sz w:val="26"/>
          <w:szCs w:val="26"/>
        </w:rPr>
        <w:t xml:space="preserve">забезпечення можливості </w:t>
      </w:r>
      <w:r w:rsidR="00852A76">
        <w:rPr>
          <w:sz w:val="26"/>
          <w:szCs w:val="26"/>
        </w:rPr>
        <w:t xml:space="preserve">удосконалення норм Правил та Порядку в частині </w:t>
      </w:r>
      <w:r w:rsidR="00E410B6" w:rsidRPr="00E410B6">
        <w:rPr>
          <w:sz w:val="26"/>
          <w:szCs w:val="26"/>
        </w:rPr>
        <w:t>прав та обов’язків учасників роздрібного ринку електричної енергії, зокрема збереження активним споживачем із встановленою потужністю генеруючих електроустановок більше 1 МВт статусу активного споживача у разі перевищення обсягу відпуску електричної енергії в мережу, виробленої його генеруючими електроустановками, 50 відсотків загального обсягу споживання електричної енергії за попередній календарний рік та права третіх осіб приєднувати до мереж виробників електричної енергії/</w:t>
      </w:r>
      <w:proofErr w:type="spellStart"/>
      <w:r w:rsidR="00E410B6" w:rsidRPr="00E410B6">
        <w:rPr>
          <w:sz w:val="26"/>
          <w:szCs w:val="26"/>
        </w:rPr>
        <w:t>теплопостачальників</w:t>
      </w:r>
      <w:proofErr w:type="spellEnd"/>
      <w:r w:rsidR="00E410B6" w:rsidRPr="00E410B6">
        <w:rPr>
          <w:sz w:val="26"/>
          <w:szCs w:val="26"/>
        </w:rPr>
        <w:t xml:space="preserve"> </w:t>
      </w:r>
      <w:proofErr w:type="spellStart"/>
      <w:r w:rsidR="00E410B6" w:rsidRPr="00E410B6">
        <w:rPr>
          <w:sz w:val="26"/>
          <w:szCs w:val="26"/>
        </w:rPr>
        <w:t>когенераційні</w:t>
      </w:r>
      <w:proofErr w:type="spellEnd"/>
      <w:r w:rsidR="00E410B6" w:rsidRPr="00E410B6">
        <w:rPr>
          <w:sz w:val="26"/>
          <w:szCs w:val="26"/>
        </w:rPr>
        <w:t xml:space="preserve"> установки електричною потужністю до 20 МВт для забезпечення власних потреб, а також можливістю продажу надлишків виробленої електроенергії за механізмом </w:t>
      </w:r>
      <w:r w:rsidR="00E410B6" w:rsidRPr="004E4ADB">
        <w:rPr>
          <w:sz w:val="26"/>
          <w:szCs w:val="26"/>
        </w:rPr>
        <w:t>самовиробництва</w:t>
      </w:r>
      <w:r w:rsidR="004E4ADB" w:rsidRPr="004E4ADB">
        <w:rPr>
          <w:sz w:val="26"/>
          <w:szCs w:val="26"/>
        </w:rPr>
        <w:t>,</w:t>
      </w:r>
      <w:r w:rsidR="00E410B6" w:rsidRPr="004E4ADB">
        <w:rPr>
          <w:sz w:val="26"/>
          <w:szCs w:val="26"/>
        </w:rPr>
        <w:t xml:space="preserve"> обов’язку </w:t>
      </w:r>
      <w:r w:rsidR="00E410B6" w:rsidRPr="00E410B6">
        <w:rPr>
          <w:sz w:val="26"/>
          <w:szCs w:val="26"/>
        </w:rPr>
        <w:t xml:space="preserve">споживачів не здійснювати несанкціонований відбір електричної енергії та зобов’язання </w:t>
      </w:r>
      <w:proofErr w:type="spellStart"/>
      <w:r w:rsidR="00E410B6" w:rsidRPr="00E410B6">
        <w:rPr>
          <w:sz w:val="26"/>
          <w:szCs w:val="26"/>
        </w:rPr>
        <w:t>електропостачальників</w:t>
      </w:r>
      <w:proofErr w:type="spellEnd"/>
      <w:r w:rsidR="00E410B6" w:rsidRPr="00E410B6">
        <w:rPr>
          <w:sz w:val="26"/>
          <w:szCs w:val="26"/>
        </w:rPr>
        <w:t xml:space="preserve"> забезпечувати </w:t>
      </w:r>
      <w:proofErr w:type="spellStart"/>
      <w:r w:rsidR="00E410B6" w:rsidRPr="00E410B6">
        <w:rPr>
          <w:sz w:val="26"/>
          <w:szCs w:val="26"/>
        </w:rPr>
        <w:t>недискримінаційність</w:t>
      </w:r>
      <w:proofErr w:type="spellEnd"/>
      <w:r w:rsidR="00E410B6" w:rsidRPr="00E410B6">
        <w:rPr>
          <w:sz w:val="26"/>
          <w:szCs w:val="26"/>
        </w:rPr>
        <w:t xml:space="preserve"> та пропорційність розрахунків перед операторами системи за відповідний розрахунковий період (місяць)</w:t>
      </w:r>
      <w:r w:rsidR="00FB5AA1" w:rsidRPr="004C2A69">
        <w:rPr>
          <w:rStyle w:val="fontstyle01"/>
          <w:rFonts w:ascii="Times New Roman" w:hAnsi="Times New Roman"/>
          <w:sz w:val="26"/>
          <w:szCs w:val="26"/>
        </w:rPr>
        <w:t>.</w:t>
      </w:r>
    </w:p>
    <w:p w14:paraId="4774F93E" w14:textId="77777777" w:rsidR="00FB5AA1" w:rsidRDefault="00FB5AA1" w:rsidP="00852A76">
      <w:pPr>
        <w:pStyle w:val="rvps2"/>
        <w:spacing w:before="0" w:beforeAutospacing="0" w:after="0" w:afterAutospacing="0"/>
        <w:ind w:firstLine="709"/>
        <w:jc w:val="both"/>
        <w:rPr>
          <w:sz w:val="26"/>
          <w:szCs w:val="26"/>
        </w:rPr>
      </w:pPr>
    </w:p>
    <w:p w14:paraId="6D8A8FB2" w14:textId="77777777" w:rsidR="00FB5AA1" w:rsidRPr="009C1FF7" w:rsidRDefault="00FB5AA1" w:rsidP="00852A76">
      <w:pPr>
        <w:pStyle w:val="rvps2"/>
        <w:spacing w:before="0" w:beforeAutospacing="0" w:after="0" w:afterAutospacing="0"/>
        <w:ind w:firstLine="709"/>
        <w:jc w:val="both"/>
        <w:rPr>
          <w:sz w:val="26"/>
          <w:szCs w:val="26"/>
        </w:rPr>
      </w:pPr>
    </w:p>
    <w:p w14:paraId="77B78723" w14:textId="77777777" w:rsidR="003E6D2F" w:rsidRPr="00941B59" w:rsidRDefault="003E6D2F" w:rsidP="009C1FF7">
      <w:pPr>
        <w:jc w:val="both"/>
        <w:rPr>
          <w:sz w:val="26"/>
          <w:szCs w:val="26"/>
          <w:lang w:val="uk-UA"/>
        </w:rPr>
      </w:pPr>
      <w:r w:rsidRPr="009C1FF7">
        <w:rPr>
          <w:b/>
          <w:sz w:val="26"/>
          <w:szCs w:val="26"/>
          <w:lang w:val="uk-UA"/>
        </w:rPr>
        <w:t>Голов</w:t>
      </w:r>
      <w:r w:rsidR="00461DF2" w:rsidRPr="009C1FF7">
        <w:rPr>
          <w:b/>
          <w:sz w:val="26"/>
          <w:szCs w:val="26"/>
          <w:lang w:val="uk-UA"/>
        </w:rPr>
        <w:t>а</w:t>
      </w:r>
      <w:r w:rsidRPr="009C1FF7">
        <w:rPr>
          <w:b/>
          <w:sz w:val="26"/>
          <w:szCs w:val="26"/>
          <w:lang w:val="uk-UA"/>
        </w:rPr>
        <w:t xml:space="preserve"> НКРЕКП</w:t>
      </w:r>
      <w:r w:rsidRPr="009C1FF7">
        <w:rPr>
          <w:b/>
          <w:sz w:val="26"/>
          <w:szCs w:val="26"/>
          <w:lang w:val="uk-UA"/>
        </w:rPr>
        <w:tab/>
      </w:r>
      <w:r w:rsidRPr="009C1FF7">
        <w:rPr>
          <w:b/>
          <w:sz w:val="26"/>
          <w:szCs w:val="26"/>
          <w:lang w:val="uk-UA"/>
        </w:rPr>
        <w:tab/>
      </w:r>
      <w:r w:rsidRPr="009C1FF7">
        <w:rPr>
          <w:b/>
          <w:sz w:val="26"/>
          <w:szCs w:val="26"/>
          <w:lang w:val="uk-UA"/>
        </w:rPr>
        <w:tab/>
      </w:r>
      <w:r w:rsidR="00B82691" w:rsidRPr="00F47BC9">
        <w:rPr>
          <w:b/>
          <w:sz w:val="26"/>
          <w:szCs w:val="26"/>
        </w:rPr>
        <w:t xml:space="preserve">                 </w:t>
      </w:r>
      <w:r w:rsidR="00AA4329" w:rsidRPr="009C1FF7">
        <w:rPr>
          <w:b/>
          <w:sz w:val="26"/>
          <w:szCs w:val="26"/>
          <w:lang w:val="uk-UA"/>
        </w:rPr>
        <w:t xml:space="preserve">            </w:t>
      </w:r>
      <w:r w:rsidR="00544D51" w:rsidRPr="009C1FF7">
        <w:rPr>
          <w:b/>
          <w:sz w:val="26"/>
          <w:szCs w:val="26"/>
          <w:lang w:val="uk-UA"/>
        </w:rPr>
        <w:t xml:space="preserve">                   </w:t>
      </w:r>
      <w:r w:rsidR="00AA4329" w:rsidRPr="009C1FF7">
        <w:rPr>
          <w:b/>
          <w:sz w:val="26"/>
          <w:szCs w:val="26"/>
          <w:lang w:val="uk-UA"/>
        </w:rPr>
        <w:t xml:space="preserve">  </w:t>
      </w:r>
      <w:r w:rsidR="00941B59">
        <w:rPr>
          <w:b/>
          <w:sz w:val="26"/>
          <w:szCs w:val="26"/>
          <w:shd w:val="clear" w:color="auto" w:fill="FFFFFF"/>
          <w:lang w:val="uk-UA"/>
        </w:rPr>
        <w:t>Юрій ВЛАСЕНКО</w:t>
      </w:r>
    </w:p>
    <w:p w14:paraId="56C84412" w14:textId="77777777" w:rsidR="00734069" w:rsidRDefault="00734069" w:rsidP="009C1FF7">
      <w:pPr>
        <w:ind w:firstLine="720"/>
        <w:jc w:val="both"/>
        <w:rPr>
          <w:sz w:val="26"/>
          <w:szCs w:val="26"/>
          <w:u w:val="single"/>
          <w:lang w:val="uk-UA"/>
        </w:rPr>
      </w:pPr>
    </w:p>
    <w:p w14:paraId="47A225B0" w14:textId="77777777" w:rsidR="00E410B6" w:rsidRDefault="00E410B6" w:rsidP="009C1FF7">
      <w:pPr>
        <w:ind w:firstLine="720"/>
        <w:jc w:val="both"/>
        <w:rPr>
          <w:sz w:val="26"/>
          <w:szCs w:val="26"/>
          <w:u w:val="single"/>
          <w:lang w:val="uk-UA"/>
        </w:rPr>
      </w:pPr>
    </w:p>
    <w:p w14:paraId="5A4F5CA7" w14:textId="77777777" w:rsidR="00E410B6" w:rsidRDefault="00E410B6" w:rsidP="009C1FF7">
      <w:pPr>
        <w:ind w:firstLine="720"/>
        <w:jc w:val="both"/>
        <w:rPr>
          <w:sz w:val="26"/>
          <w:szCs w:val="26"/>
          <w:u w:val="single"/>
          <w:lang w:val="uk-UA"/>
        </w:rPr>
      </w:pPr>
    </w:p>
    <w:p w14:paraId="5BE85834" w14:textId="77777777" w:rsidR="00E057A6" w:rsidRPr="009C1FF7" w:rsidRDefault="00455503" w:rsidP="009C1FF7">
      <w:pPr>
        <w:ind w:firstLine="720"/>
        <w:jc w:val="both"/>
        <w:rPr>
          <w:sz w:val="26"/>
          <w:szCs w:val="26"/>
          <w:u w:val="single"/>
          <w:lang w:val="uk-UA"/>
        </w:rPr>
      </w:pPr>
      <w:r w:rsidRPr="009C1FF7">
        <w:rPr>
          <w:sz w:val="26"/>
          <w:szCs w:val="26"/>
          <w:u w:val="single"/>
          <w:lang w:val="uk-UA"/>
        </w:rPr>
        <w:t>«</w:t>
      </w:r>
      <w:r w:rsidR="000D3BDF" w:rsidRPr="009C1FF7">
        <w:rPr>
          <w:sz w:val="26"/>
          <w:szCs w:val="26"/>
          <w:u w:val="single"/>
          <w:lang w:val="uk-UA"/>
        </w:rPr>
        <w:t xml:space="preserve"> </w:t>
      </w:r>
      <w:r w:rsidR="00434C91">
        <w:rPr>
          <w:sz w:val="26"/>
          <w:szCs w:val="26"/>
          <w:u w:val="single"/>
          <w:lang w:val="uk-UA"/>
        </w:rPr>
        <w:t xml:space="preserve"> </w:t>
      </w:r>
      <w:r w:rsidR="000D3BDF" w:rsidRPr="009C1FF7">
        <w:rPr>
          <w:sz w:val="26"/>
          <w:szCs w:val="26"/>
          <w:u w:val="single"/>
          <w:lang w:val="uk-UA"/>
        </w:rPr>
        <w:t xml:space="preserve"> </w:t>
      </w:r>
      <w:r w:rsidRPr="009C1FF7">
        <w:rPr>
          <w:sz w:val="26"/>
          <w:szCs w:val="26"/>
          <w:u w:val="single"/>
          <w:lang w:val="uk-UA"/>
        </w:rPr>
        <w:t>»</w:t>
      </w:r>
      <w:r w:rsidR="00DF57D0" w:rsidRPr="009C1FF7">
        <w:rPr>
          <w:sz w:val="26"/>
          <w:szCs w:val="26"/>
          <w:u w:val="single"/>
          <w:lang w:val="uk-UA"/>
        </w:rPr>
        <w:t xml:space="preserve"> </w:t>
      </w:r>
      <w:r w:rsidR="00434C91">
        <w:rPr>
          <w:sz w:val="26"/>
          <w:szCs w:val="26"/>
          <w:u w:val="single"/>
          <w:lang w:val="uk-UA"/>
        </w:rPr>
        <w:t>квіт</w:t>
      </w:r>
      <w:r w:rsidR="0007672A" w:rsidRPr="009C1FF7">
        <w:rPr>
          <w:sz w:val="26"/>
          <w:szCs w:val="26"/>
          <w:u w:val="single"/>
          <w:lang w:val="uk-UA"/>
        </w:rPr>
        <w:t>ня</w:t>
      </w:r>
      <w:r w:rsidR="002E5A64" w:rsidRPr="009C1FF7">
        <w:rPr>
          <w:sz w:val="26"/>
          <w:szCs w:val="26"/>
          <w:u w:val="single"/>
          <w:lang w:val="uk-UA"/>
        </w:rPr>
        <w:t xml:space="preserve"> </w:t>
      </w:r>
      <w:r w:rsidR="003E6D2F" w:rsidRPr="009C1FF7">
        <w:rPr>
          <w:sz w:val="26"/>
          <w:szCs w:val="26"/>
          <w:u w:val="single"/>
          <w:lang w:val="uk-UA"/>
        </w:rPr>
        <w:t xml:space="preserve"> 20</w:t>
      </w:r>
      <w:r w:rsidR="00E54061" w:rsidRPr="009C1FF7">
        <w:rPr>
          <w:sz w:val="26"/>
          <w:szCs w:val="26"/>
          <w:u w:val="single"/>
          <w:lang w:val="uk-UA"/>
        </w:rPr>
        <w:t>2</w:t>
      </w:r>
      <w:r w:rsidR="00047206">
        <w:rPr>
          <w:sz w:val="26"/>
          <w:szCs w:val="26"/>
          <w:u w:val="single"/>
          <w:lang w:val="uk-UA"/>
        </w:rPr>
        <w:t>5</w:t>
      </w:r>
      <w:r w:rsidR="003E6D2F" w:rsidRPr="009C1FF7">
        <w:rPr>
          <w:sz w:val="26"/>
          <w:szCs w:val="26"/>
          <w:u w:val="single"/>
          <w:lang w:val="uk-UA"/>
        </w:rPr>
        <w:t xml:space="preserve"> р.</w:t>
      </w:r>
    </w:p>
    <w:sectPr w:rsidR="00E057A6" w:rsidRPr="009C1FF7" w:rsidSect="009363CA">
      <w:headerReference w:type="default" r:id="rId9"/>
      <w:pgSz w:w="11906" w:h="16838" w:code="9"/>
      <w:pgMar w:top="426" w:right="851" w:bottom="993" w:left="1276"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EA9784" w14:textId="77777777" w:rsidR="00A91373" w:rsidRDefault="00A91373">
      <w:r>
        <w:separator/>
      </w:r>
    </w:p>
  </w:endnote>
  <w:endnote w:type="continuationSeparator" w:id="0">
    <w:p w14:paraId="09C572DD" w14:textId="77777777" w:rsidR="00A91373" w:rsidRDefault="00A913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8BA9E1" w14:textId="77777777" w:rsidR="00A91373" w:rsidRDefault="00A91373">
      <w:r>
        <w:separator/>
      </w:r>
    </w:p>
  </w:footnote>
  <w:footnote w:type="continuationSeparator" w:id="0">
    <w:p w14:paraId="769B9673" w14:textId="77777777" w:rsidR="00A91373" w:rsidRDefault="00A913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B86C63" w14:textId="77777777" w:rsidR="007028BF" w:rsidRDefault="007028BF" w:rsidP="009149DB">
    <w:pPr>
      <w:pStyle w:val="a7"/>
      <w:jc w:val="center"/>
    </w:pPr>
    <w:r>
      <w:rPr>
        <w:rStyle w:val="a9"/>
      </w:rPr>
      <w:fldChar w:fldCharType="begin"/>
    </w:r>
    <w:r>
      <w:rPr>
        <w:rStyle w:val="a9"/>
      </w:rPr>
      <w:instrText xml:space="preserve"> PAGE </w:instrText>
    </w:r>
    <w:r>
      <w:rPr>
        <w:rStyle w:val="a9"/>
      </w:rPr>
      <w:fldChar w:fldCharType="separate"/>
    </w:r>
    <w:r w:rsidR="009C1FF7">
      <w:rPr>
        <w:rStyle w:val="a9"/>
        <w:noProof/>
      </w:rPr>
      <w:t>6</w:t>
    </w:r>
    <w:r>
      <w:rPr>
        <w:rStyle w:val="a9"/>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9BF258C"/>
    <w:multiLevelType w:val="hybridMultilevel"/>
    <w:tmpl w:val="4FA267A6"/>
    <w:lvl w:ilvl="0" w:tplc="4BCEB61E">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3CFA73E0"/>
    <w:multiLevelType w:val="hybridMultilevel"/>
    <w:tmpl w:val="3E3AB80C"/>
    <w:lvl w:ilvl="0" w:tplc="3F2A83B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 w15:restartNumberingAfterBreak="0">
    <w:nsid w:val="67CD019F"/>
    <w:multiLevelType w:val="hybridMultilevel"/>
    <w:tmpl w:val="6A18B04E"/>
    <w:lvl w:ilvl="0" w:tplc="13F4F57E">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726B4FC9"/>
    <w:multiLevelType w:val="hybridMultilevel"/>
    <w:tmpl w:val="5BBA4B6C"/>
    <w:lvl w:ilvl="0" w:tplc="685625E6">
      <w:start w:val="1"/>
      <w:numFmt w:val="upperRoman"/>
      <w:lvlText w:val="%1."/>
      <w:lvlJc w:val="left"/>
      <w:pPr>
        <w:ind w:left="1077" w:hanging="720"/>
      </w:pPr>
      <w:rPr>
        <w:rFonts w:hint="default"/>
      </w:rPr>
    </w:lvl>
    <w:lvl w:ilvl="1" w:tplc="04220019" w:tentative="1">
      <w:start w:val="1"/>
      <w:numFmt w:val="lowerLetter"/>
      <w:lvlText w:val="%2."/>
      <w:lvlJc w:val="left"/>
      <w:pPr>
        <w:ind w:left="1437" w:hanging="360"/>
      </w:pPr>
    </w:lvl>
    <w:lvl w:ilvl="2" w:tplc="0422001B" w:tentative="1">
      <w:start w:val="1"/>
      <w:numFmt w:val="lowerRoman"/>
      <w:lvlText w:val="%3."/>
      <w:lvlJc w:val="right"/>
      <w:pPr>
        <w:ind w:left="2157" w:hanging="180"/>
      </w:pPr>
    </w:lvl>
    <w:lvl w:ilvl="3" w:tplc="0422000F" w:tentative="1">
      <w:start w:val="1"/>
      <w:numFmt w:val="decimal"/>
      <w:lvlText w:val="%4."/>
      <w:lvlJc w:val="left"/>
      <w:pPr>
        <w:ind w:left="2877" w:hanging="360"/>
      </w:pPr>
    </w:lvl>
    <w:lvl w:ilvl="4" w:tplc="04220019" w:tentative="1">
      <w:start w:val="1"/>
      <w:numFmt w:val="lowerLetter"/>
      <w:lvlText w:val="%5."/>
      <w:lvlJc w:val="left"/>
      <w:pPr>
        <w:ind w:left="3597" w:hanging="360"/>
      </w:pPr>
    </w:lvl>
    <w:lvl w:ilvl="5" w:tplc="0422001B" w:tentative="1">
      <w:start w:val="1"/>
      <w:numFmt w:val="lowerRoman"/>
      <w:lvlText w:val="%6."/>
      <w:lvlJc w:val="right"/>
      <w:pPr>
        <w:ind w:left="4317" w:hanging="180"/>
      </w:pPr>
    </w:lvl>
    <w:lvl w:ilvl="6" w:tplc="0422000F" w:tentative="1">
      <w:start w:val="1"/>
      <w:numFmt w:val="decimal"/>
      <w:lvlText w:val="%7."/>
      <w:lvlJc w:val="left"/>
      <w:pPr>
        <w:ind w:left="5037" w:hanging="360"/>
      </w:pPr>
    </w:lvl>
    <w:lvl w:ilvl="7" w:tplc="04220019" w:tentative="1">
      <w:start w:val="1"/>
      <w:numFmt w:val="lowerLetter"/>
      <w:lvlText w:val="%8."/>
      <w:lvlJc w:val="left"/>
      <w:pPr>
        <w:ind w:left="5757" w:hanging="360"/>
      </w:pPr>
    </w:lvl>
    <w:lvl w:ilvl="8" w:tplc="0422001B" w:tentative="1">
      <w:start w:val="1"/>
      <w:numFmt w:val="lowerRoman"/>
      <w:lvlText w:val="%9."/>
      <w:lvlJc w:val="right"/>
      <w:pPr>
        <w:ind w:left="6477" w:hanging="180"/>
      </w:pPr>
    </w:lvl>
  </w:abstractNum>
  <w:num w:numId="1" w16cid:durableId="1208953145">
    <w:abstractNumId w:val="3"/>
  </w:num>
  <w:num w:numId="2" w16cid:durableId="908199409">
    <w:abstractNumId w:val="1"/>
  </w:num>
  <w:num w:numId="3" w16cid:durableId="754473340">
    <w:abstractNumId w:val="0"/>
  </w:num>
  <w:num w:numId="4" w16cid:durableId="87781579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08AE"/>
    <w:rsid w:val="000001ED"/>
    <w:rsid w:val="00004EF5"/>
    <w:rsid w:val="0000580A"/>
    <w:rsid w:val="00005855"/>
    <w:rsid w:val="00005A4D"/>
    <w:rsid w:val="0001047A"/>
    <w:rsid w:val="00011CFE"/>
    <w:rsid w:val="00020790"/>
    <w:rsid w:val="000213B0"/>
    <w:rsid w:val="000247DD"/>
    <w:rsid w:val="00034257"/>
    <w:rsid w:val="000362F3"/>
    <w:rsid w:val="000378B9"/>
    <w:rsid w:val="00037943"/>
    <w:rsid w:val="00043C8E"/>
    <w:rsid w:val="00047206"/>
    <w:rsid w:val="000605C3"/>
    <w:rsid w:val="00062C48"/>
    <w:rsid w:val="00066578"/>
    <w:rsid w:val="000671BF"/>
    <w:rsid w:val="000677E4"/>
    <w:rsid w:val="0007200E"/>
    <w:rsid w:val="0007611E"/>
    <w:rsid w:val="0007672A"/>
    <w:rsid w:val="0009698F"/>
    <w:rsid w:val="000A1598"/>
    <w:rsid w:val="000A5652"/>
    <w:rsid w:val="000A63B9"/>
    <w:rsid w:val="000C0D24"/>
    <w:rsid w:val="000C1CFA"/>
    <w:rsid w:val="000C4F37"/>
    <w:rsid w:val="000D3BDF"/>
    <w:rsid w:val="000D45B0"/>
    <w:rsid w:val="000E3E3E"/>
    <w:rsid w:val="000E78E5"/>
    <w:rsid w:val="000F4DA6"/>
    <w:rsid w:val="000F6D2B"/>
    <w:rsid w:val="000F7FF4"/>
    <w:rsid w:val="00105307"/>
    <w:rsid w:val="00105B3E"/>
    <w:rsid w:val="00105E0C"/>
    <w:rsid w:val="0012166E"/>
    <w:rsid w:val="00127472"/>
    <w:rsid w:val="00131482"/>
    <w:rsid w:val="00145E7D"/>
    <w:rsid w:val="001528EE"/>
    <w:rsid w:val="00156D6D"/>
    <w:rsid w:val="00161F39"/>
    <w:rsid w:val="00164B4B"/>
    <w:rsid w:val="001657BE"/>
    <w:rsid w:val="00176290"/>
    <w:rsid w:val="00181D4E"/>
    <w:rsid w:val="0018292F"/>
    <w:rsid w:val="00182EFD"/>
    <w:rsid w:val="00187DEC"/>
    <w:rsid w:val="00191B0D"/>
    <w:rsid w:val="001A24D6"/>
    <w:rsid w:val="001B0B34"/>
    <w:rsid w:val="001B34DB"/>
    <w:rsid w:val="001C1AF4"/>
    <w:rsid w:val="001C5DED"/>
    <w:rsid w:val="001C6DC1"/>
    <w:rsid w:val="001C70BE"/>
    <w:rsid w:val="001D103A"/>
    <w:rsid w:val="001E340A"/>
    <w:rsid w:val="001F27E5"/>
    <w:rsid w:val="001F63BD"/>
    <w:rsid w:val="0020198A"/>
    <w:rsid w:val="0020354A"/>
    <w:rsid w:val="0021085A"/>
    <w:rsid w:val="002138F2"/>
    <w:rsid w:val="002154B2"/>
    <w:rsid w:val="00225226"/>
    <w:rsid w:val="00227730"/>
    <w:rsid w:val="0023229E"/>
    <w:rsid w:val="00234CD6"/>
    <w:rsid w:val="0023524A"/>
    <w:rsid w:val="002626B7"/>
    <w:rsid w:val="0026711D"/>
    <w:rsid w:val="00276984"/>
    <w:rsid w:val="00276E62"/>
    <w:rsid w:val="00281725"/>
    <w:rsid w:val="00283A88"/>
    <w:rsid w:val="0028474F"/>
    <w:rsid w:val="0028536B"/>
    <w:rsid w:val="002853F5"/>
    <w:rsid w:val="002864B6"/>
    <w:rsid w:val="00291610"/>
    <w:rsid w:val="00292F23"/>
    <w:rsid w:val="002948A9"/>
    <w:rsid w:val="00296B89"/>
    <w:rsid w:val="00296C87"/>
    <w:rsid w:val="002A7652"/>
    <w:rsid w:val="002B2EDD"/>
    <w:rsid w:val="002C03C8"/>
    <w:rsid w:val="002C0905"/>
    <w:rsid w:val="002C2CDC"/>
    <w:rsid w:val="002C7E95"/>
    <w:rsid w:val="002D34BB"/>
    <w:rsid w:val="002D7DCB"/>
    <w:rsid w:val="002E5A64"/>
    <w:rsid w:val="002E7030"/>
    <w:rsid w:val="002F12F6"/>
    <w:rsid w:val="00300E64"/>
    <w:rsid w:val="00302641"/>
    <w:rsid w:val="00302E83"/>
    <w:rsid w:val="00313BD9"/>
    <w:rsid w:val="00320ED9"/>
    <w:rsid w:val="00321920"/>
    <w:rsid w:val="00330363"/>
    <w:rsid w:val="00335777"/>
    <w:rsid w:val="00335AFC"/>
    <w:rsid w:val="00341A47"/>
    <w:rsid w:val="003449E3"/>
    <w:rsid w:val="003506BA"/>
    <w:rsid w:val="003529BB"/>
    <w:rsid w:val="0035503F"/>
    <w:rsid w:val="00356F5E"/>
    <w:rsid w:val="00361C75"/>
    <w:rsid w:val="0036584B"/>
    <w:rsid w:val="00381709"/>
    <w:rsid w:val="00383347"/>
    <w:rsid w:val="00387BB7"/>
    <w:rsid w:val="0039071F"/>
    <w:rsid w:val="0039514E"/>
    <w:rsid w:val="003A63DD"/>
    <w:rsid w:val="003B5723"/>
    <w:rsid w:val="003C1E67"/>
    <w:rsid w:val="003C3D28"/>
    <w:rsid w:val="003D13E9"/>
    <w:rsid w:val="003D14A2"/>
    <w:rsid w:val="003D6A80"/>
    <w:rsid w:val="003D70BF"/>
    <w:rsid w:val="003E378D"/>
    <w:rsid w:val="003E6D2F"/>
    <w:rsid w:val="003F1E5F"/>
    <w:rsid w:val="003F2068"/>
    <w:rsid w:val="00400DDD"/>
    <w:rsid w:val="00402979"/>
    <w:rsid w:val="004058AD"/>
    <w:rsid w:val="00405B08"/>
    <w:rsid w:val="004064A6"/>
    <w:rsid w:val="00420301"/>
    <w:rsid w:val="00424B1B"/>
    <w:rsid w:val="00427DA8"/>
    <w:rsid w:val="00433350"/>
    <w:rsid w:val="00434C91"/>
    <w:rsid w:val="00434CA5"/>
    <w:rsid w:val="004362A8"/>
    <w:rsid w:val="00437919"/>
    <w:rsid w:val="00447909"/>
    <w:rsid w:val="00455503"/>
    <w:rsid w:val="004559E4"/>
    <w:rsid w:val="00456940"/>
    <w:rsid w:val="004618DF"/>
    <w:rsid w:val="00461DF2"/>
    <w:rsid w:val="004720DD"/>
    <w:rsid w:val="00473027"/>
    <w:rsid w:val="00480815"/>
    <w:rsid w:val="0048417E"/>
    <w:rsid w:val="0049354D"/>
    <w:rsid w:val="004B3043"/>
    <w:rsid w:val="004B343D"/>
    <w:rsid w:val="004B7846"/>
    <w:rsid w:val="004C0CF6"/>
    <w:rsid w:val="004C2A69"/>
    <w:rsid w:val="004D2C9D"/>
    <w:rsid w:val="004E47B4"/>
    <w:rsid w:val="004E4ADB"/>
    <w:rsid w:val="004E5048"/>
    <w:rsid w:val="0050681C"/>
    <w:rsid w:val="00515513"/>
    <w:rsid w:val="00544D51"/>
    <w:rsid w:val="0054637D"/>
    <w:rsid w:val="00546F41"/>
    <w:rsid w:val="00554D76"/>
    <w:rsid w:val="00567254"/>
    <w:rsid w:val="005718B0"/>
    <w:rsid w:val="00576487"/>
    <w:rsid w:val="0059277B"/>
    <w:rsid w:val="00593E61"/>
    <w:rsid w:val="005A08AE"/>
    <w:rsid w:val="005A7862"/>
    <w:rsid w:val="005B08B7"/>
    <w:rsid w:val="005C1F17"/>
    <w:rsid w:val="005C21B7"/>
    <w:rsid w:val="005C4406"/>
    <w:rsid w:val="005C6908"/>
    <w:rsid w:val="005D3B10"/>
    <w:rsid w:val="005D61F2"/>
    <w:rsid w:val="005D6D50"/>
    <w:rsid w:val="005D6DB8"/>
    <w:rsid w:val="005E264E"/>
    <w:rsid w:val="005E64AE"/>
    <w:rsid w:val="005F3760"/>
    <w:rsid w:val="006002EE"/>
    <w:rsid w:val="00604A13"/>
    <w:rsid w:val="00605B30"/>
    <w:rsid w:val="006136A0"/>
    <w:rsid w:val="006151C5"/>
    <w:rsid w:val="00625FA2"/>
    <w:rsid w:val="00626967"/>
    <w:rsid w:val="006320A8"/>
    <w:rsid w:val="00633DCD"/>
    <w:rsid w:val="00635742"/>
    <w:rsid w:val="00636E5D"/>
    <w:rsid w:val="00651390"/>
    <w:rsid w:val="00655B7C"/>
    <w:rsid w:val="006571BA"/>
    <w:rsid w:val="0066598A"/>
    <w:rsid w:val="0066606E"/>
    <w:rsid w:val="006664B6"/>
    <w:rsid w:val="00670D55"/>
    <w:rsid w:val="00674E41"/>
    <w:rsid w:val="00677F94"/>
    <w:rsid w:val="00680CAF"/>
    <w:rsid w:val="00685A16"/>
    <w:rsid w:val="00692E62"/>
    <w:rsid w:val="0069499D"/>
    <w:rsid w:val="006A5670"/>
    <w:rsid w:val="006B3402"/>
    <w:rsid w:val="006C1A01"/>
    <w:rsid w:val="006C3A22"/>
    <w:rsid w:val="006D7ACD"/>
    <w:rsid w:val="006E3A46"/>
    <w:rsid w:val="006E5C38"/>
    <w:rsid w:val="006E650E"/>
    <w:rsid w:val="006E7534"/>
    <w:rsid w:val="006F5D57"/>
    <w:rsid w:val="006F66FD"/>
    <w:rsid w:val="007028BF"/>
    <w:rsid w:val="0071216E"/>
    <w:rsid w:val="007123E1"/>
    <w:rsid w:val="00721530"/>
    <w:rsid w:val="00722E54"/>
    <w:rsid w:val="00734069"/>
    <w:rsid w:val="00734F47"/>
    <w:rsid w:val="00737077"/>
    <w:rsid w:val="00737CDE"/>
    <w:rsid w:val="00744705"/>
    <w:rsid w:val="007479F5"/>
    <w:rsid w:val="00752915"/>
    <w:rsid w:val="007615D2"/>
    <w:rsid w:val="007626FF"/>
    <w:rsid w:val="007628C8"/>
    <w:rsid w:val="00763FF0"/>
    <w:rsid w:val="00766596"/>
    <w:rsid w:val="007735F9"/>
    <w:rsid w:val="007736B1"/>
    <w:rsid w:val="0077582C"/>
    <w:rsid w:val="007805AB"/>
    <w:rsid w:val="007842C3"/>
    <w:rsid w:val="00786EFF"/>
    <w:rsid w:val="0079503B"/>
    <w:rsid w:val="00796E5C"/>
    <w:rsid w:val="007B2FB4"/>
    <w:rsid w:val="007B3E34"/>
    <w:rsid w:val="007B771E"/>
    <w:rsid w:val="007C0141"/>
    <w:rsid w:val="007D149D"/>
    <w:rsid w:val="007D1C95"/>
    <w:rsid w:val="007D7441"/>
    <w:rsid w:val="007D7D8E"/>
    <w:rsid w:val="007D7F96"/>
    <w:rsid w:val="007E7EA9"/>
    <w:rsid w:val="007F0235"/>
    <w:rsid w:val="007F3BF1"/>
    <w:rsid w:val="00811AE7"/>
    <w:rsid w:val="00812129"/>
    <w:rsid w:val="008252BB"/>
    <w:rsid w:val="008319C6"/>
    <w:rsid w:val="0083466B"/>
    <w:rsid w:val="00843EFB"/>
    <w:rsid w:val="008463B4"/>
    <w:rsid w:val="0085193E"/>
    <w:rsid w:val="00852A76"/>
    <w:rsid w:val="00857ED1"/>
    <w:rsid w:val="008640C2"/>
    <w:rsid w:val="008751A2"/>
    <w:rsid w:val="00876BD7"/>
    <w:rsid w:val="00881D67"/>
    <w:rsid w:val="0089592B"/>
    <w:rsid w:val="00896EE7"/>
    <w:rsid w:val="008C05CC"/>
    <w:rsid w:val="008C6EF2"/>
    <w:rsid w:val="008D4D7F"/>
    <w:rsid w:val="008D4DE8"/>
    <w:rsid w:val="008E0FA3"/>
    <w:rsid w:val="008E3035"/>
    <w:rsid w:val="008F4432"/>
    <w:rsid w:val="008F65C6"/>
    <w:rsid w:val="00901DFB"/>
    <w:rsid w:val="00906AF2"/>
    <w:rsid w:val="00911440"/>
    <w:rsid w:val="009149DB"/>
    <w:rsid w:val="00914C8A"/>
    <w:rsid w:val="0093256F"/>
    <w:rsid w:val="00932F03"/>
    <w:rsid w:val="009363CA"/>
    <w:rsid w:val="00941B59"/>
    <w:rsid w:val="00942D5F"/>
    <w:rsid w:val="0094479C"/>
    <w:rsid w:val="00947CFD"/>
    <w:rsid w:val="00956804"/>
    <w:rsid w:val="00962C19"/>
    <w:rsid w:val="00963B75"/>
    <w:rsid w:val="00967DEC"/>
    <w:rsid w:val="00980923"/>
    <w:rsid w:val="00984F83"/>
    <w:rsid w:val="009A2693"/>
    <w:rsid w:val="009B2078"/>
    <w:rsid w:val="009C0B2B"/>
    <w:rsid w:val="009C1FF7"/>
    <w:rsid w:val="009C75A9"/>
    <w:rsid w:val="009D1834"/>
    <w:rsid w:val="009D1B25"/>
    <w:rsid w:val="009D3D2B"/>
    <w:rsid w:val="009D5BB1"/>
    <w:rsid w:val="009D650A"/>
    <w:rsid w:val="009D73A3"/>
    <w:rsid w:val="009E60E4"/>
    <w:rsid w:val="009E6D35"/>
    <w:rsid w:val="00A03C34"/>
    <w:rsid w:val="00A15040"/>
    <w:rsid w:val="00A21741"/>
    <w:rsid w:val="00A51193"/>
    <w:rsid w:val="00A5328B"/>
    <w:rsid w:val="00A535A8"/>
    <w:rsid w:val="00A53BFC"/>
    <w:rsid w:val="00A53C55"/>
    <w:rsid w:val="00A558C3"/>
    <w:rsid w:val="00A55F47"/>
    <w:rsid w:val="00A673AC"/>
    <w:rsid w:val="00A736C7"/>
    <w:rsid w:val="00A76177"/>
    <w:rsid w:val="00A91373"/>
    <w:rsid w:val="00A91575"/>
    <w:rsid w:val="00A94FFC"/>
    <w:rsid w:val="00A95B8B"/>
    <w:rsid w:val="00AA0764"/>
    <w:rsid w:val="00AA2D8B"/>
    <w:rsid w:val="00AA4329"/>
    <w:rsid w:val="00AA640E"/>
    <w:rsid w:val="00AA7D9F"/>
    <w:rsid w:val="00AC2793"/>
    <w:rsid w:val="00AC73CD"/>
    <w:rsid w:val="00AD0453"/>
    <w:rsid w:val="00AD1736"/>
    <w:rsid w:val="00AD24B4"/>
    <w:rsid w:val="00AD33D3"/>
    <w:rsid w:val="00AE356B"/>
    <w:rsid w:val="00AE4E72"/>
    <w:rsid w:val="00AE5E9D"/>
    <w:rsid w:val="00AF0800"/>
    <w:rsid w:val="00AF53C1"/>
    <w:rsid w:val="00B1639E"/>
    <w:rsid w:val="00B23CC3"/>
    <w:rsid w:val="00B262B3"/>
    <w:rsid w:val="00B362EE"/>
    <w:rsid w:val="00B4039E"/>
    <w:rsid w:val="00B411E8"/>
    <w:rsid w:val="00B41D9F"/>
    <w:rsid w:val="00B52B48"/>
    <w:rsid w:val="00B7334A"/>
    <w:rsid w:val="00B739AD"/>
    <w:rsid w:val="00B7488F"/>
    <w:rsid w:val="00B82691"/>
    <w:rsid w:val="00B84143"/>
    <w:rsid w:val="00B86EF6"/>
    <w:rsid w:val="00B928C1"/>
    <w:rsid w:val="00BA3DF3"/>
    <w:rsid w:val="00BB0C72"/>
    <w:rsid w:val="00BC053E"/>
    <w:rsid w:val="00BC1902"/>
    <w:rsid w:val="00BC282E"/>
    <w:rsid w:val="00BC5A2F"/>
    <w:rsid w:val="00BC7215"/>
    <w:rsid w:val="00BD5778"/>
    <w:rsid w:val="00BE286D"/>
    <w:rsid w:val="00BE553F"/>
    <w:rsid w:val="00BF59B1"/>
    <w:rsid w:val="00BF756B"/>
    <w:rsid w:val="00C02402"/>
    <w:rsid w:val="00C03380"/>
    <w:rsid w:val="00C162BE"/>
    <w:rsid w:val="00C21E36"/>
    <w:rsid w:val="00C24CF9"/>
    <w:rsid w:val="00C32DE2"/>
    <w:rsid w:val="00C334A6"/>
    <w:rsid w:val="00C35BEC"/>
    <w:rsid w:val="00C422EA"/>
    <w:rsid w:val="00C51199"/>
    <w:rsid w:val="00C6282E"/>
    <w:rsid w:val="00C70A06"/>
    <w:rsid w:val="00C8128C"/>
    <w:rsid w:val="00C86E09"/>
    <w:rsid w:val="00C87663"/>
    <w:rsid w:val="00C918F0"/>
    <w:rsid w:val="00C962CF"/>
    <w:rsid w:val="00C962D1"/>
    <w:rsid w:val="00C97BFA"/>
    <w:rsid w:val="00CA10D1"/>
    <w:rsid w:val="00CA5308"/>
    <w:rsid w:val="00CA5B01"/>
    <w:rsid w:val="00CB22DC"/>
    <w:rsid w:val="00CB351C"/>
    <w:rsid w:val="00CB4735"/>
    <w:rsid w:val="00CC2006"/>
    <w:rsid w:val="00CC351A"/>
    <w:rsid w:val="00CD04C1"/>
    <w:rsid w:val="00CE0D28"/>
    <w:rsid w:val="00CE0DE8"/>
    <w:rsid w:val="00D053DC"/>
    <w:rsid w:val="00D20A10"/>
    <w:rsid w:val="00D22881"/>
    <w:rsid w:val="00D23041"/>
    <w:rsid w:val="00D2367F"/>
    <w:rsid w:val="00D24640"/>
    <w:rsid w:val="00D31715"/>
    <w:rsid w:val="00D348E6"/>
    <w:rsid w:val="00D45FB3"/>
    <w:rsid w:val="00D51957"/>
    <w:rsid w:val="00D660EF"/>
    <w:rsid w:val="00D70231"/>
    <w:rsid w:val="00D73C31"/>
    <w:rsid w:val="00D87875"/>
    <w:rsid w:val="00D94289"/>
    <w:rsid w:val="00D95CFD"/>
    <w:rsid w:val="00D977A1"/>
    <w:rsid w:val="00DA0283"/>
    <w:rsid w:val="00DA1543"/>
    <w:rsid w:val="00DA479A"/>
    <w:rsid w:val="00DA47E3"/>
    <w:rsid w:val="00DA6D2B"/>
    <w:rsid w:val="00DA77D3"/>
    <w:rsid w:val="00DA7F50"/>
    <w:rsid w:val="00DC52BF"/>
    <w:rsid w:val="00DD28D3"/>
    <w:rsid w:val="00DD7FDF"/>
    <w:rsid w:val="00DF5062"/>
    <w:rsid w:val="00DF57D0"/>
    <w:rsid w:val="00E0302F"/>
    <w:rsid w:val="00E057A6"/>
    <w:rsid w:val="00E1373C"/>
    <w:rsid w:val="00E20EAD"/>
    <w:rsid w:val="00E30756"/>
    <w:rsid w:val="00E3338B"/>
    <w:rsid w:val="00E346C2"/>
    <w:rsid w:val="00E34FF0"/>
    <w:rsid w:val="00E36378"/>
    <w:rsid w:val="00E410B6"/>
    <w:rsid w:val="00E4687D"/>
    <w:rsid w:val="00E47A2E"/>
    <w:rsid w:val="00E50E1C"/>
    <w:rsid w:val="00E51449"/>
    <w:rsid w:val="00E54061"/>
    <w:rsid w:val="00E56F07"/>
    <w:rsid w:val="00E6397D"/>
    <w:rsid w:val="00E70D6D"/>
    <w:rsid w:val="00E71CB2"/>
    <w:rsid w:val="00E8116E"/>
    <w:rsid w:val="00E81553"/>
    <w:rsid w:val="00E853A2"/>
    <w:rsid w:val="00E946A2"/>
    <w:rsid w:val="00E95445"/>
    <w:rsid w:val="00E969B9"/>
    <w:rsid w:val="00EA4B0F"/>
    <w:rsid w:val="00EA7EA9"/>
    <w:rsid w:val="00EB5A07"/>
    <w:rsid w:val="00EB6BA0"/>
    <w:rsid w:val="00EC0CCB"/>
    <w:rsid w:val="00EC458D"/>
    <w:rsid w:val="00EC4C2F"/>
    <w:rsid w:val="00EE063F"/>
    <w:rsid w:val="00EE0CF0"/>
    <w:rsid w:val="00EE2691"/>
    <w:rsid w:val="00EF069A"/>
    <w:rsid w:val="00F0240C"/>
    <w:rsid w:val="00F03495"/>
    <w:rsid w:val="00F062BD"/>
    <w:rsid w:val="00F07DED"/>
    <w:rsid w:val="00F10853"/>
    <w:rsid w:val="00F150C4"/>
    <w:rsid w:val="00F174AC"/>
    <w:rsid w:val="00F17BF7"/>
    <w:rsid w:val="00F20834"/>
    <w:rsid w:val="00F22DCB"/>
    <w:rsid w:val="00F2491D"/>
    <w:rsid w:val="00F3159C"/>
    <w:rsid w:val="00F356EC"/>
    <w:rsid w:val="00F4280A"/>
    <w:rsid w:val="00F47BC9"/>
    <w:rsid w:val="00F535AC"/>
    <w:rsid w:val="00F55CC9"/>
    <w:rsid w:val="00F607F8"/>
    <w:rsid w:val="00F64254"/>
    <w:rsid w:val="00F66893"/>
    <w:rsid w:val="00F66C4E"/>
    <w:rsid w:val="00F76067"/>
    <w:rsid w:val="00F77161"/>
    <w:rsid w:val="00F805A2"/>
    <w:rsid w:val="00F83687"/>
    <w:rsid w:val="00FA56FC"/>
    <w:rsid w:val="00FA6ACF"/>
    <w:rsid w:val="00FA7E6D"/>
    <w:rsid w:val="00FA7F25"/>
    <w:rsid w:val="00FB5AA1"/>
    <w:rsid w:val="00FB5B61"/>
    <w:rsid w:val="00FB7DA7"/>
    <w:rsid w:val="00FD037D"/>
    <w:rsid w:val="00FD097E"/>
    <w:rsid w:val="00FD118D"/>
    <w:rsid w:val="00FE0A47"/>
    <w:rsid w:val="00FE2C3B"/>
    <w:rsid w:val="00FF098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753C5DF"/>
  <w15:chartTrackingRefBased/>
  <w15:docId w15:val="{79E0B915-B6C4-419D-88B8-165CA32E0E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C5DED"/>
    <w:rPr>
      <w:sz w:val="24"/>
      <w:szCs w:val="24"/>
      <w:lang w:val="ru-RU" w:eastAsia="ru-RU"/>
    </w:rPr>
  </w:style>
  <w:style w:type="paragraph" w:styleId="2">
    <w:name w:val="heading 2"/>
    <w:basedOn w:val="a"/>
    <w:next w:val="a"/>
    <w:link w:val="20"/>
    <w:qFormat/>
    <w:rsid w:val="00C918F0"/>
    <w:pPr>
      <w:keepNext/>
      <w:spacing w:before="240" w:after="60"/>
      <w:outlineLvl w:val="1"/>
    </w:pPr>
    <w:rPr>
      <w:rFonts w:ascii="Arial" w:hAnsi="Arial" w:cs="Arial"/>
      <w:b/>
      <w:bCs/>
      <w:i/>
      <w:i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Шрифт абзацу за промовчанням"/>
    <w:semiHidden/>
  </w:style>
  <w:style w:type="paragraph" w:styleId="a4">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5"/>
    <w:rsid w:val="00335777"/>
    <w:pPr>
      <w:spacing w:before="100" w:beforeAutospacing="1" w:after="100" w:afterAutospacing="1"/>
    </w:pPr>
  </w:style>
  <w:style w:type="paragraph" w:styleId="21">
    <w:name w:val="Body Text 2"/>
    <w:basedOn w:val="a"/>
    <w:link w:val="22"/>
    <w:rsid w:val="00C918F0"/>
    <w:pPr>
      <w:spacing w:after="120" w:line="480" w:lineRule="auto"/>
    </w:pPr>
    <w:rPr>
      <w:lang w:val="uk-UA"/>
    </w:rPr>
  </w:style>
  <w:style w:type="paragraph" w:styleId="a6">
    <w:name w:val="Body Text Indent"/>
    <w:basedOn w:val="a"/>
    <w:rsid w:val="00C918F0"/>
    <w:pPr>
      <w:spacing w:after="120"/>
      <w:ind w:left="283"/>
    </w:pPr>
    <w:rPr>
      <w:sz w:val="20"/>
      <w:szCs w:val="20"/>
      <w:lang w:val="uk-UA"/>
    </w:rPr>
  </w:style>
  <w:style w:type="paragraph" w:styleId="23">
    <w:name w:val="Body Text Indent 2"/>
    <w:basedOn w:val="a"/>
    <w:link w:val="24"/>
    <w:rsid w:val="00C918F0"/>
    <w:pPr>
      <w:spacing w:after="120" w:line="480" w:lineRule="auto"/>
      <w:ind w:left="283"/>
    </w:pPr>
    <w:rPr>
      <w:sz w:val="20"/>
      <w:szCs w:val="20"/>
      <w:lang w:val="uk-UA"/>
    </w:rPr>
  </w:style>
  <w:style w:type="character" w:customStyle="1" w:styleId="24">
    <w:name w:val="Основний текст з відступом 2 Знак"/>
    <w:link w:val="23"/>
    <w:rsid w:val="00C918F0"/>
    <w:rPr>
      <w:lang w:val="uk-UA" w:eastAsia="ru-RU" w:bidi="ar-SA"/>
    </w:rPr>
  </w:style>
  <w:style w:type="character" w:customStyle="1" w:styleId="22">
    <w:name w:val="Основний текст 2 Знак"/>
    <w:link w:val="21"/>
    <w:rsid w:val="00C918F0"/>
    <w:rPr>
      <w:sz w:val="24"/>
      <w:szCs w:val="24"/>
      <w:lang w:val="uk-UA" w:eastAsia="ru-RU" w:bidi="ar-SA"/>
    </w:rPr>
  </w:style>
  <w:style w:type="character" w:customStyle="1" w:styleId="spelle">
    <w:name w:val="spelle"/>
    <w:basedOn w:val="a3"/>
    <w:rsid w:val="00C918F0"/>
  </w:style>
  <w:style w:type="character" w:customStyle="1" w:styleId="20">
    <w:name w:val="Заголовок 2 Знак"/>
    <w:link w:val="2"/>
    <w:rsid w:val="00C918F0"/>
    <w:rPr>
      <w:rFonts w:ascii="Arial" w:hAnsi="Arial" w:cs="Arial"/>
      <w:b/>
      <w:bCs/>
      <w:i/>
      <w:iCs/>
      <w:sz w:val="28"/>
      <w:szCs w:val="28"/>
      <w:lang w:val="uk-UA" w:eastAsia="ru-RU" w:bidi="ar-SA"/>
    </w:rPr>
  </w:style>
  <w:style w:type="paragraph" w:styleId="a7">
    <w:name w:val="header"/>
    <w:basedOn w:val="a"/>
    <w:rsid w:val="009149DB"/>
    <w:pPr>
      <w:tabs>
        <w:tab w:val="center" w:pos="4677"/>
        <w:tab w:val="right" w:pos="9355"/>
      </w:tabs>
    </w:pPr>
  </w:style>
  <w:style w:type="paragraph" w:styleId="a8">
    <w:name w:val="footer"/>
    <w:basedOn w:val="a"/>
    <w:rsid w:val="009149DB"/>
    <w:pPr>
      <w:tabs>
        <w:tab w:val="center" w:pos="4677"/>
        <w:tab w:val="right" w:pos="9355"/>
      </w:tabs>
    </w:pPr>
  </w:style>
  <w:style w:type="character" w:styleId="a9">
    <w:name w:val="page number"/>
    <w:basedOn w:val="a3"/>
    <w:rsid w:val="009149DB"/>
  </w:style>
  <w:style w:type="paragraph" w:styleId="aa">
    <w:name w:val="Body Text"/>
    <w:basedOn w:val="a"/>
    <w:link w:val="ab"/>
    <w:rsid w:val="00CC2006"/>
    <w:pPr>
      <w:spacing w:after="120"/>
    </w:pPr>
  </w:style>
  <w:style w:type="character" w:customStyle="1" w:styleId="ab">
    <w:name w:val="Основний текст Знак"/>
    <w:link w:val="aa"/>
    <w:rsid w:val="00CC2006"/>
    <w:rPr>
      <w:sz w:val="24"/>
      <w:szCs w:val="24"/>
      <w:lang w:val="ru-RU" w:eastAsia="ru-RU"/>
    </w:rPr>
  </w:style>
  <w:style w:type="character" w:styleId="ac">
    <w:name w:val="Hyperlink"/>
    <w:unhideWhenUsed/>
    <w:rsid w:val="00CC2006"/>
    <w:rPr>
      <w:color w:val="0000FF"/>
      <w:u w:val="single"/>
    </w:rPr>
  </w:style>
  <w:style w:type="paragraph" w:customStyle="1" w:styleId="ad">
    <w:name w:val="Знак Знак Знак Знак Знак Знак Знак"/>
    <w:basedOn w:val="a"/>
    <w:rsid w:val="000F7FF4"/>
    <w:rPr>
      <w:rFonts w:ascii="Verdana" w:hAnsi="Verdana" w:cs="Verdana"/>
      <w:sz w:val="20"/>
      <w:szCs w:val="20"/>
      <w:lang w:val="en-US" w:eastAsia="en-US"/>
    </w:rPr>
  </w:style>
  <w:style w:type="paragraph" w:styleId="ae">
    <w:name w:val="Balloon Text"/>
    <w:basedOn w:val="a"/>
    <w:link w:val="af"/>
    <w:rsid w:val="00932F03"/>
    <w:rPr>
      <w:rFonts w:ascii="Tahoma" w:hAnsi="Tahoma" w:cs="Tahoma"/>
      <w:sz w:val="16"/>
      <w:szCs w:val="16"/>
    </w:rPr>
  </w:style>
  <w:style w:type="character" w:customStyle="1" w:styleId="af">
    <w:name w:val="Текст у виносці Знак"/>
    <w:link w:val="ae"/>
    <w:rsid w:val="00932F03"/>
    <w:rPr>
      <w:rFonts w:ascii="Tahoma" w:hAnsi="Tahoma" w:cs="Tahoma"/>
      <w:sz w:val="16"/>
      <w:szCs w:val="16"/>
      <w:lang w:val="ru-RU" w:eastAsia="ru-RU"/>
    </w:rPr>
  </w:style>
  <w:style w:type="paragraph" w:customStyle="1" w:styleId="af0">
    <w:name w:val="Знак Знак Знак Знак"/>
    <w:basedOn w:val="a"/>
    <w:rsid w:val="00387BB7"/>
    <w:rPr>
      <w:rFonts w:ascii="Verdana" w:hAnsi="Verdana" w:cs="Verdana"/>
      <w:sz w:val="20"/>
      <w:szCs w:val="20"/>
      <w:lang w:val="en-US" w:eastAsia="en-US"/>
    </w:rPr>
  </w:style>
  <w:style w:type="paragraph" w:customStyle="1" w:styleId="af1">
    <w:name w:val="Знак Знак"/>
    <w:basedOn w:val="a"/>
    <w:rsid w:val="008319C6"/>
    <w:rPr>
      <w:rFonts w:ascii="Verdana" w:hAnsi="Verdana" w:cs="Verdana"/>
      <w:sz w:val="20"/>
      <w:szCs w:val="20"/>
      <w:lang w:val="en-US" w:eastAsia="en-US"/>
    </w:rPr>
  </w:style>
  <w:style w:type="character" w:customStyle="1" w:styleId="a5">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4"/>
    <w:locked/>
    <w:rsid w:val="008319C6"/>
    <w:rPr>
      <w:sz w:val="24"/>
      <w:szCs w:val="24"/>
      <w:lang w:val="ru-RU" w:eastAsia="ru-RU"/>
    </w:rPr>
  </w:style>
  <w:style w:type="paragraph" w:customStyle="1" w:styleId="rvps2">
    <w:name w:val="rvps2"/>
    <w:basedOn w:val="a"/>
    <w:qFormat/>
    <w:rsid w:val="00105E0C"/>
    <w:pPr>
      <w:spacing w:before="100" w:beforeAutospacing="1" w:after="100" w:afterAutospacing="1"/>
    </w:pPr>
    <w:rPr>
      <w:lang w:val="uk-UA" w:eastAsia="uk-UA"/>
    </w:rPr>
  </w:style>
  <w:style w:type="character" w:customStyle="1" w:styleId="fontstyle01">
    <w:name w:val="fontstyle01"/>
    <w:rsid w:val="00176290"/>
    <w:rPr>
      <w:rFonts w:ascii="TimesNewRomanPSMT" w:hAnsi="TimesNewRomanPSMT" w:hint="default"/>
      <w:b w:val="0"/>
      <w:bCs w:val="0"/>
      <w:i w:val="0"/>
      <w:iCs w:val="0"/>
      <w:color w:val="000000"/>
      <w:sz w:val="28"/>
      <w:szCs w:val="28"/>
    </w:rPr>
  </w:style>
  <w:style w:type="table" w:styleId="af2">
    <w:name w:val="Table Grid"/>
    <w:basedOn w:val="a1"/>
    <w:uiPriority w:val="39"/>
    <w:rsid w:val="00F607F8"/>
    <w:rPr>
      <w:rFonts w:ascii="Calibri" w:eastAsia="Calibri" w:hAnsi="Calibri" w:cs="Arial"/>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07633">
      <w:bodyDiv w:val="1"/>
      <w:marLeft w:val="0"/>
      <w:marRight w:val="0"/>
      <w:marTop w:val="0"/>
      <w:marBottom w:val="0"/>
      <w:divBdr>
        <w:top w:val="none" w:sz="0" w:space="0" w:color="auto"/>
        <w:left w:val="none" w:sz="0" w:space="0" w:color="auto"/>
        <w:bottom w:val="none" w:sz="0" w:space="0" w:color="auto"/>
        <w:right w:val="none" w:sz="0" w:space="0" w:color="auto"/>
      </w:divBdr>
    </w:div>
    <w:div w:id="10572386">
      <w:bodyDiv w:val="1"/>
      <w:marLeft w:val="0"/>
      <w:marRight w:val="0"/>
      <w:marTop w:val="0"/>
      <w:marBottom w:val="0"/>
      <w:divBdr>
        <w:top w:val="none" w:sz="0" w:space="0" w:color="auto"/>
        <w:left w:val="none" w:sz="0" w:space="0" w:color="auto"/>
        <w:bottom w:val="none" w:sz="0" w:space="0" w:color="auto"/>
        <w:right w:val="none" w:sz="0" w:space="0" w:color="auto"/>
      </w:divBdr>
    </w:div>
    <w:div w:id="11689949">
      <w:bodyDiv w:val="1"/>
      <w:marLeft w:val="0"/>
      <w:marRight w:val="0"/>
      <w:marTop w:val="0"/>
      <w:marBottom w:val="0"/>
      <w:divBdr>
        <w:top w:val="none" w:sz="0" w:space="0" w:color="auto"/>
        <w:left w:val="none" w:sz="0" w:space="0" w:color="auto"/>
        <w:bottom w:val="none" w:sz="0" w:space="0" w:color="auto"/>
        <w:right w:val="none" w:sz="0" w:space="0" w:color="auto"/>
      </w:divBdr>
    </w:div>
    <w:div w:id="70543211">
      <w:bodyDiv w:val="1"/>
      <w:marLeft w:val="0"/>
      <w:marRight w:val="0"/>
      <w:marTop w:val="0"/>
      <w:marBottom w:val="0"/>
      <w:divBdr>
        <w:top w:val="none" w:sz="0" w:space="0" w:color="auto"/>
        <w:left w:val="none" w:sz="0" w:space="0" w:color="auto"/>
        <w:bottom w:val="none" w:sz="0" w:space="0" w:color="auto"/>
        <w:right w:val="none" w:sz="0" w:space="0" w:color="auto"/>
      </w:divBdr>
    </w:div>
    <w:div w:id="382682132">
      <w:bodyDiv w:val="1"/>
      <w:marLeft w:val="0"/>
      <w:marRight w:val="0"/>
      <w:marTop w:val="0"/>
      <w:marBottom w:val="0"/>
      <w:divBdr>
        <w:top w:val="none" w:sz="0" w:space="0" w:color="auto"/>
        <w:left w:val="none" w:sz="0" w:space="0" w:color="auto"/>
        <w:bottom w:val="none" w:sz="0" w:space="0" w:color="auto"/>
        <w:right w:val="none" w:sz="0" w:space="0" w:color="auto"/>
      </w:divBdr>
    </w:div>
    <w:div w:id="501622973">
      <w:bodyDiv w:val="1"/>
      <w:marLeft w:val="0"/>
      <w:marRight w:val="0"/>
      <w:marTop w:val="0"/>
      <w:marBottom w:val="0"/>
      <w:divBdr>
        <w:top w:val="none" w:sz="0" w:space="0" w:color="auto"/>
        <w:left w:val="none" w:sz="0" w:space="0" w:color="auto"/>
        <w:bottom w:val="none" w:sz="0" w:space="0" w:color="auto"/>
        <w:right w:val="none" w:sz="0" w:space="0" w:color="auto"/>
      </w:divBdr>
    </w:div>
    <w:div w:id="608005076">
      <w:bodyDiv w:val="1"/>
      <w:marLeft w:val="0"/>
      <w:marRight w:val="0"/>
      <w:marTop w:val="0"/>
      <w:marBottom w:val="0"/>
      <w:divBdr>
        <w:top w:val="none" w:sz="0" w:space="0" w:color="auto"/>
        <w:left w:val="none" w:sz="0" w:space="0" w:color="auto"/>
        <w:bottom w:val="none" w:sz="0" w:space="0" w:color="auto"/>
        <w:right w:val="none" w:sz="0" w:space="0" w:color="auto"/>
      </w:divBdr>
    </w:div>
    <w:div w:id="628783926">
      <w:bodyDiv w:val="1"/>
      <w:marLeft w:val="0"/>
      <w:marRight w:val="0"/>
      <w:marTop w:val="0"/>
      <w:marBottom w:val="0"/>
      <w:divBdr>
        <w:top w:val="none" w:sz="0" w:space="0" w:color="auto"/>
        <w:left w:val="none" w:sz="0" w:space="0" w:color="auto"/>
        <w:bottom w:val="none" w:sz="0" w:space="0" w:color="auto"/>
        <w:right w:val="none" w:sz="0" w:space="0" w:color="auto"/>
      </w:divBdr>
    </w:div>
    <w:div w:id="1016078178">
      <w:bodyDiv w:val="1"/>
      <w:marLeft w:val="0"/>
      <w:marRight w:val="0"/>
      <w:marTop w:val="0"/>
      <w:marBottom w:val="0"/>
      <w:divBdr>
        <w:top w:val="none" w:sz="0" w:space="0" w:color="auto"/>
        <w:left w:val="none" w:sz="0" w:space="0" w:color="auto"/>
        <w:bottom w:val="none" w:sz="0" w:space="0" w:color="auto"/>
        <w:right w:val="none" w:sz="0" w:space="0" w:color="auto"/>
      </w:divBdr>
    </w:div>
    <w:div w:id="1328170704">
      <w:bodyDiv w:val="1"/>
      <w:marLeft w:val="0"/>
      <w:marRight w:val="0"/>
      <w:marTop w:val="0"/>
      <w:marBottom w:val="0"/>
      <w:divBdr>
        <w:top w:val="none" w:sz="0" w:space="0" w:color="auto"/>
        <w:left w:val="none" w:sz="0" w:space="0" w:color="auto"/>
        <w:bottom w:val="none" w:sz="0" w:space="0" w:color="auto"/>
        <w:right w:val="none" w:sz="0" w:space="0" w:color="auto"/>
      </w:divBdr>
    </w:div>
    <w:div w:id="1736396476">
      <w:bodyDiv w:val="1"/>
      <w:marLeft w:val="0"/>
      <w:marRight w:val="0"/>
      <w:marTop w:val="0"/>
      <w:marBottom w:val="0"/>
      <w:divBdr>
        <w:top w:val="none" w:sz="0" w:space="0" w:color="auto"/>
        <w:left w:val="none" w:sz="0" w:space="0" w:color="auto"/>
        <w:bottom w:val="none" w:sz="0" w:space="0" w:color="auto"/>
        <w:right w:val="none" w:sz="0" w:space="0" w:color="auto"/>
      </w:divBdr>
    </w:div>
    <w:div w:id="1861160049">
      <w:bodyDiv w:val="1"/>
      <w:marLeft w:val="0"/>
      <w:marRight w:val="0"/>
      <w:marTop w:val="0"/>
      <w:marBottom w:val="0"/>
      <w:divBdr>
        <w:top w:val="none" w:sz="0" w:space="0" w:color="auto"/>
        <w:left w:val="none" w:sz="0" w:space="0" w:color="auto"/>
        <w:bottom w:val="none" w:sz="0" w:space="0" w:color="auto"/>
        <w:right w:val="none" w:sz="0" w:space="0" w:color="auto"/>
      </w:divBdr>
    </w:div>
    <w:div w:id="2018458126">
      <w:bodyDiv w:val="1"/>
      <w:marLeft w:val="0"/>
      <w:marRight w:val="0"/>
      <w:marTop w:val="0"/>
      <w:marBottom w:val="0"/>
      <w:divBdr>
        <w:top w:val="none" w:sz="0" w:space="0" w:color="auto"/>
        <w:left w:val="none" w:sz="0" w:space="0" w:color="auto"/>
        <w:bottom w:val="none" w:sz="0" w:space="0" w:color="auto"/>
        <w:right w:val="none" w:sz="0" w:space="0" w:color="auto"/>
      </w:divBdr>
    </w:div>
    <w:div w:id="2039576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erc.gov.ua"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Офіс">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AF650F-8D40-4819-870F-AEA6EF2D41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7</Pages>
  <Words>10107</Words>
  <Characters>5761</Characters>
  <Application>Microsoft Office Word</Application>
  <DocSecurity>0</DocSecurity>
  <Lines>48</Lines>
  <Paragraphs>31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НАЦІОНАЛЬНА КОМІСІЯ, ЩО ЗДІЙСНЮЄ ДЕРЖАВНЕ РЕГУЛЮВАННЯ У СФЕРАХ ЕНЕРГЕТИКИ ТА КОМУНАЛЬНИХ ПОСЛУГ</vt:lpstr>
      <vt:lpstr>НАЦІОНАЛЬНА КОМІСІЯ, ЩО ЗДІЙСНЮЄ ДЕРЖАВНЕ РЕГУЛЮВАННЯ У СФЕРАХ ЕНЕРГЕТИКИ ТА КОМУНАЛЬНИХ ПОСЛУГ</vt:lpstr>
    </vt:vector>
  </TitlesOfParts>
  <Company>NCRE</Company>
  <LinksUpToDate>false</LinksUpToDate>
  <CharactersWithSpaces>15837</CharactersWithSpaces>
  <SharedDoc>false</SharedDoc>
  <HLinks>
    <vt:vector size="6" baseType="variant">
      <vt:variant>
        <vt:i4>3735602</vt:i4>
      </vt:variant>
      <vt:variant>
        <vt:i4>0</vt:i4>
      </vt:variant>
      <vt:variant>
        <vt:i4>0</vt:i4>
      </vt:variant>
      <vt:variant>
        <vt:i4>5</vt:i4>
      </vt:variant>
      <vt:variant>
        <vt:lpwstr>http://www.nerc.gov.ua/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НАЦІОНАЛЬНА КОМІСІЯ, ЩО ЗДІЙСНЮЄ ДЕРЖАВНЕ РЕГУЛЮВАННЯ У СФЕРАХ ЕНЕРГЕТИКИ ТА КОМУНАЛЬНИХ ПОСЛУГ</dc:title>
  <dc:subject/>
  <dc:creator>Gorodysky</dc:creator>
  <cp:keywords/>
  <cp:lastModifiedBy>Юлія Покальчук</cp:lastModifiedBy>
  <cp:revision>5</cp:revision>
  <cp:lastPrinted>2021-09-14T07:32:00Z</cp:lastPrinted>
  <dcterms:created xsi:type="dcterms:W3CDTF">2025-04-15T07:34:00Z</dcterms:created>
  <dcterms:modified xsi:type="dcterms:W3CDTF">2025-04-22T09:07:00Z</dcterms:modified>
</cp:coreProperties>
</file>