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04E6D" w14:textId="57C0F695" w:rsidR="0036459A" w:rsidRPr="006F4D89" w:rsidRDefault="006F4D89" w:rsidP="006F4D89">
      <w:pPr>
        <w:jc w:val="center"/>
        <w:rPr>
          <w:b/>
          <w:sz w:val="28"/>
          <w:szCs w:val="28"/>
          <w:lang w:val="uk-UA"/>
        </w:rPr>
      </w:pPr>
      <w:r w:rsidRPr="006F4D89">
        <w:rPr>
          <w:b/>
          <w:sz w:val="28"/>
          <w:szCs w:val="28"/>
          <w:lang w:val="uk-UA"/>
        </w:rPr>
        <w:t>Порівняльна таблиця</w:t>
      </w:r>
      <w:r w:rsidR="001B550F" w:rsidRPr="006F4D89">
        <w:rPr>
          <w:b/>
          <w:sz w:val="28"/>
          <w:szCs w:val="28"/>
          <w:lang w:val="uk-UA"/>
        </w:rPr>
        <w:t xml:space="preserve"> змін</w:t>
      </w:r>
      <w:r w:rsidR="00485E32" w:rsidRPr="006F4D89">
        <w:rPr>
          <w:b/>
          <w:sz w:val="28"/>
          <w:szCs w:val="28"/>
          <w:lang w:val="uk-UA"/>
        </w:rPr>
        <w:t xml:space="preserve"> </w:t>
      </w:r>
      <w:r w:rsidR="00A922FF" w:rsidRPr="006F4D89">
        <w:rPr>
          <w:b/>
          <w:sz w:val="28"/>
          <w:szCs w:val="28"/>
          <w:lang w:val="uk-UA"/>
        </w:rPr>
        <w:t xml:space="preserve">до </w:t>
      </w:r>
      <w:r w:rsidR="00485E32" w:rsidRPr="006F4D89">
        <w:rPr>
          <w:b/>
          <w:sz w:val="28"/>
          <w:szCs w:val="28"/>
          <w:lang w:val="uk-UA"/>
        </w:rPr>
        <w:t>Ліцензійн</w:t>
      </w:r>
      <w:r w:rsidR="00A922FF" w:rsidRPr="006F4D89">
        <w:rPr>
          <w:b/>
          <w:sz w:val="28"/>
          <w:szCs w:val="28"/>
          <w:lang w:val="uk-UA"/>
        </w:rPr>
        <w:t>их</w:t>
      </w:r>
      <w:r w:rsidR="00485E32" w:rsidRPr="006F4D89">
        <w:rPr>
          <w:b/>
          <w:sz w:val="28"/>
          <w:szCs w:val="28"/>
          <w:lang w:val="uk-UA"/>
        </w:rPr>
        <w:t xml:space="preserve"> умов провадження господарської діяльності зі зберігання енергії</w:t>
      </w:r>
    </w:p>
    <w:p w14:paraId="122D7568" w14:textId="77777777" w:rsidR="00327069" w:rsidRPr="006F4D89" w:rsidRDefault="00327069" w:rsidP="006F4D89">
      <w:pPr>
        <w:rPr>
          <w:sz w:val="24"/>
          <w:szCs w:val="24"/>
          <w:lang w:val="uk-UA"/>
        </w:rPr>
      </w:pPr>
    </w:p>
    <w:p w14:paraId="74FDC708" w14:textId="77777777" w:rsidR="00327069" w:rsidRPr="006F4D89" w:rsidRDefault="00327069" w:rsidP="006F4D89">
      <w:pPr>
        <w:rPr>
          <w:sz w:val="24"/>
          <w:szCs w:val="24"/>
          <w:lang w:val="uk-UA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7508"/>
        <w:gridCol w:w="7655"/>
      </w:tblGrid>
      <w:tr w:rsidR="006F4D89" w:rsidRPr="002B6367" w14:paraId="23BD260B" w14:textId="3DCF8F5E" w:rsidTr="006F4D89">
        <w:tc>
          <w:tcPr>
            <w:tcW w:w="7508" w:type="dxa"/>
          </w:tcPr>
          <w:p w14:paraId="3C205769" w14:textId="2EC3C497" w:rsidR="006F4D89" w:rsidRPr="006F4D89" w:rsidRDefault="006F4D89" w:rsidP="006F4D8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F4D89">
              <w:rPr>
                <w:b/>
                <w:sz w:val="24"/>
                <w:szCs w:val="24"/>
                <w:lang w:val="uk-UA"/>
              </w:rPr>
              <w:t>Ліцензійн</w:t>
            </w:r>
            <w:r>
              <w:rPr>
                <w:b/>
                <w:sz w:val="24"/>
                <w:szCs w:val="24"/>
                <w:lang w:val="uk-UA"/>
              </w:rPr>
              <w:t>і</w:t>
            </w:r>
            <w:r w:rsidRPr="006F4D89">
              <w:rPr>
                <w:b/>
                <w:sz w:val="24"/>
                <w:szCs w:val="24"/>
                <w:lang w:val="uk-UA"/>
              </w:rPr>
              <w:t xml:space="preserve"> умов</w:t>
            </w:r>
            <w:r>
              <w:rPr>
                <w:b/>
                <w:sz w:val="24"/>
                <w:szCs w:val="24"/>
                <w:lang w:val="uk-UA"/>
              </w:rPr>
              <w:t>и</w:t>
            </w:r>
            <w:r w:rsidRPr="006F4D89">
              <w:rPr>
                <w:b/>
                <w:sz w:val="24"/>
                <w:szCs w:val="24"/>
                <w:lang w:val="uk-UA"/>
              </w:rPr>
              <w:t xml:space="preserve"> провадження господарської діяльності зі зберігання енергії</w:t>
            </w:r>
            <w:r>
              <w:rPr>
                <w:b/>
                <w:sz w:val="24"/>
                <w:szCs w:val="24"/>
                <w:lang w:val="uk-UA"/>
              </w:rPr>
              <w:t>, затверджені постановою НКРЕКП від 22.07.2022 № 798</w:t>
            </w:r>
          </w:p>
          <w:p w14:paraId="46C97D36" w14:textId="40D16519" w:rsidR="006F4D89" w:rsidRPr="006F4D89" w:rsidRDefault="006F4D89" w:rsidP="006F4D89">
            <w:pPr>
              <w:pStyle w:val="rvps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7655" w:type="dxa"/>
          </w:tcPr>
          <w:p w14:paraId="3AD54B79" w14:textId="77A48065" w:rsidR="006F4D89" w:rsidRPr="006F4D89" w:rsidRDefault="006F4D89" w:rsidP="006F4D89">
            <w:pPr>
              <w:pStyle w:val="rvps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Проєкт</w:t>
            </w:r>
            <w:proofErr w:type="spellEnd"/>
            <w:r>
              <w:rPr>
                <w:b/>
                <w:lang w:val="uk-UA"/>
              </w:rPr>
              <w:t xml:space="preserve"> постанови НКРЕКП «Про затвердження Змін до </w:t>
            </w:r>
            <w:r w:rsidRPr="006F4D89">
              <w:rPr>
                <w:b/>
                <w:lang w:val="uk-UA"/>
              </w:rPr>
              <w:t>Ліцензійн</w:t>
            </w:r>
            <w:r>
              <w:rPr>
                <w:b/>
                <w:lang w:val="uk-UA"/>
              </w:rPr>
              <w:t>их</w:t>
            </w:r>
            <w:r w:rsidRPr="006F4D89">
              <w:rPr>
                <w:b/>
                <w:lang w:val="uk-UA"/>
              </w:rPr>
              <w:t xml:space="preserve"> умов провадження господарської діяльності зі зберігання енергії</w:t>
            </w:r>
            <w:r>
              <w:rPr>
                <w:b/>
                <w:lang w:val="uk-UA"/>
              </w:rPr>
              <w:t>»</w:t>
            </w:r>
          </w:p>
        </w:tc>
      </w:tr>
      <w:tr w:rsidR="006F4D89" w:rsidRPr="006F4D89" w14:paraId="12E180AA" w14:textId="67310A67" w:rsidTr="006F4D89">
        <w:tc>
          <w:tcPr>
            <w:tcW w:w="7508" w:type="dxa"/>
          </w:tcPr>
          <w:p w14:paraId="092FCC9A" w14:textId="778759E0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 xml:space="preserve">     1.3. Діяльність суб’єктів господарювання зі зберігання енергії підлягає ліцензуванню, якщо сумарна встановлена потужність установок зберігання енергії складає 150 кВт і вище. Діяльність зі зберігання енергії провадиться без отримання ліцензії, якщо установка зберігання енергії використовується:</w:t>
            </w:r>
          </w:p>
          <w:p w14:paraId="0D82BC13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0" w:name="n14"/>
            <w:bookmarkEnd w:id="0"/>
          </w:p>
          <w:p w14:paraId="09C8EDEA" w14:textId="1E8FCB9B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>1) споживачем, якщо у будь-який період часу такий споживач не здійснює відпуск раніше збереженої в установці зберігання енергії в ОЕС України або в мережі інших суб’єктів господарювання;</w:t>
            </w:r>
          </w:p>
          <w:p w14:paraId="2211FD63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1" w:name="n15"/>
            <w:bookmarkEnd w:id="1"/>
          </w:p>
          <w:p w14:paraId="7C5BE5CC" w14:textId="6B75D24E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r w:rsidRPr="006F4D89">
              <w:rPr>
                <w:strike/>
                <w:lang w:val="uk-UA"/>
              </w:rPr>
              <w:t>2) виробниками електричної енергії, яким встановлено «зелений» тариф або які за результатами аукціону набули право на підтримку, за умов:</w:t>
            </w:r>
          </w:p>
          <w:p w14:paraId="6C8BC15C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bookmarkStart w:id="2" w:name="n16"/>
            <w:bookmarkEnd w:id="2"/>
            <w:r w:rsidRPr="006F4D89">
              <w:rPr>
                <w:strike/>
                <w:lang w:val="uk-UA"/>
              </w:rPr>
              <w:t>зберігання енергії, виробленої на власних електроустановках, що використовують альтернативні джерела енергії;</w:t>
            </w:r>
          </w:p>
          <w:p w14:paraId="4885E92C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bookmarkStart w:id="3" w:name="n17"/>
            <w:bookmarkEnd w:id="3"/>
            <w:r w:rsidRPr="006F4D89">
              <w:rPr>
                <w:strike/>
                <w:lang w:val="uk-UA"/>
              </w:rPr>
              <w:t>відбору електричної енергії установкою зберігання енергії виключно від власних генеруючих установок, якщо в будь-який момент у часі потужність, з якою здійснюється відпуск електричної енергії,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енергії;</w:t>
            </w:r>
          </w:p>
          <w:p w14:paraId="544F1579" w14:textId="27328CF8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bookmarkStart w:id="4" w:name="n18"/>
            <w:bookmarkEnd w:id="4"/>
            <w:r w:rsidRPr="006F4D89">
              <w:rPr>
                <w:strike/>
                <w:lang w:val="uk-UA"/>
              </w:rPr>
              <w:t>наявності окремого комерційного обліку електричної енергії, перетікання якої здійснено як до, так і з установки зберігання енергії відповідно до вимог </w:t>
            </w:r>
            <w:hyperlink r:id="rId5" w:anchor="n9" w:tgtFrame="_blank" w:history="1">
              <w:r w:rsidRPr="006F4D89">
                <w:rPr>
                  <w:rStyle w:val="a3"/>
                  <w:strike/>
                  <w:color w:val="auto"/>
                  <w:lang w:val="uk-UA"/>
                </w:rPr>
                <w:t>Кодексу комерційного обліку електричної енергії</w:t>
              </w:r>
            </w:hyperlink>
            <w:r w:rsidRPr="006F4D89">
              <w:rPr>
                <w:strike/>
                <w:lang w:val="uk-UA"/>
              </w:rPr>
              <w:t>, затвердженого постановою НКРЕКП від 14 березня 2018 року № 311 (далі - Кодекс комерційного обліку);</w:t>
            </w:r>
          </w:p>
          <w:p w14:paraId="5956BCF1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</w:p>
          <w:p w14:paraId="78F7B0A6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bookmarkStart w:id="5" w:name="n19"/>
            <w:bookmarkEnd w:id="5"/>
            <w:r w:rsidRPr="006F4D89">
              <w:rPr>
                <w:strike/>
                <w:lang w:val="uk-UA"/>
              </w:rPr>
              <w:lastRenderedPageBreak/>
              <w:t>3) виробником електричної енергії в місці провадження ліцензованої діяльності з виробництва за умов:</w:t>
            </w:r>
          </w:p>
          <w:p w14:paraId="5140CD82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trike/>
                <w:lang w:val="uk-UA"/>
              </w:rPr>
            </w:pPr>
            <w:bookmarkStart w:id="6" w:name="n20"/>
            <w:bookmarkEnd w:id="6"/>
            <w:r w:rsidRPr="006F4D89">
              <w:rPr>
                <w:strike/>
                <w:lang w:val="uk-UA"/>
              </w:rPr>
              <w:t>відбору електричної енергії установкою зберігання виключно від генеруючих установок такого виробника, якщо в будь-який момент у часі сумарна потужність, з якою здійснюється відпуск електричної енергії з мереж виробника в ОЕС України,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енергії;</w:t>
            </w:r>
          </w:p>
          <w:p w14:paraId="3E18E226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7" w:name="n21"/>
            <w:bookmarkEnd w:id="7"/>
            <w:r w:rsidRPr="006F4D89">
              <w:rPr>
                <w:strike/>
                <w:lang w:val="uk-UA"/>
              </w:rPr>
              <w:t>наявності окремого комерційного обліку електричної енергії, перетікання якої здійснено як до, так і з установки зберігання енергії відповідно до вимог </w:t>
            </w:r>
            <w:hyperlink r:id="rId6" w:anchor="n9" w:tgtFrame="_blank" w:history="1">
              <w:r w:rsidRPr="006F4D89">
                <w:rPr>
                  <w:rStyle w:val="a3"/>
                  <w:strike/>
                  <w:color w:val="auto"/>
                  <w:lang w:val="uk-UA"/>
                </w:rPr>
                <w:t>Кодексу комерційного обліку</w:t>
              </w:r>
            </w:hyperlink>
            <w:r w:rsidRPr="006F4D89">
              <w:rPr>
                <w:lang w:val="uk-UA"/>
              </w:rPr>
              <w:t>;</w:t>
            </w:r>
          </w:p>
          <w:p w14:paraId="323BA796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8" w:name="n22"/>
            <w:bookmarkEnd w:id="8"/>
          </w:p>
          <w:p w14:paraId="4A57283D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462A2EDC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550B93F5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5A30FCD7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CA5FB69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F00987C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7EEFC99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2428B58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9826528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4CFFA35D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E27E4BE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567DBF5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D03F6F4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B6D0334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C48B1BF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C6CD85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CD78CAF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64E11767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55BED75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B5D4D19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FF477B6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482E460E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A16E40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DFD5F5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27B84E1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09877C1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B2139DA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4D9DB77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A1F75ED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1C999D6B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CC90D09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632C2347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226E098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DD07E91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0CF49313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6AAA954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BB785ED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2D955E1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099623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A20A3D8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4CA15ADB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2C97D2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7C2FB8EE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91A889C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3AAF7DF2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2B7E5601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6F7AC538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</w:p>
          <w:p w14:paraId="5BA89130" w14:textId="28B62A20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>4) оператором системи передачі, оператором системи розподілу у випадках, встановлених </w:t>
            </w:r>
            <w:hyperlink r:id="rId7" w:tgtFrame="_blank" w:history="1">
              <w:r w:rsidRPr="006F4D89">
                <w:rPr>
                  <w:rStyle w:val="a3"/>
                  <w:color w:val="auto"/>
                  <w:u w:val="none"/>
                  <w:lang w:val="uk-UA"/>
                </w:rPr>
                <w:t>Законом України</w:t>
              </w:r>
            </w:hyperlink>
            <w:r w:rsidRPr="006F4D89">
              <w:rPr>
                <w:lang w:val="uk-UA"/>
              </w:rPr>
              <w:t> «Про ринок електричної енергії», та за умови надання такого права Регулятором.</w:t>
            </w:r>
          </w:p>
          <w:p w14:paraId="0F9E79F4" w14:textId="2956568A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7655" w:type="dxa"/>
          </w:tcPr>
          <w:p w14:paraId="0AFE183E" w14:textId="1B9C97A3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lastRenderedPageBreak/>
              <w:t xml:space="preserve">     1.3. Діяльність суб’єктів господарювання зі зберігання енергії підлягає ліцензуванню, якщо сумарна встановлена потужність установок зберігання енергії складає 150 кВт і вище. Діяльність зі зберігання енергії провадиться без отримання ліцензії, якщо установка зберігання енергії використовується:</w:t>
            </w:r>
          </w:p>
          <w:p w14:paraId="50F4C4E9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5932F5EF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 xml:space="preserve">     1) споживачем, якщо у будь-який період часу такий споживач не здійснює відпуск раніше збереженої в установці зберігання енергії в ОЕС України або в мережі інших суб’єктів господарювання;</w:t>
            </w:r>
          </w:p>
          <w:p w14:paraId="1311C31E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356F0EAC" w14:textId="15E2A3B9" w:rsidR="002B6367" w:rsidRPr="002B6367" w:rsidRDefault="006F4D89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r w:rsidRPr="006F4D89">
              <w:rPr>
                <w:lang w:val="uk-UA"/>
              </w:rPr>
              <w:t xml:space="preserve"> </w:t>
            </w:r>
            <w:r w:rsidRPr="002B6367">
              <w:rPr>
                <w:b/>
                <w:lang w:val="uk-UA"/>
              </w:rPr>
              <w:t xml:space="preserve">2) </w:t>
            </w:r>
            <w:proofErr w:type="spellStart"/>
            <w:r w:rsidR="002B6367" w:rsidRPr="002B6367">
              <w:rPr>
                <w:b/>
              </w:rPr>
              <w:t>виробниками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</w:t>
            </w:r>
            <w:proofErr w:type="spellStart"/>
            <w:r w:rsidR="002B6367" w:rsidRPr="002B6367">
              <w:rPr>
                <w:b/>
              </w:rPr>
              <w:t>що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виробляють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електричну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енергію</w:t>
            </w:r>
            <w:proofErr w:type="spellEnd"/>
            <w:r w:rsidR="002B6367" w:rsidRPr="002B6367">
              <w:rPr>
                <w:b/>
              </w:rPr>
              <w:t xml:space="preserve"> з </w:t>
            </w:r>
            <w:proofErr w:type="spellStart"/>
            <w:r w:rsidR="002B6367" w:rsidRPr="002B6367">
              <w:rPr>
                <w:b/>
              </w:rPr>
              <w:t>альтернативних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джерел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 </w:t>
            </w:r>
            <w:proofErr w:type="spellStart"/>
            <w:r w:rsidR="002B6367" w:rsidRPr="002B6367">
              <w:rPr>
                <w:b/>
              </w:rPr>
              <w:t>яким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встановлено</w:t>
            </w:r>
            <w:proofErr w:type="spellEnd"/>
            <w:r w:rsidR="002B6367" w:rsidRPr="002B6367">
              <w:rPr>
                <w:b/>
              </w:rPr>
              <w:t xml:space="preserve"> «</w:t>
            </w:r>
            <w:proofErr w:type="spellStart"/>
            <w:r w:rsidR="002B6367" w:rsidRPr="002B6367">
              <w:rPr>
                <w:b/>
              </w:rPr>
              <w:t>зелений</w:t>
            </w:r>
            <w:proofErr w:type="spellEnd"/>
            <w:r w:rsidR="002B6367" w:rsidRPr="002B6367">
              <w:rPr>
                <w:b/>
              </w:rPr>
              <w:t xml:space="preserve">» тариф та </w:t>
            </w:r>
            <w:proofErr w:type="spellStart"/>
            <w:r w:rsidR="002B6367" w:rsidRPr="002B6367">
              <w:rPr>
                <w:b/>
              </w:rPr>
              <w:t>які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перебувають</w:t>
            </w:r>
            <w:proofErr w:type="spellEnd"/>
            <w:r w:rsidR="002B6367" w:rsidRPr="002B6367">
              <w:rPr>
                <w:b/>
              </w:rPr>
              <w:t xml:space="preserve"> у </w:t>
            </w:r>
            <w:proofErr w:type="spellStart"/>
            <w:r w:rsidR="002B6367" w:rsidRPr="002B6367">
              <w:rPr>
                <w:b/>
              </w:rPr>
              <w:t>балансуючій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групі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гарантованого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покупця</w:t>
            </w:r>
            <w:proofErr w:type="spellEnd"/>
            <w:r w:rsidR="002B6367" w:rsidRPr="002B6367">
              <w:rPr>
                <w:b/>
              </w:rPr>
              <w:t>, за таких умов:</w:t>
            </w:r>
          </w:p>
          <w:p w14:paraId="0092BEB8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відбір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установкою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виключно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власних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генеруючих</w:t>
            </w:r>
            <w:proofErr w:type="spellEnd"/>
            <w:r w:rsidRPr="002B6367">
              <w:rPr>
                <w:b/>
              </w:rPr>
              <w:t xml:space="preserve"> установок у </w:t>
            </w:r>
            <w:proofErr w:type="spellStart"/>
            <w:r w:rsidRPr="002B6367">
              <w:rPr>
                <w:b/>
              </w:rPr>
              <w:t>місці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ліцензованої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з </w:t>
            </w:r>
            <w:proofErr w:type="spellStart"/>
            <w:r w:rsidRPr="002B6367">
              <w:rPr>
                <w:b/>
              </w:rPr>
              <w:t>виробництва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>;</w:t>
            </w:r>
          </w:p>
          <w:p w14:paraId="18AB5158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r w:rsidRPr="002B6367">
              <w:rPr>
                <w:b/>
              </w:rPr>
              <w:t>у будь-</w:t>
            </w:r>
            <w:proofErr w:type="spellStart"/>
            <w:r w:rsidRPr="002B6367">
              <w:rPr>
                <w:b/>
              </w:rPr>
              <w:t>який</w:t>
            </w:r>
            <w:proofErr w:type="spellEnd"/>
            <w:r w:rsidRPr="002B6367">
              <w:rPr>
                <w:b/>
              </w:rPr>
              <w:t xml:space="preserve"> момент часу </w:t>
            </w:r>
            <w:proofErr w:type="spellStart"/>
            <w:r w:rsidRPr="002B6367">
              <w:rPr>
                <w:b/>
              </w:rPr>
              <w:t>потужність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якою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відпуск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не </w:t>
            </w:r>
            <w:proofErr w:type="spellStart"/>
            <w:r w:rsidRPr="002B6367">
              <w:rPr>
                <w:b/>
              </w:rPr>
              <w:t>перевищує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встановлену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потужність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електроустановок</w:t>
            </w:r>
            <w:proofErr w:type="spellEnd"/>
            <w:r w:rsidRPr="002B6367">
              <w:rPr>
                <w:b/>
              </w:rPr>
              <w:t xml:space="preserve"> такого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ліцензії</w:t>
            </w:r>
            <w:proofErr w:type="spellEnd"/>
            <w:r w:rsidRPr="002B6367">
              <w:rPr>
                <w:b/>
              </w:rPr>
              <w:t xml:space="preserve"> на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господарської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з </w:t>
            </w:r>
            <w:proofErr w:type="spellStart"/>
            <w:r w:rsidRPr="002B6367">
              <w:rPr>
                <w:b/>
              </w:rPr>
              <w:t>виробництва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>;</w:t>
            </w:r>
          </w:p>
          <w:p w14:paraId="5B5C871A" w14:textId="194969AD" w:rsidR="006F4D89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  <w:lang w:val="uk-UA"/>
              </w:rPr>
            </w:pPr>
            <w:proofErr w:type="spellStart"/>
            <w:r w:rsidRPr="002B6367">
              <w:rPr>
                <w:b/>
              </w:rPr>
              <w:t>наявності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окремого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перетікання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якої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здійснено</w:t>
            </w:r>
            <w:proofErr w:type="spellEnd"/>
            <w:r w:rsidRPr="002B6367">
              <w:rPr>
                <w:b/>
              </w:rPr>
              <w:t xml:space="preserve"> </w:t>
            </w:r>
            <w:proofErr w:type="gramStart"/>
            <w:r w:rsidRPr="002B6367">
              <w:rPr>
                <w:b/>
              </w:rPr>
              <w:t>до/з</w:t>
            </w:r>
            <w:proofErr w:type="gramEnd"/>
            <w:r w:rsidRPr="002B6367">
              <w:rPr>
                <w:b/>
              </w:rPr>
              <w:t xml:space="preserve"> установки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вимог</w:t>
            </w:r>
            <w:proofErr w:type="spellEnd"/>
            <w:r w:rsidRPr="002B6367">
              <w:rPr>
                <w:b/>
              </w:rPr>
              <w:t xml:space="preserve"> Кодексу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lastRenderedPageBreak/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затвердженого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постановою</w:t>
            </w:r>
            <w:proofErr w:type="spellEnd"/>
            <w:r w:rsidRPr="002B6367">
              <w:rPr>
                <w:b/>
              </w:rPr>
              <w:t xml:space="preserve"> НКРЕКП </w:t>
            </w:r>
            <w:proofErr w:type="spellStart"/>
            <w:r w:rsidRPr="002B6367">
              <w:rPr>
                <w:b/>
              </w:rPr>
              <w:t>від</w:t>
            </w:r>
            <w:proofErr w:type="spellEnd"/>
            <w:r w:rsidRPr="002B6367">
              <w:rPr>
                <w:b/>
              </w:rPr>
              <w:t xml:space="preserve"> 14 </w:t>
            </w:r>
            <w:proofErr w:type="spellStart"/>
            <w:r w:rsidRPr="002B6367">
              <w:rPr>
                <w:b/>
              </w:rPr>
              <w:t>березня</w:t>
            </w:r>
            <w:proofErr w:type="spellEnd"/>
            <w:r w:rsidRPr="002B6367">
              <w:rPr>
                <w:b/>
              </w:rPr>
              <w:t xml:space="preserve"> 2018 року № 311 (</w:t>
            </w:r>
            <w:proofErr w:type="spellStart"/>
            <w:r w:rsidRPr="002B6367">
              <w:rPr>
                <w:b/>
              </w:rPr>
              <w:t>далі</w:t>
            </w:r>
            <w:proofErr w:type="spellEnd"/>
            <w:r w:rsidRPr="002B6367">
              <w:rPr>
                <w:b/>
              </w:rPr>
              <w:t xml:space="preserve"> - Кодекс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>)</w:t>
            </w:r>
            <w:r>
              <w:rPr>
                <w:b/>
                <w:lang w:val="uk-UA"/>
              </w:rPr>
              <w:t>;</w:t>
            </w:r>
          </w:p>
          <w:p w14:paraId="3067DB81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  <w:lang w:val="uk-UA"/>
              </w:rPr>
            </w:pPr>
          </w:p>
          <w:p w14:paraId="2E65EB12" w14:textId="60799B5B" w:rsidR="002B6367" w:rsidRPr="002B6367" w:rsidRDefault="006F4D89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r w:rsidRPr="002B6367">
              <w:rPr>
                <w:b/>
                <w:lang w:val="uk-UA"/>
              </w:rPr>
              <w:t xml:space="preserve"> 3) </w:t>
            </w:r>
            <w:proofErr w:type="spellStart"/>
            <w:r w:rsidR="002B6367" w:rsidRPr="002B6367">
              <w:rPr>
                <w:b/>
              </w:rPr>
              <w:t>виробниками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</w:t>
            </w:r>
            <w:proofErr w:type="spellStart"/>
            <w:r w:rsidR="002B6367" w:rsidRPr="002B6367">
              <w:rPr>
                <w:b/>
              </w:rPr>
              <w:t>що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виробляють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електричну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енергію</w:t>
            </w:r>
            <w:proofErr w:type="spellEnd"/>
            <w:r w:rsidR="002B6367" w:rsidRPr="002B6367">
              <w:rPr>
                <w:b/>
              </w:rPr>
              <w:t xml:space="preserve"> з </w:t>
            </w:r>
            <w:proofErr w:type="spellStart"/>
            <w:r w:rsidR="002B6367" w:rsidRPr="002B6367">
              <w:rPr>
                <w:b/>
              </w:rPr>
              <w:t>альтернативних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джерел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</w:t>
            </w:r>
            <w:proofErr w:type="spellStart"/>
            <w:r w:rsidR="002B6367" w:rsidRPr="002B6367">
              <w:rPr>
                <w:b/>
              </w:rPr>
              <w:t>яким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встановлено</w:t>
            </w:r>
            <w:proofErr w:type="spellEnd"/>
            <w:r w:rsidR="002B6367" w:rsidRPr="002B6367">
              <w:rPr>
                <w:b/>
              </w:rPr>
              <w:t xml:space="preserve"> «</w:t>
            </w:r>
            <w:proofErr w:type="spellStart"/>
            <w:r w:rsidR="002B6367" w:rsidRPr="002B6367">
              <w:rPr>
                <w:b/>
              </w:rPr>
              <w:t>зелений</w:t>
            </w:r>
            <w:proofErr w:type="spellEnd"/>
            <w:r w:rsidR="002B6367" w:rsidRPr="002B6367">
              <w:rPr>
                <w:b/>
              </w:rPr>
              <w:t xml:space="preserve">» тариф та </w:t>
            </w:r>
            <w:proofErr w:type="spellStart"/>
            <w:r w:rsidR="002B6367" w:rsidRPr="002B6367">
              <w:rPr>
                <w:b/>
              </w:rPr>
              <w:t>які</w:t>
            </w:r>
            <w:proofErr w:type="spellEnd"/>
            <w:r w:rsidR="002B6367" w:rsidRPr="002B6367">
              <w:rPr>
                <w:b/>
              </w:rPr>
              <w:t xml:space="preserve"> не </w:t>
            </w:r>
            <w:proofErr w:type="spellStart"/>
            <w:r w:rsidR="002B6367" w:rsidRPr="002B6367">
              <w:rPr>
                <w:b/>
              </w:rPr>
              <w:t>входять</w:t>
            </w:r>
            <w:proofErr w:type="spellEnd"/>
            <w:r w:rsidR="002B6367" w:rsidRPr="002B6367">
              <w:rPr>
                <w:b/>
              </w:rPr>
              <w:t xml:space="preserve"> до складу </w:t>
            </w:r>
            <w:proofErr w:type="spellStart"/>
            <w:r w:rsidR="002B6367" w:rsidRPr="002B6367">
              <w:rPr>
                <w:b/>
              </w:rPr>
              <w:t>балансуючої</w:t>
            </w:r>
            <w:proofErr w:type="spellEnd"/>
            <w:r w:rsidR="002B6367" w:rsidRPr="002B6367">
              <w:rPr>
                <w:b/>
              </w:rPr>
              <w:t xml:space="preserve"> групи </w:t>
            </w:r>
            <w:proofErr w:type="spellStart"/>
            <w:r w:rsidR="002B6367" w:rsidRPr="002B6367">
              <w:rPr>
                <w:b/>
              </w:rPr>
              <w:t>гарантованого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покупця</w:t>
            </w:r>
            <w:proofErr w:type="spellEnd"/>
            <w:r w:rsidR="002B6367" w:rsidRPr="002B6367">
              <w:rPr>
                <w:b/>
              </w:rPr>
              <w:t>, за таких умов:</w:t>
            </w:r>
          </w:p>
          <w:p w14:paraId="16F7EB75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відбору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установкою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його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власних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генеруючих</w:t>
            </w:r>
            <w:proofErr w:type="spellEnd"/>
            <w:r w:rsidRPr="002B6367">
              <w:rPr>
                <w:b/>
              </w:rPr>
              <w:t xml:space="preserve"> установок та/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чи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у </w:t>
            </w:r>
            <w:proofErr w:type="spellStart"/>
            <w:r w:rsidRPr="002B6367">
              <w:rPr>
                <w:b/>
              </w:rPr>
              <w:t>місці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ліцензованої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з </w:t>
            </w:r>
            <w:proofErr w:type="spellStart"/>
            <w:r w:rsidRPr="002B6367">
              <w:rPr>
                <w:b/>
              </w:rPr>
              <w:t>виробництва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якщо</w:t>
            </w:r>
            <w:proofErr w:type="spellEnd"/>
            <w:r w:rsidRPr="002B6367">
              <w:rPr>
                <w:b/>
              </w:rPr>
              <w:t xml:space="preserve"> в будь-</w:t>
            </w:r>
            <w:proofErr w:type="spellStart"/>
            <w:r w:rsidRPr="002B6367">
              <w:rPr>
                <w:b/>
              </w:rPr>
              <w:t>який</w:t>
            </w:r>
            <w:proofErr w:type="spellEnd"/>
            <w:r w:rsidRPr="002B6367">
              <w:rPr>
                <w:b/>
              </w:rPr>
              <w:t xml:space="preserve"> момент часу </w:t>
            </w:r>
            <w:proofErr w:type="spellStart"/>
            <w:r w:rsidRPr="002B6367">
              <w:rPr>
                <w:b/>
              </w:rPr>
              <w:t>сумарна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потужність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якою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відпуск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з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до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відбір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до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не </w:t>
            </w:r>
            <w:proofErr w:type="spellStart"/>
            <w:r w:rsidRPr="002B6367">
              <w:rPr>
                <w:b/>
              </w:rPr>
              <w:t>перевищує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замовленої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урахуванням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дозволеної</w:t>
            </w:r>
            <w:proofErr w:type="spellEnd"/>
            <w:r w:rsidRPr="002B6367">
              <w:rPr>
                <w:b/>
              </w:rPr>
              <w:t xml:space="preserve"> (</w:t>
            </w:r>
            <w:proofErr w:type="spellStart"/>
            <w:r w:rsidRPr="002B6367">
              <w:rPr>
                <w:b/>
              </w:rPr>
              <w:t>договірної</w:t>
            </w:r>
            <w:proofErr w:type="spellEnd"/>
            <w:r w:rsidRPr="002B6367">
              <w:rPr>
                <w:b/>
              </w:rPr>
              <w:t xml:space="preserve">)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електроустановок</w:t>
            </w:r>
            <w:proofErr w:type="spellEnd"/>
            <w:r w:rsidRPr="002B6367">
              <w:rPr>
                <w:b/>
              </w:rPr>
              <w:t xml:space="preserve"> такого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в </w:t>
            </w:r>
            <w:proofErr w:type="spellStart"/>
            <w:r w:rsidRPr="002B6367">
              <w:rPr>
                <w:b/>
              </w:rPr>
              <w:t>місці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ліцензованої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згідно</w:t>
            </w:r>
            <w:proofErr w:type="spellEnd"/>
            <w:r w:rsidRPr="002B6367">
              <w:rPr>
                <w:b/>
              </w:rPr>
              <w:t xml:space="preserve"> з договором про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>;</w:t>
            </w:r>
          </w:p>
          <w:p w14:paraId="401099C8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наявності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окремого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перетікання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якої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здійснено</w:t>
            </w:r>
            <w:proofErr w:type="spellEnd"/>
            <w:r w:rsidRPr="002B6367">
              <w:rPr>
                <w:b/>
              </w:rPr>
              <w:t xml:space="preserve"> </w:t>
            </w:r>
            <w:proofErr w:type="gramStart"/>
            <w:r w:rsidRPr="002B6367">
              <w:rPr>
                <w:b/>
              </w:rPr>
              <w:t>до/з</w:t>
            </w:r>
            <w:proofErr w:type="gramEnd"/>
            <w:r w:rsidRPr="002B6367">
              <w:rPr>
                <w:b/>
              </w:rPr>
              <w:t xml:space="preserve"> установки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вимог</w:t>
            </w:r>
            <w:proofErr w:type="spellEnd"/>
            <w:r w:rsidRPr="002B6367">
              <w:rPr>
                <w:b/>
              </w:rPr>
              <w:t xml:space="preserve"> Кодексу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</w:t>
            </w:r>
            <w:bookmarkStart w:id="9" w:name="_GoBack"/>
            <w:bookmarkEnd w:id="9"/>
            <w:r w:rsidRPr="002B6367">
              <w:rPr>
                <w:b/>
              </w:rPr>
              <w:t>іку</w:t>
            </w:r>
            <w:proofErr w:type="spellEnd"/>
            <w:r w:rsidRPr="002B6367">
              <w:rPr>
                <w:b/>
              </w:rPr>
              <w:t>;</w:t>
            </w:r>
          </w:p>
          <w:p w14:paraId="5591CEC4" w14:textId="77777777" w:rsid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</w:p>
          <w:p w14:paraId="42791849" w14:textId="4BC166CE" w:rsidR="002B6367" w:rsidRPr="002B6367" w:rsidRDefault="006F4D89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r w:rsidRPr="002B6367">
              <w:rPr>
                <w:b/>
                <w:lang w:val="uk-UA"/>
              </w:rPr>
              <w:t xml:space="preserve">4) </w:t>
            </w:r>
            <w:proofErr w:type="spellStart"/>
            <w:r w:rsidR="002B6367" w:rsidRPr="002B6367">
              <w:rPr>
                <w:b/>
              </w:rPr>
              <w:t>виробниками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</w:t>
            </w:r>
            <w:proofErr w:type="spellStart"/>
            <w:r w:rsidR="002B6367" w:rsidRPr="002B6367">
              <w:rPr>
                <w:b/>
              </w:rPr>
              <w:t>що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виробляють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електричну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енергію</w:t>
            </w:r>
            <w:proofErr w:type="spellEnd"/>
            <w:r w:rsidR="002B6367" w:rsidRPr="002B6367">
              <w:rPr>
                <w:b/>
              </w:rPr>
              <w:t xml:space="preserve"> з </w:t>
            </w:r>
            <w:proofErr w:type="spellStart"/>
            <w:r w:rsidR="002B6367" w:rsidRPr="002B6367">
              <w:rPr>
                <w:b/>
              </w:rPr>
              <w:t>альтернативних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джерел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 </w:t>
            </w:r>
            <w:proofErr w:type="spellStart"/>
            <w:r w:rsidR="002B6367" w:rsidRPr="002B6367">
              <w:rPr>
                <w:b/>
              </w:rPr>
              <w:t>які</w:t>
            </w:r>
            <w:proofErr w:type="spellEnd"/>
            <w:r w:rsidR="002B6367" w:rsidRPr="002B6367">
              <w:rPr>
                <w:b/>
              </w:rPr>
              <w:t xml:space="preserve"> за результатами </w:t>
            </w:r>
            <w:proofErr w:type="spellStart"/>
            <w:r w:rsidR="002B6367" w:rsidRPr="002B6367">
              <w:rPr>
                <w:b/>
              </w:rPr>
              <w:t>аукціону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набули</w:t>
            </w:r>
            <w:proofErr w:type="spellEnd"/>
            <w:r w:rsidR="002B6367" w:rsidRPr="002B6367">
              <w:rPr>
                <w:b/>
              </w:rPr>
              <w:t xml:space="preserve"> право на </w:t>
            </w:r>
            <w:proofErr w:type="spellStart"/>
            <w:r w:rsidR="002B6367" w:rsidRPr="002B6367">
              <w:rPr>
                <w:b/>
              </w:rPr>
              <w:t>підтримку</w:t>
            </w:r>
            <w:proofErr w:type="spellEnd"/>
            <w:r w:rsidR="002B6367" w:rsidRPr="002B6367">
              <w:rPr>
                <w:b/>
              </w:rPr>
              <w:t xml:space="preserve">, та </w:t>
            </w:r>
            <w:proofErr w:type="spellStart"/>
            <w:r w:rsidR="002B6367" w:rsidRPr="002B6367">
              <w:rPr>
                <w:b/>
              </w:rPr>
              <w:t>виробниками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, </w:t>
            </w:r>
            <w:proofErr w:type="spellStart"/>
            <w:r w:rsidR="002B6367" w:rsidRPr="002B6367">
              <w:rPr>
                <w:b/>
              </w:rPr>
              <w:t>які</w:t>
            </w:r>
            <w:proofErr w:type="spellEnd"/>
            <w:r w:rsidR="002B6367" w:rsidRPr="002B6367">
              <w:rPr>
                <w:b/>
              </w:rPr>
              <w:t xml:space="preserve"> не </w:t>
            </w:r>
            <w:proofErr w:type="spellStart"/>
            <w:r w:rsidR="002B6367" w:rsidRPr="002B6367">
              <w:rPr>
                <w:b/>
              </w:rPr>
              <w:t>мають</w:t>
            </w:r>
            <w:proofErr w:type="spellEnd"/>
            <w:r w:rsidR="002B6367" w:rsidRPr="002B6367">
              <w:rPr>
                <w:b/>
              </w:rPr>
              <w:t xml:space="preserve"> права на </w:t>
            </w:r>
            <w:proofErr w:type="spellStart"/>
            <w:r w:rsidR="002B6367" w:rsidRPr="002B6367">
              <w:rPr>
                <w:b/>
              </w:rPr>
              <w:t>підтримку</w:t>
            </w:r>
            <w:proofErr w:type="spellEnd"/>
            <w:r w:rsidR="002B6367" w:rsidRPr="002B6367">
              <w:rPr>
                <w:b/>
              </w:rPr>
              <w:t xml:space="preserve">, у </w:t>
            </w:r>
            <w:proofErr w:type="spellStart"/>
            <w:r w:rsidR="002B6367" w:rsidRPr="002B6367">
              <w:rPr>
                <w:b/>
              </w:rPr>
              <w:t>місці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провадження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ліцензованої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діяльності</w:t>
            </w:r>
            <w:proofErr w:type="spellEnd"/>
            <w:r w:rsidR="002B6367" w:rsidRPr="002B6367">
              <w:rPr>
                <w:b/>
              </w:rPr>
              <w:t xml:space="preserve"> з </w:t>
            </w:r>
            <w:proofErr w:type="spellStart"/>
            <w:r w:rsidR="002B6367" w:rsidRPr="002B6367">
              <w:rPr>
                <w:b/>
              </w:rPr>
              <w:t>виробництва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електричної</w:t>
            </w:r>
            <w:proofErr w:type="spellEnd"/>
            <w:r w:rsidR="002B6367" w:rsidRPr="002B6367">
              <w:rPr>
                <w:b/>
              </w:rPr>
              <w:t xml:space="preserve"> </w:t>
            </w:r>
            <w:proofErr w:type="spellStart"/>
            <w:r w:rsidR="002B6367" w:rsidRPr="002B6367">
              <w:rPr>
                <w:b/>
              </w:rPr>
              <w:t>енергії</w:t>
            </w:r>
            <w:proofErr w:type="spellEnd"/>
            <w:r w:rsidR="002B6367" w:rsidRPr="002B6367">
              <w:rPr>
                <w:b/>
              </w:rPr>
              <w:t xml:space="preserve"> за таких умов:</w:t>
            </w:r>
          </w:p>
          <w:p w14:paraId="3AA58A3A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відбору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установкою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їх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власних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генеруючих</w:t>
            </w:r>
            <w:proofErr w:type="spellEnd"/>
            <w:r w:rsidRPr="002B6367">
              <w:rPr>
                <w:b/>
              </w:rPr>
              <w:t xml:space="preserve"> установок та/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чи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якщо</w:t>
            </w:r>
            <w:proofErr w:type="spellEnd"/>
            <w:r w:rsidRPr="002B6367">
              <w:rPr>
                <w:b/>
              </w:rPr>
              <w:t xml:space="preserve"> в будь-</w:t>
            </w:r>
            <w:proofErr w:type="spellStart"/>
            <w:r w:rsidRPr="002B6367">
              <w:rPr>
                <w:b/>
              </w:rPr>
              <w:t>який</w:t>
            </w:r>
            <w:proofErr w:type="spellEnd"/>
            <w:r w:rsidRPr="002B6367">
              <w:rPr>
                <w:b/>
              </w:rPr>
              <w:t xml:space="preserve"> момент часу </w:t>
            </w:r>
            <w:proofErr w:type="spellStart"/>
            <w:r w:rsidRPr="002B6367">
              <w:rPr>
                <w:b/>
              </w:rPr>
              <w:t>сумарна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потужність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якою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відпуск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lastRenderedPageBreak/>
              <w:t>енергії</w:t>
            </w:r>
            <w:proofErr w:type="spellEnd"/>
            <w:r w:rsidRPr="002B6367">
              <w:rPr>
                <w:b/>
              </w:rPr>
              <w:t xml:space="preserve"> з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до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відбір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до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не </w:t>
            </w:r>
            <w:proofErr w:type="spellStart"/>
            <w:r w:rsidRPr="002B6367">
              <w:rPr>
                <w:b/>
              </w:rPr>
              <w:t>перевищує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замовленої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 з </w:t>
            </w:r>
            <w:proofErr w:type="spellStart"/>
            <w:r w:rsidRPr="002B6367">
              <w:rPr>
                <w:b/>
              </w:rPr>
              <w:t>урахуванням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дозволеної</w:t>
            </w:r>
            <w:proofErr w:type="spellEnd"/>
            <w:r w:rsidRPr="002B6367">
              <w:rPr>
                <w:b/>
              </w:rPr>
              <w:t xml:space="preserve"> (</w:t>
            </w:r>
            <w:proofErr w:type="spellStart"/>
            <w:r w:rsidRPr="002B6367">
              <w:rPr>
                <w:b/>
              </w:rPr>
              <w:t>договірної</w:t>
            </w:r>
            <w:proofErr w:type="spellEnd"/>
            <w:r w:rsidRPr="002B6367">
              <w:rPr>
                <w:b/>
              </w:rPr>
              <w:t xml:space="preserve">)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електроустановок</w:t>
            </w:r>
            <w:proofErr w:type="spellEnd"/>
            <w:r w:rsidRPr="002B6367">
              <w:rPr>
                <w:b/>
              </w:rPr>
              <w:t xml:space="preserve"> такого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в </w:t>
            </w:r>
            <w:proofErr w:type="spellStart"/>
            <w:r w:rsidRPr="002B6367">
              <w:rPr>
                <w:b/>
              </w:rPr>
              <w:t>місці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ліцензованої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згідно</w:t>
            </w:r>
            <w:proofErr w:type="spellEnd"/>
            <w:r w:rsidRPr="002B6367">
              <w:rPr>
                <w:b/>
              </w:rPr>
              <w:t xml:space="preserve"> з договором про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>;</w:t>
            </w:r>
          </w:p>
          <w:p w14:paraId="7BB4A783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наявності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окремого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перетікання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якої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здійснено</w:t>
            </w:r>
            <w:proofErr w:type="spellEnd"/>
            <w:r w:rsidRPr="002B6367">
              <w:rPr>
                <w:b/>
              </w:rPr>
              <w:t xml:space="preserve"> </w:t>
            </w:r>
            <w:proofErr w:type="gramStart"/>
            <w:r w:rsidRPr="002B6367">
              <w:rPr>
                <w:b/>
              </w:rPr>
              <w:t>до/з</w:t>
            </w:r>
            <w:proofErr w:type="gramEnd"/>
            <w:r w:rsidRPr="002B6367">
              <w:rPr>
                <w:b/>
              </w:rPr>
              <w:t xml:space="preserve"> установки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вимог</w:t>
            </w:r>
            <w:proofErr w:type="spellEnd"/>
            <w:r w:rsidRPr="002B6367">
              <w:rPr>
                <w:b/>
              </w:rPr>
              <w:t xml:space="preserve"> Кодексу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>;</w:t>
            </w:r>
          </w:p>
          <w:p w14:paraId="352C527E" w14:textId="77777777" w:rsid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  <w:lang w:val="uk-UA"/>
              </w:rPr>
            </w:pPr>
          </w:p>
          <w:p w14:paraId="6BCEF3DA" w14:textId="0AB0A165" w:rsidR="002B6367" w:rsidRPr="002B6367" w:rsidRDefault="006F4D89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  <w:lang w:val="uk-UA"/>
              </w:rPr>
            </w:pPr>
            <w:r w:rsidRPr="002B6367">
              <w:rPr>
                <w:b/>
                <w:lang w:val="uk-UA"/>
              </w:rPr>
              <w:t xml:space="preserve">5) </w:t>
            </w:r>
            <w:r w:rsidR="002B6367" w:rsidRPr="002B6367">
              <w:rPr>
                <w:b/>
                <w:lang w:val="uk-UA"/>
              </w:rPr>
              <w:t>іншими виробниками електричної енергії в місці провадження ліцензованої діяльності з виробництва електричної енергії, за таких умов:</w:t>
            </w:r>
          </w:p>
          <w:p w14:paraId="7D6DDE9D" w14:textId="77777777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</w:rPr>
            </w:pPr>
            <w:proofErr w:type="spellStart"/>
            <w:r w:rsidRPr="002B6367">
              <w:rPr>
                <w:b/>
              </w:rPr>
              <w:t>відбору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установкою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їх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власних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генеруючих</w:t>
            </w:r>
            <w:proofErr w:type="spellEnd"/>
            <w:r w:rsidRPr="002B6367">
              <w:rPr>
                <w:b/>
              </w:rPr>
              <w:t xml:space="preserve"> установок та/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чи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якщо</w:t>
            </w:r>
            <w:proofErr w:type="spellEnd"/>
            <w:r w:rsidRPr="002B6367">
              <w:rPr>
                <w:b/>
              </w:rPr>
              <w:t xml:space="preserve"> в будь-</w:t>
            </w:r>
            <w:proofErr w:type="spellStart"/>
            <w:r w:rsidRPr="002B6367">
              <w:rPr>
                <w:b/>
              </w:rPr>
              <w:t>який</w:t>
            </w:r>
            <w:proofErr w:type="spellEnd"/>
            <w:r w:rsidRPr="002B6367">
              <w:rPr>
                <w:b/>
              </w:rPr>
              <w:t xml:space="preserve"> момент часу </w:t>
            </w:r>
            <w:proofErr w:type="spellStart"/>
            <w:r w:rsidRPr="002B6367">
              <w:rPr>
                <w:b/>
              </w:rPr>
              <w:t>сумарна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потужність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якою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відпуск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з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в </w:t>
            </w:r>
            <w:proofErr w:type="spellStart"/>
            <w:r w:rsidRPr="002B6367">
              <w:rPr>
                <w:b/>
              </w:rPr>
              <w:t>мережі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чи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або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відбір</w:t>
            </w:r>
            <w:proofErr w:type="spellEnd"/>
            <w:r w:rsidRPr="002B6367">
              <w:rPr>
                <w:b/>
              </w:rPr>
              <w:t xml:space="preserve"> з мереж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розподілу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чи</w:t>
            </w:r>
            <w:proofErr w:type="spellEnd"/>
            <w:r w:rsidRPr="002B6367">
              <w:rPr>
                <w:b/>
              </w:rPr>
              <w:t xml:space="preserve"> оператора </w:t>
            </w:r>
            <w:proofErr w:type="spellStart"/>
            <w:r w:rsidRPr="002B6367">
              <w:rPr>
                <w:b/>
              </w:rPr>
              <w:t>системи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передачі</w:t>
            </w:r>
            <w:proofErr w:type="spellEnd"/>
            <w:r w:rsidRPr="002B6367">
              <w:rPr>
                <w:b/>
              </w:rPr>
              <w:t xml:space="preserve"> до мереж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не </w:t>
            </w:r>
            <w:proofErr w:type="spellStart"/>
            <w:r w:rsidRPr="002B6367">
              <w:rPr>
                <w:b/>
              </w:rPr>
              <w:t>перевищує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замовленої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, з </w:t>
            </w:r>
            <w:proofErr w:type="spellStart"/>
            <w:r w:rsidRPr="002B6367">
              <w:rPr>
                <w:b/>
              </w:rPr>
              <w:t>урахуванням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дозволеної</w:t>
            </w:r>
            <w:proofErr w:type="spellEnd"/>
            <w:r w:rsidRPr="002B6367">
              <w:rPr>
                <w:b/>
              </w:rPr>
              <w:t xml:space="preserve"> (</w:t>
            </w:r>
            <w:proofErr w:type="spellStart"/>
            <w:r w:rsidRPr="002B6367">
              <w:rPr>
                <w:b/>
              </w:rPr>
              <w:t>договірної</w:t>
            </w:r>
            <w:proofErr w:type="spellEnd"/>
            <w:r w:rsidRPr="002B6367">
              <w:rPr>
                <w:b/>
              </w:rPr>
              <w:t xml:space="preserve">) </w:t>
            </w:r>
            <w:proofErr w:type="spellStart"/>
            <w:r w:rsidRPr="002B6367">
              <w:rPr>
                <w:b/>
              </w:rPr>
              <w:t>потужності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виробництва</w:t>
            </w:r>
            <w:proofErr w:type="spellEnd"/>
            <w:r w:rsidRPr="002B6367">
              <w:rPr>
                <w:b/>
              </w:rPr>
              <w:t xml:space="preserve"> та </w:t>
            </w:r>
            <w:proofErr w:type="spellStart"/>
            <w:r w:rsidRPr="002B6367">
              <w:rPr>
                <w:b/>
              </w:rPr>
              <w:t>споживання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 (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) </w:t>
            </w:r>
            <w:proofErr w:type="spellStart"/>
            <w:r w:rsidRPr="002B6367">
              <w:rPr>
                <w:b/>
              </w:rPr>
              <w:t>електроустановок</w:t>
            </w:r>
            <w:proofErr w:type="spellEnd"/>
            <w:r w:rsidRPr="002B6367">
              <w:rPr>
                <w:b/>
              </w:rPr>
              <w:t xml:space="preserve"> такого </w:t>
            </w:r>
            <w:proofErr w:type="spellStart"/>
            <w:r w:rsidRPr="002B6367">
              <w:rPr>
                <w:b/>
              </w:rPr>
              <w:t>виробника</w:t>
            </w:r>
            <w:proofErr w:type="spellEnd"/>
            <w:r w:rsidRPr="002B6367">
              <w:rPr>
                <w:b/>
              </w:rPr>
              <w:t xml:space="preserve"> в </w:t>
            </w:r>
            <w:proofErr w:type="spellStart"/>
            <w:r w:rsidRPr="002B6367">
              <w:rPr>
                <w:b/>
              </w:rPr>
              <w:t>місці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провадження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ліцензованої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діяльності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згідно</w:t>
            </w:r>
            <w:proofErr w:type="spellEnd"/>
            <w:r w:rsidRPr="002B6367">
              <w:rPr>
                <w:b/>
              </w:rPr>
              <w:t xml:space="preserve"> з договором про </w:t>
            </w:r>
            <w:proofErr w:type="spellStart"/>
            <w:r w:rsidRPr="002B6367">
              <w:rPr>
                <w:b/>
              </w:rPr>
              <w:t>приєднання</w:t>
            </w:r>
            <w:proofErr w:type="spellEnd"/>
            <w:r w:rsidRPr="002B6367">
              <w:rPr>
                <w:b/>
              </w:rPr>
              <w:t xml:space="preserve"> таких </w:t>
            </w:r>
            <w:proofErr w:type="spellStart"/>
            <w:r w:rsidRPr="002B6367">
              <w:rPr>
                <w:b/>
              </w:rPr>
              <w:t>електроустановок</w:t>
            </w:r>
            <w:proofErr w:type="spellEnd"/>
            <w:r w:rsidRPr="002B6367">
              <w:rPr>
                <w:b/>
              </w:rPr>
              <w:t>;</w:t>
            </w:r>
          </w:p>
          <w:p w14:paraId="7B0226F1" w14:textId="113065D3" w:rsidR="002B6367" w:rsidRPr="002B6367" w:rsidRDefault="002B6367" w:rsidP="002B636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b/>
                <w:lang w:val="uk-UA"/>
              </w:rPr>
            </w:pPr>
            <w:proofErr w:type="spellStart"/>
            <w:r w:rsidRPr="002B6367">
              <w:rPr>
                <w:b/>
              </w:rPr>
              <w:t>наявності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окремого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електричної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перетікання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якої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здійснюється</w:t>
            </w:r>
            <w:proofErr w:type="spellEnd"/>
            <w:r w:rsidRPr="002B6367">
              <w:rPr>
                <w:b/>
              </w:rPr>
              <w:t xml:space="preserve"> до/з установки </w:t>
            </w:r>
            <w:proofErr w:type="spellStart"/>
            <w:r w:rsidRPr="002B6367">
              <w:rPr>
                <w:b/>
              </w:rPr>
              <w:t>зберігання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енергії</w:t>
            </w:r>
            <w:proofErr w:type="spellEnd"/>
            <w:r w:rsidRPr="002B6367">
              <w:rPr>
                <w:b/>
              </w:rPr>
              <w:t xml:space="preserve">, </w:t>
            </w:r>
            <w:proofErr w:type="spellStart"/>
            <w:r w:rsidRPr="002B6367">
              <w:rPr>
                <w:b/>
              </w:rPr>
              <w:t>відповідно</w:t>
            </w:r>
            <w:proofErr w:type="spellEnd"/>
            <w:r w:rsidRPr="002B6367">
              <w:rPr>
                <w:b/>
              </w:rPr>
              <w:t xml:space="preserve"> до </w:t>
            </w:r>
            <w:proofErr w:type="spellStart"/>
            <w:r w:rsidRPr="002B6367">
              <w:rPr>
                <w:b/>
              </w:rPr>
              <w:t>вимог</w:t>
            </w:r>
            <w:proofErr w:type="spellEnd"/>
            <w:r w:rsidRPr="002B6367">
              <w:rPr>
                <w:b/>
              </w:rPr>
              <w:t xml:space="preserve"> Кодексу </w:t>
            </w:r>
            <w:proofErr w:type="spellStart"/>
            <w:r w:rsidRPr="002B6367">
              <w:rPr>
                <w:b/>
              </w:rPr>
              <w:t>комерційного</w:t>
            </w:r>
            <w:proofErr w:type="spellEnd"/>
            <w:r w:rsidRPr="002B6367">
              <w:rPr>
                <w:b/>
              </w:rPr>
              <w:t xml:space="preserve"> </w:t>
            </w:r>
            <w:proofErr w:type="spellStart"/>
            <w:r w:rsidRPr="002B6367">
              <w:rPr>
                <w:b/>
              </w:rPr>
              <w:t>обліку</w:t>
            </w:r>
            <w:proofErr w:type="spellEnd"/>
            <w:r w:rsidRPr="002B6367">
              <w:rPr>
                <w:b/>
              </w:rPr>
              <w:t>;»</w:t>
            </w:r>
            <w:r w:rsidRPr="002B6367">
              <w:rPr>
                <w:b/>
                <w:lang w:val="uk-UA"/>
              </w:rPr>
              <w:t>;</w:t>
            </w:r>
          </w:p>
          <w:p w14:paraId="4BF1DBD4" w14:textId="39577923" w:rsidR="006F4D89" w:rsidRPr="002B6367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14:paraId="499C01E1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 xml:space="preserve">     6) оператором системи передачі, оператором системи розподілу у випадках, встановлених Законом України «Про ринок електричної енергії», та за умови надання такого права Регулятором.</w:t>
            </w:r>
          </w:p>
          <w:p w14:paraId="6B9D76BF" w14:textId="1CDAA524" w:rsidR="006F4D89" w:rsidRPr="006F4D89" w:rsidRDefault="006F4D89" w:rsidP="006F4D89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F4D89" w:rsidRPr="002B6367" w14:paraId="12F2FEF8" w14:textId="77777777" w:rsidTr="006F4D89">
        <w:tc>
          <w:tcPr>
            <w:tcW w:w="7508" w:type="dxa"/>
          </w:tcPr>
          <w:p w14:paraId="4E4D3206" w14:textId="7777777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</w:t>
            </w:r>
            <w:r w:rsidRPr="00A922FF">
              <w:rPr>
                <w:lang w:val="uk-UA"/>
              </w:rPr>
              <w:t>1.4. У цих Ліцензійних умовах терміни вживаються в таких значеннях:</w:t>
            </w:r>
          </w:p>
          <w:p w14:paraId="0284E869" w14:textId="739DDC35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  <w:p w14:paraId="7941EA16" w14:textId="3CC09861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lang w:val="uk-UA"/>
              </w:rPr>
            </w:pPr>
            <w:r w:rsidRPr="006F4D89">
              <w:rPr>
                <w:lang w:val="uk-UA"/>
              </w:rPr>
              <w:t xml:space="preserve">    місце провадження господарської діяльності зі зберігання енергії - об’єкт (приміщення, будівля, земельна ділянка тощо), у межах якого провадиться діяльність зі зберігання енергії</w:t>
            </w:r>
            <w:r>
              <w:rPr>
                <w:lang w:val="uk-UA"/>
              </w:rPr>
              <w:t>.</w:t>
            </w:r>
          </w:p>
          <w:p w14:paraId="28A32C90" w14:textId="16F14690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</w:p>
          <w:p w14:paraId="412CC945" w14:textId="17CEC35C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положення відсутнє</w:t>
            </w:r>
          </w:p>
          <w:p w14:paraId="175EF60D" w14:textId="31120D57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1C969A6D" w14:textId="58AEF694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4B366155" w14:textId="0040E45B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54852ECE" w14:textId="14617413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79AEB997" w14:textId="3F12DB01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516886A9" w14:textId="303AD799" w:rsid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5C6DD5FB" w14:textId="77777777" w:rsidR="002B6367" w:rsidRDefault="002B6367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3317392B" w14:textId="7777777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</w:p>
          <w:p w14:paraId="7C434D2D" w14:textId="388C0057" w:rsidR="006F4D89" w:rsidRPr="006F4D89" w:rsidRDefault="006F4D89" w:rsidP="006F4D89">
            <w:pPr>
              <w:pStyle w:val="rvps2"/>
              <w:shd w:val="clear" w:color="auto" w:fill="FFFFFF"/>
              <w:spacing w:before="0" w:beforeAutospacing="0" w:after="0" w:afterAutospacing="0"/>
              <w:ind w:left="-120" w:firstLine="120"/>
              <w:jc w:val="both"/>
              <w:rPr>
                <w:b/>
                <w:i/>
                <w:lang w:val="uk-UA"/>
              </w:rPr>
            </w:pPr>
            <w:r w:rsidRPr="006F4D89">
              <w:rPr>
                <w:shd w:val="clear" w:color="auto" w:fill="FFFFFF"/>
                <w:lang w:val="uk-UA"/>
              </w:rPr>
              <w:t xml:space="preserve">   Інші визначення та терміни вживаються в цих Ліцензійних умовах у значеннях, наведених у </w:t>
            </w:r>
            <w:hyperlink r:id="rId8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Господарському кодексі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, </w:t>
            </w:r>
            <w:hyperlink r:id="rId9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Цивільному кодексі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, </w:t>
            </w:r>
            <w:hyperlink r:id="rId10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Законі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 «Про ринок електричної енергії» (далі - Закон), </w:t>
            </w:r>
            <w:hyperlink r:id="rId11" w:anchor="n10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03 березня 2020 року № 548 (далі - Порядок), </w:t>
            </w:r>
            <w:hyperlink r:id="rId12" w:anchor="n3149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Правилах ринку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затверджених постановою НКРЕКП від 14 березня 2018 року № 307 (далі - Правила ринку), </w:t>
            </w:r>
            <w:hyperlink r:id="rId13" w:anchor="n23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Кодексі системи передачі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14 березня 2018 року № 309 (далі - Кодекс системи передачі), </w:t>
            </w:r>
            <w:hyperlink r:id="rId14" w:anchor="n1902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Кодексі систем розподілу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14 березня 2018 року № 310 (далі - Кодекс систем розподілу), </w:t>
            </w:r>
            <w:hyperlink r:id="rId15" w:anchor="n1950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Правилах роздрібного ринку електричної енергії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затверджених постановою НКРЕКП від 14 березня 2018 року № 312 (далі - Правила роздрібного ринку електричної енергії), інших нормативно-правових актах, що регулюють функціонування ринку електричної енергії.</w:t>
            </w:r>
          </w:p>
        </w:tc>
        <w:tc>
          <w:tcPr>
            <w:tcW w:w="7655" w:type="dxa"/>
          </w:tcPr>
          <w:p w14:paraId="29743DA2" w14:textId="77777777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A922FF">
              <w:rPr>
                <w:lang w:val="uk-UA"/>
              </w:rPr>
              <w:t>1.4. У цих Ліцензійних умовах терміни вживаються в таких значеннях:</w:t>
            </w:r>
          </w:p>
          <w:p w14:paraId="5AC7DBF0" w14:textId="349AD1C3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  <w:p w14:paraId="230E2A6D" w14:textId="77777777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922FF">
              <w:rPr>
                <w:lang w:val="uk-UA"/>
              </w:rPr>
              <w:t>місце провадження господарської діяльності зі зберігання енергії - об’єкт (приміщення, будівля, земельна ділянка тощо), у межах якого провадиться діяльність зі зберігання енергії</w:t>
            </w:r>
            <w:r w:rsidRPr="006F4D89">
              <w:rPr>
                <w:lang w:val="uk-UA"/>
              </w:rPr>
              <w:t>;</w:t>
            </w:r>
          </w:p>
          <w:p w14:paraId="18B07FEF" w14:textId="22D32307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18F39179" w14:textId="6F15BE85" w:rsidR="006F4D89" w:rsidRPr="002B6367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2B6367" w:rsidRPr="002B6367">
              <w:rPr>
                <w:b/>
                <w:lang w:val="uk-UA"/>
              </w:rPr>
              <w:t>номінальна (встановлена) потужність установки зберігання електричної енергії – максимальна довготривала активна потужність, визначена заводом-виробником, з якою установка зберігання електричної енергії технічно спроможна здійснювати відпуск або відбір електричної енергії  (визначається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енергії, які визначаються заводом-виробником).</w:t>
            </w:r>
          </w:p>
          <w:p w14:paraId="3D6D6F2D" w14:textId="77777777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3CF4ABA3" w14:textId="2A4EE665" w:rsidR="006F4D89" w:rsidRDefault="006F4D89" w:rsidP="00485E3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6F4D89">
              <w:rPr>
                <w:shd w:val="clear" w:color="auto" w:fill="FFFFFF"/>
                <w:lang w:val="uk-UA"/>
              </w:rPr>
              <w:t>Інші визначення та терміни вживаються в цих Ліцензійних умовах у значеннях, наведених у </w:t>
            </w:r>
            <w:hyperlink r:id="rId16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Господарському кодексі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, </w:t>
            </w:r>
            <w:hyperlink r:id="rId17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Цивільному кодексі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, </w:t>
            </w:r>
            <w:hyperlink r:id="rId18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Законі України</w:t>
              </w:r>
            </w:hyperlink>
            <w:r w:rsidRPr="006F4D89">
              <w:rPr>
                <w:shd w:val="clear" w:color="auto" w:fill="FFFFFF"/>
                <w:lang w:val="uk-UA"/>
              </w:rPr>
              <w:t> «Про ринок електричної енергії» (далі - Закон), </w:t>
            </w:r>
            <w:hyperlink r:id="rId19" w:anchor="n10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03 березня 2020 року № 548 (далі - Порядок), </w:t>
            </w:r>
            <w:hyperlink r:id="rId20" w:anchor="n3149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Правилах ринку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затверджених постановою НКРЕКП від 14 березня 2018 року № 307 (далі - Правила ринку), </w:t>
            </w:r>
            <w:hyperlink r:id="rId21" w:anchor="n23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Кодексі системи передачі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14 березня 2018 року № 309 (далі - Кодекс системи передачі), </w:t>
            </w:r>
            <w:hyperlink r:id="rId22" w:anchor="n1902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Кодексі систем розподілу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затвердженому постановою НКРЕКП від 14 березня 2018 року № 310 (далі - Кодекс систем розподілу), </w:t>
            </w:r>
            <w:hyperlink r:id="rId23" w:anchor="n1950" w:tgtFrame="_blank" w:history="1">
              <w:r w:rsidRPr="006F4D89">
                <w:rPr>
                  <w:rStyle w:val="a3"/>
                  <w:color w:val="auto"/>
                  <w:u w:val="none"/>
                  <w:shd w:val="clear" w:color="auto" w:fill="FFFFFF"/>
                  <w:lang w:val="uk-UA"/>
                </w:rPr>
                <w:t>Правилах роздрібного ринку електричної енергії</w:t>
              </w:r>
            </w:hyperlink>
            <w:r w:rsidRPr="006F4D89">
              <w:rPr>
                <w:shd w:val="clear" w:color="auto" w:fill="FFFFFF"/>
                <w:lang w:val="uk-UA"/>
              </w:rPr>
              <w:t>, затверджених постановою НКРЕКП від 14 березня 2018 року № 312 (далі - Правила роздрібного ринку електричної енергії), інших нормативно-правових актах, що регулюють функціонування ринку електричної енергії.</w:t>
            </w:r>
          </w:p>
        </w:tc>
      </w:tr>
    </w:tbl>
    <w:p w14:paraId="7011C49C" w14:textId="77777777" w:rsidR="00327069" w:rsidRPr="00327069" w:rsidRDefault="00327069">
      <w:pPr>
        <w:rPr>
          <w:lang w:val="uk-UA"/>
        </w:rPr>
      </w:pPr>
    </w:p>
    <w:sectPr w:rsidR="00327069" w:rsidRPr="00327069" w:rsidSect="0032706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69"/>
    <w:rsid w:val="00100D5F"/>
    <w:rsid w:val="00167DE0"/>
    <w:rsid w:val="001B550F"/>
    <w:rsid w:val="001D1137"/>
    <w:rsid w:val="002B6367"/>
    <w:rsid w:val="00327069"/>
    <w:rsid w:val="0036459A"/>
    <w:rsid w:val="003F4025"/>
    <w:rsid w:val="00485E32"/>
    <w:rsid w:val="004B5201"/>
    <w:rsid w:val="005359CD"/>
    <w:rsid w:val="00545732"/>
    <w:rsid w:val="005955C4"/>
    <w:rsid w:val="005D5C6A"/>
    <w:rsid w:val="006F024C"/>
    <w:rsid w:val="006F4D89"/>
    <w:rsid w:val="008E3D8A"/>
    <w:rsid w:val="008F6147"/>
    <w:rsid w:val="009406EE"/>
    <w:rsid w:val="009B605A"/>
    <w:rsid w:val="00A922FF"/>
    <w:rsid w:val="00C149E9"/>
    <w:rsid w:val="00C3301B"/>
    <w:rsid w:val="00D15119"/>
    <w:rsid w:val="00E953B9"/>
    <w:rsid w:val="00EA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FCD9"/>
  <w15:chartTrackingRefBased/>
  <w15:docId w15:val="{F8C542F7-8A33-4FEF-AE45-80B0D458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069"/>
    <w:rPr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paragraph" w:customStyle="1" w:styleId="rvps2">
    <w:name w:val="rvps2"/>
    <w:basedOn w:val="a"/>
    <w:rsid w:val="00327069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27069"/>
    <w:rPr>
      <w:color w:val="0000FF"/>
      <w:u w:val="single"/>
    </w:rPr>
  </w:style>
  <w:style w:type="table" w:styleId="a4">
    <w:name w:val="Table Grid"/>
    <w:basedOn w:val="a1"/>
    <w:uiPriority w:val="39"/>
    <w:rsid w:val="00327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32706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2B6367"/>
    <w:pPr>
      <w:tabs>
        <w:tab w:val="center" w:pos="4536"/>
        <w:tab w:val="right" w:pos="9072"/>
      </w:tabs>
    </w:pPr>
    <w:rPr>
      <w:sz w:val="28"/>
    </w:rPr>
  </w:style>
  <w:style w:type="character" w:customStyle="1" w:styleId="a6">
    <w:name w:val="Нижній колонтитул Знак"/>
    <w:basedOn w:val="a0"/>
    <w:link w:val="a5"/>
    <w:uiPriority w:val="99"/>
    <w:rsid w:val="002B636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436-15" TargetMode="External"/><Relationship Id="rId13" Type="http://schemas.openxmlformats.org/officeDocument/2006/relationships/hyperlink" Target="https://zakon.rada.gov.ua/rada/show/v0309874-18" TargetMode="External"/><Relationship Id="rId18" Type="http://schemas.openxmlformats.org/officeDocument/2006/relationships/hyperlink" Target="https://zakon.rada.gov.ua/rada/show/2019-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rada/show/v0309874-18" TargetMode="External"/><Relationship Id="rId7" Type="http://schemas.openxmlformats.org/officeDocument/2006/relationships/hyperlink" Target="https://zakon.rada.gov.ua/rada/show/2019-19" TargetMode="External"/><Relationship Id="rId12" Type="http://schemas.openxmlformats.org/officeDocument/2006/relationships/hyperlink" Target="https://zakon.rada.gov.ua/rada/show/v0307874-18" TargetMode="External"/><Relationship Id="rId17" Type="http://schemas.openxmlformats.org/officeDocument/2006/relationships/hyperlink" Target="https://zakon.rada.gov.ua/rada/show/435-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436-15" TargetMode="External"/><Relationship Id="rId20" Type="http://schemas.openxmlformats.org/officeDocument/2006/relationships/hyperlink" Target="https://zakon.rada.gov.ua/rada/show/v0307874-1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v0311874-18" TargetMode="External"/><Relationship Id="rId11" Type="http://schemas.openxmlformats.org/officeDocument/2006/relationships/hyperlink" Target="https://zakon.rada.gov.ua/rada/show/v0548874-2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zakon.rada.gov.ua/rada/show/v0311874-18" TargetMode="External"/><Relationship Id="rId15" Type="http://schemas.openxmlformats.org/officeDocument/2006/relationships/hyperlink" Target="https://zakon.rada.gov.ua/rada/show/v0312874-18" TargetMode="External"/><Relationship Id="rId23" Type="http://schemas.openxmlformats.org/officeDocument/2006/relationships/hyperlink" Target="https://zakon.rada.gov.ua/rada/show/v0312874-18" TargetMode="External"/><Relationship Id="rId10" Type="http://schemas.openxmlformats.org/officeDocument/2006/relationships/hyperlink" Target="https://zakon.rada.gov.ua/rada/show/2019-19" TargetMode="External"/><Relationship Id="rId19" Type="http://schemas.openxmlformats.org/officeDocument/2006/relationships/hyperlink" Target="https://zakon.rada.gov.ua/rada/show/v0548874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435-15" TargetMode="External"/><Relationship Id="rId14" Type="http://schemas.openxmlformats.org/officeDocument/2006/relationships/hyperlink" Target="https://zakon.rada.gov.ua/rada/show/v0310874-18" TargetMode="External"/><Relationship Id="rId22" Type="http://schemas.openxmlformats.org/officeDocument/2006/relationships/hyperlink" Target="https://zakon.rada.gov.ua/rada/show/v0310874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017E3-B231-4EDA-BE15-A2F3A3D6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2025-03-12T09:38:00Z</dcterms:created>
  <dcterms:modified xsi:type="dcterms:W3CDTF">2025-03-18T13:10:00Z</dcterms:modified>
</cp:coreProperties>
</file>