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334CE" w14:textId="77777777" w:rsidR="007E2CFF" w:rsidRPr="00F71C5B" w:rsidRDefault="007E2CFF" w:rsidP="007E2CF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C5B">
        <w:rPr>
          <w:rFonts w:ascii="Times New Roman" w:hAnsi="Times New Roman" w:cs="Times New Roman"/>
          <w:b/>
          <w:bCs/>
          <w:sz w:val="24"/>
          <w:szCs w:val="24"/>
        </w:rPr>
        <w:t>ПОРІВНЯЛЬНА ТАБЛИЦЯ</w:t>
      </w:r>
    </w:p>
    <w:p w14:paraId="7B5D7EED" w14:textId="77777777" w:rsidR="00790E9A" w:rsidRPr="00F71C5B" w:rsidRDefault="007E2CFF" w:rsidP="007E2CF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C5B">
        <w:rPr>
          <w:rFonts w:ascii="Times New Roman" w:hAnsi="Times New Roman" w:cs="Times New Roman"/>
          <w:b/>
          <w:bCs/>
          <w:sz w:val="24"/>
          <w:szCs w:val="24"/>
        </w:rPr>
        <w:t xml:space="preserve">проєкту рішення НКРЕКП, що має ознаки регуляторного акта, – </w:t>
      </w:r>
      <w:r w:rsidRPr="00F71C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постанови НКРЕКП  «Про затвердження Змін до Правил ринку»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7837"/>
        <w:gridCol w:w="7609"/>
      </w:tblGrid>
      <w:tr w:rsidR="002C364D" w:rsidRPr="00F71C5B" w14:paraId="02A9F25B" w14:textId="77777777" w:rsidTr="00790E9A">
        <w:trPr>
          <w:trHeight w:val="339"/>
        </w:trPr>
        <w:tc>
          <w:tcPr>
            <w:tcW w:w="7837" w:type="dxa"/>
          </w:tcPr>
          <w:p w14:paraId="4CDB3DDD" w14:textId="77777777" w:rsidR="002C364D" w:rsidRPr="00F71C5B" w:rsidRDefault="002C364D" w:rsidP="0079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Чинна редакція </w:t>
            </w:r>
          </w:p>
        </w:tc>
        <w:tc>
          <w:tcPr>
            <w:tcW w:w="7609" w:type="dxa"/>
          </w:tcPr>
          <w:p w14:paraId="11E11331" w14:textId="75E503AF" w:rsidR="002C364D" w:rsidRPr="00F71C5B" w:rsidRDefault="008C478B" w:rsidP="002C3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Редакція</w:t>
            </w:r>
            <w:proofErr w:type="spellEnd"/>
            <w:r w:rsidRPr="008C4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4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проєкту</w:t>
            </w:r>
            <w:proofErr w:type="spellEnd"/>
            <w:r w:rsidRPr="008C4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4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рішення</w:t>
            </w:r>
            <w:proofErr w:type="spellEnd"/>
            <w:r w:rsidRPr="008C47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НКРЕКП</w:t>
            </w:r>
            <w:bookmarkStart w:id="0" w:name="_GoBack"/>
            <w:bookmarkEnd w:id="0"/>
          </w:p>
        </w:tc>
      </w:tr>
      <w:tr w:rsidR="007E5B65" w:rsidRPr="00F71C5B" w14:paraId="56DFBD0E" w14:textId="77777777" w:rsidTr="00C9445A">
        <w:trPr>
          <w:trHeight w:val="1278"/>
        </w:trPr>
        <w:tc>
          <w:tcPr>
            <w:tcW w:w="7837" w:type="dxa"/>
          </w:tcPr>
          <w:p w14:paraId="524398C8" w14:textId="77777777" w:rsidR="007E5B65" w:rsidRPr="00B40843" w:rsidRDefault="007E5B65" w:rsidP="007E5B6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1.7.1. Учасник ринку, крім ОСП, ОР та гарантованого покупця, набуває статусу "Переддефолтний" при настанні принаймні однієї з таких подій або обставин:</w:t>
            </w:r>
          </w:p>
          <w:p w14:paraId="06490075" w14:textId="77777777" w:rsidR="007E5B65" w:rsidRPr="00B40843" w:rsidRDefault="007E5B65" w:rsidP="007E5B6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5761"/>
            <w:bookmarkEnd w:id="1"/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учасник ринку не забезпечив своєчасно, у строки, визначені цими Правилами, на рахунку ескроу ППБ/СВБ наявність коштів, вільних від інших зобов’язань з оплати поточної заборгованості ППБ/СВБ та погашення простроченої заборгованості ППБ/СВБ, в обсязі, достатньому для оплати відповідно до декадного звіту ППБ, місячного звіту ППБ, декадного звіту СВБ, місячного звіту СВБ, позапланового звіту СВБ та звіту про коригування, з урахуванням вимог цих Правил;</w:t>
            </w:r>
          </w:p>
          <w:p w14:paraId="48D3203D" w14:textId="0994508B" w:rsidR="007E5B65" w:rsidRPr="00B40843" w:rsidRDefault="007E5B65" w:rsidP="007E5B6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3340"/>
            <w:bookmarkStart w:id="3" w:name="n3341"/>
            <w:bookmarkEnd w:id="2"/>
            <w:bookmarkEnd w:id="3"/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учасник ринку, який є СВБ, не надавав, не підтримував, не збільшував та не поновлював фінансову гарантію в необхідному обсязі відповідно до </w:t>
            </w:r>
            <w:hyperlink r:id="rId6" w:anchor="n4492" w:history="1">
              <w:r w:rsidRPr="00B4084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розділу VI</w:t>
              </w:r>
            </w:hyperlink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цих Правил.</w:t>
            </w:r>
          </w:p>
          <w:p w14:paraId="2ECBF049" w14:textId="77777777" w:rsidR="007E5B65" w:rsidRPr="00B40843" w:rsidRDefault="007E5B65" w:rsidP="007E5B65">
            <w:pPr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5273"/>
            <w:bookmarkEnd w:id="4"/>
          </w:p>
        </w:tc>
        <w:tc>
          <w:tcPr>
            <w:tcW w:w="7609" w:type="dxa"/>
          </w:tcPr>
          <w:p w14:paraId="415306F1" w14:textId="77777777" w:rsidR="007E5B65" w:rsidRPr="00B40843" w:rsidRDefault="007E5B65" w:rsidP="007E5B6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1.7.1. Учасник ринку, крім ОСП, ОР та гарантованого покупця, набуває статусу "Переддефолтний" при настанні принаймні однієї з таких подій або обставин:</w:t>
            </w:r>
          </w:p>
          <w:p w14:paraId="293E20D2" w14:textId="77777777" w:rsidR="007E5B65" w:rsidRPr="00B40843" w:rsidRDefault="007E5B65" w:rsidP="007E5B6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учасник ринку не забезпечив своєчасно, у строки, визначені цими Правилами, на рахунку ескроу ППБ/СВБ наявність коштів, вільних від інших зобов’язань з оплати поточної заборгованості ППБ/СВБ та погашення простроченої заборгованості ППБ/СВБ, в обсязі, достатньому для оплати відповідно до декадного звіту ППБ, місячного звіту ППБ, декадного звіту СВБ, місячного звіту СВБ, позапланового звіту СВБ та звіту про коригування, з урахуванням вимог цих Правил;</w:t>
            </w:r>
          </w:p>
          <w:p w14:paraId="4F7DE6E3" w14:textId="2C0F810F" w:rsidR="007E5B65" w:rsidRPr="00B40843" w:rsidRDefault="007E5B65" w:rsidP="007E5B6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учасник ринку, який є СВБ, не надавав, не підтримував, не збільшував та не поновлював фінансову гарантію в необхідному обсязі відповідно до </w:t>
            </w:r>
            <w:hyperlink r:id="rId7" w:anchor="n4492" w:history="1">
              <w:r w:rsidRPr="00B4084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розділу VI</w:t>
              </w:r>
            </w:hyperlink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цих Правил;</w:t>
            </w:r>
          </w:p>
          <w:p w14:paraId="60CDEBE6" w14:textId="4691C9FD" w:rsidR="007E5B65" w:rsidRPr="00B40843" w:rsidRDefault="006A1759" w:rsidP="009E1DE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A17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3) інших випадків, передбачених розділом Х цих Правил.</w:t>
            </w:r>
          </w:p>
        </w:tc>
      </w:tr>
      <w:tr w:rsidR="005812BC" w:rsidRPr="00F71C5B" w14:paraId="1691F63E" w14:textId="77777777" w:rsidTr="00C9445A">
        <w:trPr>
          <w:trHeight w:val="1278"/>
        </w:trPr>
        <w:tc>
          <w:tcPr>
            <w:tcW w:w="7837" w:type="dxa"/>
          </w:tcPr>
          <w:p w14:paraId="07240660" w14:textId="77777777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1.7.2. При набутті статусу "Переддефолтний" АР на період існування такого статусу:</w:t>
            </w:r>
          </w:p>
          <w:p w14:paraId="24653F78" w14:textId="77777777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надсилає учаснику ринку повідомлення про набуття учасником ринку статусу "Переддефолтний";</w:t>
            </w:r>
          </w:p>
          <w:p w14:paraId="58898660" w14:textId="77777777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публікує на офіційному вебсайті АР повідомлення про набуття учасником ринку статусу "Переддефолтний" із зазначенням дати набуття такого статусу;</w:t>
            </w:r>
          </w:p>
          <w:p w14:paraId="69A8DCFC" w14:textId="30AF7CC0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 використовує фінансову гарантію, що надається учасником ринку, для покриття його простроченої заборгованості ППБ/СВБ перед АР.</w:t>
            </w:r>
          </w:p>
          <w:p w14:paraId="027EC859" w14:textId="0E329441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Якщо учасник ринку виступає в якості електропостачальника, після набуття ним статусу «Переддефолтний», АР, крім зазначених заходів, кожного дня (до 10:30) направляє до уповноважених банків довідку, що містить інформацію щодо повного та скороченого найменування учасника ринку або ПІБ (якщо учасником ринку є фізична особа або фізична особа-підприємець), ЄДРПОУ або РНОКПП (якщо учасником ринку є фізична особа або фізична особа-підприємець) та розміру простроченої заборгованості ППБ/СВБ за небаланси електричної енергії.</w:t>
            </w:r>
          </w:p>
        </w:tc>
        <w:tc>
          <w:tcPr>
            <w:tcW w:w="7609" w:type="dxa"/>
          </w:tcPr>
          <w:p w14:paraId="56638F4C" w14:textId="77777777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1.7.2. При набутті статусу "Переддефолтний" АР на період існування такого статусу:</w:t>
            </w:r>
          </w:p>
          <w:p w14:paraId="447D3BFD" w14:textId="77777777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надсилає учаснику ринку повідомлення про набуття учасником ринку статусу "Переддефолтний";</w:t>
            </w:r>
          </w:p>
          <w:p w14:paraId="13732989" w14:textId="77777777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публікує на офіційному вебсайті АР повідомлення про набуття учасником ринку статусу "Переддефолтний" із зазначенням дати набуття такого статусу;</w:t>
            </w:r>
          </w:p>
          <w:p w14:paraId="440D3154" w14:textId="77777777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 використовує фінансову гарантію, що надається учасником ринку, для покриття його простроченої заборгованості ППБ/СВБ перед АР.</w:t>
            </w:r>
          </w:p>
          <w:p w14:paraId="6384830F" w14:textId="77777777" w:rsidR="005812BC" w:rsidRPr="00B40843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Якщо учасник ринку виступає в якості електропостачальника, після набуття ним статусу «Переддефолтний», АР, крім зазначених заходів, кожного дня (до 10:30) направляє до уповноважених банків довідку, що містить інформацію щодо повного та скороченого найменування учасника ринку або ПІБ (якщо учасником ринку є фізична особа або фізична особа-підприємець), ЄДРПОУ або РНОКПП (якщо учасником ринку є фізична особа або фізична особа-підприємець) та розміру </w:t>
            </w:r>
            <w:r w:rsidRPr="00B408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простроченої заборгованості ППБ/СВБ за небаланси електричної енергії.</w:t>
            </w:r>
          </w:p>
          <w:p w14:paraId="54D8A72B" w14:textId="0D179224" w:rsidR="00F46F46" w:rsidRPr="00B40843" w:rsidRDefault="00FD4AFC" w:rsidP="00512248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D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Заходи, передбачені абзацами першим та другим цього підпункту, не застосовуються до учасників ринку, які набули  статусу «</w:t>
            </w:r>
            <w:proofErr w:type="spellStart"/>
            <w:r w:rsidRPr="00FD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Переддефолтний</w:t>
            </w:r>
            <w:proofErr w:type="spellEnd"/>
            <w:r w:rsidRPr="00FD4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» внаслідок отримання АР подання від ОСП або ОСР, передбаченого пунктом 10.16 розділу Х цих Правил, та у яких відсутня прострочена заборгованість ППБ/СВБ перед АР.</w:t>
            </w:r>
          </w:p>
        </w:tc>
      </w:tr>
      <w:tr w:rsidR="005812BC" w:rsidRPr="00F71C5B" w14:paraId="25DDD219" w14:textId="77777777" w:rsidTr="00C9445A">
        <w:trPr>
          <w:trHeight w:val="1278"/>
        </w:trPr>
        <w:tc>
          <w:tcPr>
            <w:tcW w:w="7837" w:type="dxa"/>
          </w:tcPr>
          <w:p w14:paraId="34D1B5BC" w14:textId="7665512C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1.7.5. На період існування статусу "Дефолтний" АР вживає до так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ого учасника ринку такі заходи:</w:t>
            </w:r>
          </w:p>
          <w:p w14:paraId="4B492051" w14:textId="370AE543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1) надсилає учаснику ринку повідомлення про набуття учасн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иком ринку статусу «Дефолтний»;</w:t>
            </w:r>
          </w:p>
          <w:p w14:paraId="4F6991BA" w14:textId="77777777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2) публікує на офіційному вебсайті АР повідомлення про набуття учасником ринку статусу "Дефолтний" із зазначенням дати набуття такого статусу;</w:t>
            </w:r>
          </w:p>
          <w:p w14:paraId="0C59FD1C" w14:textId="5A3B60B1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3) зупиняє майбутні та скасовує діючі реєстрації ДД щодо продажу елект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ричної енергії учасникам ринку;</w:t>
            </w:r>
          </w:p>
          <w:p w14:paraId="5A4CAA3B" w14:textId="5CED0FAB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4) установлює нульовий обсяг продажу електричної енергії на РДН та ВДР для так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ого учасника ринку;</w:t>
            </w:r>
          </w:p>
          <w:p w14:paraId="60B4492A" w14:textId="53C64406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5) якщо учасник ринку також виступає в якості електропостачальника (або споживача), після набуття ним статусу «Дефолтний» постачання електричної енергії споживачам такого учасника ринку (або такому учаснику ринку) здійснюється постачальником «останньої надії» відповідно до Правил роздрібного ринку з 00:00 дня, наступного за днем 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абуття ним статусу «Дефолтний»;</w:t>
            </w:r>
          </w:p>
          <w:p w14:paraId="5B4F8CE3" w14:textId="0DB91D56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6) якщо учасник ринку також виступає в якості електропостачальника, після набуття ним статусу «Дефолтний» кожного дня до 10:30 направляє до уповноважених банків довідку, що містить інформацію щодо повного та скороченого найменування учасника ринку або ПІБ (якщо учасником ринку є фізична особа або фізична особа-підприємець), ЄДРПОУ або РНОКПП (якщо учасником ринку є фізична особа або фізична особа - підприємець) та розміру простроченої заборгованості ППБ/СВБ за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небаланси електричної енергії.</w:t>
            </w:r>
          </w:p>
          <w:p w14:paraId="42191D21" w14:textId="15DCB55D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Вчинення до учасника ринку будь-яких дій з боку АР відповідно до цього пункту не впливає та не змінює відповідальність такого учасника ринку відповідно до цих Правил, що означає, що учасник ринку із </w:t>
            </w: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статусом "Дефолтний" несе відповідальність за сплату всіх сум (у тому числі податків), що необхідно сплатити відповідно до цих Правил.</w:t>
            </w:r>
          </w:p>
        </w:tc>
        <w:tc>
          <w:tcPr>
            <w:tcW w:w="7609" w:type="dxa"/>
          </w:tcPr>
          <w:p w14:paraId="5CB95036" w14:textId="77777777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1.7.5. На період існування статусу "Дефолтний" АР вживає до так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ого учасника ринку такі заходи:</w:t>
            </w:r>
          </w:p>
          <w:p w14:paraId="4C470E91" w14:textId="77777777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1) надсилає учаснику ринку повідомлення про набуття учасн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иком ринку статусу «Дефолтний»;</w:t>
            </w:r>
          </w:p>
          <w:p w14:paraId="5D06C08B" w14:textId="77777777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2) публікує на офіційному вебсайті АР повідомлення про набуття учасником ринку статусу "Дефолтний" із зазначенням дати набуття такого статусу;</w:t>
            </w:r>
          </w:p>
          <w:p w14:paraId="6715759A" w14:textId="77777777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3) зупиняє майбутні та скасовує діючі реєстрації ДД щодо продажу елект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ричної енергії учасникам ринку;</w:t>
            </w:r>
          </w:p>
          <w:p w14:paraId="3D4D7E5F" w14:textId="77777777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4) установлює нульовий обсяг продажу електричної енергії на РДН та ВДР для так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ого учасника ринку;</w:t>
            </w:r>
          </w:p>
          <w:p w14:paraId="60F5CBCA" w14:textId="77777777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5) якщо учасник ринку також виступає в якості електропостачальника (або споживача), після набуття ним статусу «Дефолтний» постачання електричної енергії споживачам такого учасника ринку (або такому учаснику ринку) здійснюється постачальником «останньої надії» відповідно до Правил роздрібного ринку з 00:00 дня, наступного за днем 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абуття ним статусу «Дефолтний»;</w:t>
            </w:r>
          </w:p>
          <w:p w14:paraId="5097F6F3" w14:textId="77777777" w:rsidR="005812BC" w:rsidRP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6) якщо учасник ринку також виступає в якості електропостачальника, після набуття ним статусу «Дефолтний» кожного дня до 10:30 направляє до уповноважених банків довідку, що містить інформацію щодо повного та скороченого найменування учасника ринку або ПІБ (якщо учасником ринку є фізична особа або фізична особа-підприємець), ЄДРПОУ або РНОКПП (якщо учасником ринку є фізична особа або фізична особа - підприємець) та розміру простроченої заборгованості ППБ/СВБ за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небаланси електричної енергії.</w:t>
            </w:r>
          </w:p>
          <w:p w14:paraId="241B7DB4" w14:textId="77777777" w:rsidR="005812BC" w:rsidRDefault="005812BC" w:rsidP="005812B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Вчинення до учасника ринку будь-яких дій з боку АР відповідно до цього пункту не впливає та не змінює відповідальність такого учасника </w:t>
            </w:r>
            <w:r w:rsidRPr="005812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ринку відповідно до цих Правил, що означає, що учасник ринку із статусом "Дефолтний" несе відповідальність за сплату всіх сум (у тому числі податків), що необхідно сплатити відповідно до цих Правил.</w:t>
            </w:r>
          </w:p>
          <w:p w14:paraId="587F4744" w14:textId="4730A7FD" w:rsidR="005812BC" w:rsidRPr="005812BC" w:rsidRDefault="00FD4AFC" w:rsidP="00A9210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</w:pPr>
            <w:r w:rsidRPr="00FD4AF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Заходи, передбачені абзацом першим цього підпункту, не застосовуються до учасників ринку, які набули статусу «</w:t>
            </w:r>
            <w:proofErr w:type="spellStart"/>
            <w:r w:rsidRPr="00FD4AF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Переддефолтний</w:t>
            </w:r>
            <w:proofErr w:type="spellEnd"/>
            <w:r w:rsidRPr="00FD4AF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» та «</w:t>
            </w:r>
            <w:proofErr w:type="spellStart"/>
            <w:r w:rsidRPr="00FD4AF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Дефолтний</w:t>
            </w:r>
            <w:proofErr w:type="spellEnd"/>
            <w:r w:rsidRPr="00FD4AF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» внаслідок отримання АР подання від ОСП або ОСР, передбаченого пунктом 10.16 розділу Х цих Правил, та у яких відсутня прострочена заборгованість ППБ/СВБ перед АР.</w:t>
            </w:r>
          </w:p>
        </w:tc>
      </w:tr>
      <w:tr w:rsidR="00C9445A" w:rsidRPr="00F71C5B" w14:paraId="781B8170" w14:textId="77777777" w:rsidTr="00C9445A">
        <w:trPr>
          <w:trHeight w:val="1278"/>
        </w:trPr>
        <w:tc>
          <w:tcPr>
            <w:tcW w:w="7837" w:type="dxa"/>
          </w:tcPr>
          <w:p w14:paraId="02ED8690" w14:textId="77777777" w:rsidR="00F71C5B" w:rsidRPr="00F71C5B" w:rsidRDefault="00F71C5B" w:rsidP="00F71C5B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1.7.7. Учасник ринку втрачає статус «Дефолтний» після настання принаймні однієї з таких подій або обставин:</w:t>
            </w:r>
          </w:p>
          <w:p w14:paraId="6D4FF9E8" w14:textId="77777777" w:rsidR="00F71C5B" w:rsidRPr="00F71C5B" w:rsidRDefault="00F71C5B" w:rsidP="00F71C5B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330F2" w14:textId="77777777" w:rsidR="00F71C5B" w:rsidRPr="00F71C5B" w:rsidRDefault="00F71C5B" w:rsidP="00F71C5B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t>1) здійснення учасником ринку оплати простроченої заборгованості ППБ/СВБ, забезпечення достатності на рахунку ескроу ППБ/СВБ коштів для оплати поточної заборгованості ППБ/СВБ та за відсутності обставин, визначених підпунктами 2 та 3 пункту 1.7.4 цієї глави.</w:t>
            </w:r>
          </w:p>
          <w:p w14:paraId="36E98177" w14:textId="77777777" w:rsidR="00F71C5B" w:rsidRPr="00F71C5B" w:rsidRDefault="00F71C5B" w:rsidP="00F71C5B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88BFF" w14:textId="77777777" w:rsidR="00F71C5B" w:rsidRPr="00F71C5B" w:rsidRDefault="00F71C5B" w:rsidP="00F71C5B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t>АР позбавляє учасника ринку статусу «Дефолтний» з 00:00 дня, наступного за днем отримання АР на офіційну електронну адресу звернення учасника ринку щодо позбавлення статусу «Дефолтний», якщо таке звернення отримано до 18:00. В іншому випадку, АР позбавляє учасника ринку статусу «Дефолтний» з 00:00 другого дня, за днем отримання АР цього звернення;</w:t>
            </w:r>
          </w:p>
          <w:p w14:paraId="43BF8057" w14:textId="77777777" w:rsidR="00F71C5B" w:rsidRPr="00F71C5B" w:rsidRDefault="00F71C5B" w:rsidP="00F71C5B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46EF2" w14:textId="24AB671E" w:rsidR="00C9445A" w:rsidRPr="00F71C5B" w:rsidRDefault="00F71C5B" w:rsidP="00F71C5B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t>2) припинення дії договору про врегулювання небалансів електричної енергії, що укладений між ОСП та учасником ринку.</w:t>
            </w:r>
          </w:p>
        </w:tc>
        <w:tc>
          <w:tcPr>
            <w:tcW w:w="7609" w:type="dxa"/>
          </w:tcPr>
          <w:p w14:paraId="69039A78" w14:textId="77777777" w:rsidR="00F71C5B" w:rsidRPr="00F71C5B" w:rsidRDefault="00F71C5B">
            <w:pPr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t>1.7.7. Учасник ринку втрачає статус «Дефолтний» після настання принаймні однієї з таких подій або обставин:</w:t>
            </w:r>
          </w:p>
          <w:p w14:paraId="4A49EC5F" w14:textId="77777777" w:rsidR="00F71C5B" w:rsidRPr="00F71C5B" w:rsidRDefault="00F71C5B">
            <w:pPr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DDF3E" w14:textId="77777777" w:rsidR="00F71C5B" w:rsidRPr="00F71C5B" w:rsidRDefault="00F71C5B">
            <w:pPr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t>1) здійснення учасником ринку оплати простроченої заборгованості ППБ/СВБ, забезпечення достатності на рахунку ескроу ППБ/СВБ коштів для оплати поточної заборгованості ППБ/СВБ та за відсутності обставин, визначених підпунктами 2 та 3 пункту 1.7.4 цієї глави.</w:t>
            </w:r>
          </w:p>
          <w:p w14:paraId="766A021F" w14:textId="77777777" w:rsidR="00F71C5B" w:rsidRPr="00F71C5B" w:rsidRDefault="00F71C5B">
            <w:pPr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04CBB" w14:textId="77777777" w:rsidR="00F71C5B" w:rsidRPr="00F71C5B" w:rsidRDefault="00F71C5B">
            <w:pPr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t>АР позбавляє учасника ринку статусу «Дефолтний» з 00:00 дня, наступного за днем отримання АР на офіційну електронну адресу звернення учасника ринку щодо позбавлення статусу «Дефолтний», якщо таке звернення отримано до 18:00. В іншому випадку, АР позбавляє учасника ринку статусу «Дефолтний» з 00:00 другого дня, за днем отримання АР цього звернення;</w:t>
            </w:r>
          </w:p>
          <w:p w14:paraId="46EC8A4F" w14:textId="77777777" w:rsidR="00F71C5B" w:rsidRPr="00F71C5B" w:rsidRDefault="00F71C5B">
            <w:pPr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82129" w14:textId="77777777" w:rsidR="00F71C5B" w:rsidRPr="00F71C5B" w:rsidRDefault="00F71C5B" w:rsidP="00512248">
            <w:pPr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t>2) припинення дії договору про врегулювання небалансів електричної енергії, що укладений між ОСП та учасником ринку;</w:t>
            </w:r>
          </w:p>
          <w:p w14:paraId="1CEB0CF9" w14:textId="77777777" w:rsidR="00F71C5B" w:rsidRPr="00F71C5B" w:rsidRDefault="00F71C5B" w:rsidP="00512248">
            <w:pPr>
              <w:ind w:firstLine="4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0F09D" w14:textId="4E733080" w:rsidR="00F71C5B" w:rsidRPr="00F71C5B" w:rsidRDefault="006A1759" w:rsidP="00512248">
            <w:pPr>
              <w:ind w:firstLine="44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7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3) інших випадків, передбачених розділом Х цих Правил.</w:t>
            </w:r>
          </w:p>
        </w:tc>
      </w:tr>
      <w:tr w:rsidR="001A4921" w:rsidRPr="00F71C5B" w14:paraId="47A7959F" w14:textId="77777777" w:rsidTr="00C9445A">
        <w:trPr>
          <w:trHeight w:val="1278"/>
        </w:trPr>
        <w:tc>
          <w:tcPr>
            <w:tcW w:w="7837" w:type="dxa"/>
          </w:tcPr>
          <w:p w14:paraId="70A3943F" w14:textId="77777777" w:rsidR="001A4921" w:rsidRPr="001A4921" w:rsidRDefault="001A4921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A4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10.9. Для виробників електричної енергії, крім мікро-, міні-, малих гідроелектростанцій та електричних станцій, що виробляють електричну енергію з альтернативних джерел енергії, та імпортерів у кожному розрахунковому періоді доби постачання гранична нижня межа обов'язкової заявки щодо продажу електричної енергії на РДН становить 10 відсотків від сумарного обсягу відпуску електричної енергії в цьому розрахунковому періоді такими учасниками ринку (без урахування обсягу відпуску/відбору електричної енергії, здійсненого на виконання диспетчерських команд).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ринку.</w:t>
            </w:r>
          </w:p>
          <w:p w14:paraId="65775EB5" w14:textId="77777777" w:rsidR="001A4921" w:rsidRPr="001A4921" w:rsidRDefault="001A4921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bookmarkStart w:id="5" w:name="n4722"/>
            <w:bookmarkStart w:id="6" w:name="n4723"/>
            <w:bookmarkEnd w:id="5"/>
            <w:bookmarkEnd w:id="6"/>
            <w:r w:rsidRPr="001A4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Зазначена вимога застосовується окремо для кожної торгової зони, визначеної ОСП відповідно до цих Правил та погодженої Регулятором.</w:t>
            </w:r>
          </w:p>
          <w:p w14:paraId="2F793074" w14:textId="77777777" w:rsidR="001A4921" w:rsidRPr="001A4921" w:rsidRDefault="001A4921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bookmarkStart w:id="7" w:name="n4724"/>
            <w:bookmarkEnd w:id="7"/>
            <w:r w:rsidRPr="001A4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До синхронізації ОЕС України з об'єднаннями енергетичних систем держав - членів Європейського Союзу (Європейське співтовариство операторів магістральних мереж в електроенергетиці ENTSO-E) учасники ринку у своїх заявках на балансуючу електричну енергію зобов'язані вказувати ціну не більше 115 % від встановленого обмеження ціни на РДН на цей розрахунковий період.</w:t>
            </w:r>
          </w:p>
          <w:p w14:paraId="3E9788F3" w14:textId="704A8BE3" w:rsidR="001A4921" w:rsidRPr="001A4921" w:rsidRDefault="001A4921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bookmarkStart w:id="8" w:name="n4725"/>
            <w:bookmarkStart w:id="9" w:name="n4726"/>
            <w:bookmarkEnd w:id="8"/>
            <w:bookmarkEnd w:id="9"/>
            <w:r w:rsidRPr="001A4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У разі подання ППБ пропозицій на балансуючу електричну енергію із ціною, що перебуває поза наведеним діапазоном, така заявка автоматично відхиляється системою управління ринком.</w:t>
            </w:r>
          </w:p>
        </w:tc>
        <w:tc>
          <w:tcPr>
            <w:tcW w:w="7609" w:type="dxa"/>
          </w:tcPr>
          <w:p w14:paraId="694654B4" w14:textId="77777777" w:rsidR="001A4921" w:rsidRPr="001A4921" w:rsidRDefault="001A4921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A4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10.9. Для виробників електричної енергії, крім мікро-, міні-, малих гідроелектростанцій та електричних станцій, що виробляють електричну енергію з альтернативних джерел енергії, та імпортерів у кожному розрахунковому періоді доби постачання гранична нижня межа обов'язкової заявки щодо продажу електричної енергії на РДН становить 10 відсотків від сумарного обсягу відпуску електричної енергії в цьому розрахунковому періоді такими учасниками ринку (без урахування обсягу відпуску/відбору електричної енергії, здійсненого на виконання диспетчерських команд).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ринку.</w:t>
            </w:r>
          </w:p>
          <w:p w14:paraId="4A2C6C95" w14:textId="77777777" w:rsidR="001A4921" w:rsidRPr="001A4921" w:rsidRDefault="001A4921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1A49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lastRenderedPageBreak/>
              <w:t>Зазначена вимога застосовується окремо для кожної торгової зони, визначеної ОСП відповідно до цих Правил та погодженої Регулятором.</w:t>
            </w:r>
          </w:p>
          <w:p w14:paraId="254E7F40" w14:textId="77777777" w:rsidR="001A4921" w:rsidRPr="00EB3143" w:rsidRDefault="001A4921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B314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До синхронізації ОЕС України з об'єднаннями енергетичних систем держав - членів Європейського Союзу (Європейське співтовариство операторів магістральних мереж в електроенергетиці ENTSO-E) учасники ринку у своїх заявках на балансуючу електричну енергію зобов'язані вказувати ціну не більше 115 % від встановленого обмеження ціни на РДН на цей розрахунковий період.</w:t>
            </w:r>
          </w:p>
          <w:p w14:paraId="73900707" w14:textId="77777777" w:rsidR="001A4921" w:rsidRPr="00EB3143" w:rsidRDefault="001A4921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EB314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У разі подання ППБ пропозицій на балансуючу електричну енергію із ціною, що перебуває поза наведеним діапазоном, така заявка автоматично відхиляється системою управління ринком.</w:t>
            </w:r>
          </w:p>
          <w:p w14:paraId="566DA6DF" w14:textId="6D12F915" w:rsidR="001A4921" w:rsidRPr="001A4921" w:rsidRDefault="00FD4AFC" w:rsidP="001A492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AF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Тимчасово, до 01 квітня 2025 року, положення абзацу першого цього пункту щодо обов’язкового обсягу продажу електричної енергії на ринку «на добу наперед» не застосовується до імпортерів.</w:t>
            </w:r>
          </w:p>
        </w:tc>
      </w:tr>
      <w:tr w:rsidR="00876375" w:rsidRPr="00F71C5B" w14:paraId="31BAF1E8" w14:textId="77777777" w:rsidTr="00684B2F">
        <w:trPr>
          <w:trHeight w:val="1815"/>
        </w:trPr>
        <w:tc>
          <w:tcPr>
            <w:tcW w:w="7837" w:type="dxa"/>
          </w:tcPr>
          <w:p w14:paraId="3DD951EB" w14:textId="77777777" w:rsidR="00876375" w:rsidRPr="00F71C5B" w:rsidRDefault="007E2CFF" w:rsidP="007E2CFF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Положення відсутнє</w:t>
            </w:r>
          </w:p>
          <w:p w14:paraId="55287E0F" w14:textId="77777777" w:rsidR="004C1530" w:rsidRPr="00F71C5B" w:rsidRDefault="004C1530" w:rsidP="007E2CFF">
            <w:pPr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8EF8D" w14:textId="77777777" w:rsidR="007E2CFF" w:rsidRPr="00F71C5B" w:rsidRDefault="007E2CFF" w:rsidP="00687801">
            <w:pPr>
              <w:ind w:firstLine="3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9" w:type="dxa"/>
          </w:tcPr>
          <w:p w14:paraId="205F3BE4" w14:textId="77777777" w:rsidR="00EB3143" w:rsidRPr="00EB3143" w:rsidRDefault="00EB3143" w:rsidP="00EB3143">
            <w:pPr>
              <w:tabs>
                <w:tab w:val="left" w:pos="1134"/>
              </w:tabs>
              <w:ind w:firstLine="4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10.16. Тимчасово, на період дії правового режиму воєнного стану в Україні:</w:t>
            </w:r>
          </w:p>
          <w:p w14:paraId="008969DB" w14:textId="77777777" w:rsidR="00EB3143" w:rsidRPr="00EB3143" w:rsidRDefault="00EB3143" w:rsidP="00EB3143">
            <w:pPr>
              <w:tabs>
                <w:tab w:val="left" w:pos="1134"/>
              </w:tabs>
              <w:ind w:firstLine="4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ОСП та ОСР невідкладно, але не пізніше 17:00 робочого дня, наступного за 15 календарним днем місяця, наступного за розрахунковим, направляє АР подання щодо 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електропостачальників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(крім постачальника універсальних послуг та постачальника «останньої надії»), які не забезпечили до 15 числа (включно) місяця, наступного за розрахунковим, оплату за надані у період дії воєнного стану ОСП та/або ОСР послуги з передачі та/або розподілу електричної енергії.</w:t>
            </w:r>
          </w:p>
          <w:p w14:paraId="32AEA9BC" w14:textId="77777777" w:rsidR="00EB3143" w:rsidRPr="00EB3143" w:rsidRDefault="00EB3143" w:rsidP="00EB3143">
            <w:pPr>
              <w:tabs>
                <w:tab w:val="left" w:pos="1134"/>
              </w:tabs>
              <w:ind w:firstLine="4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Направлення подання, передбаченого абзацом другим цього пункту, здійснюється ОСП та ОСР шляхом офіційного звернення до АР. Таке подання має містити інформацію щодо повного найменування 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електропостачальника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коду ЄДРПОУ та ЕІС-коду 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електропостачальника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, коду ЄДРПОУ та ЕІС-коду оператора системи, обсягу наданих оператором системи послуг та розміру заборгованості за послуги в розрізі розрахункових місяців станом на дату формування подання.</w:t>
            </w:r>
          </w:p>
          <w:p w14:paraId="71B26D75" w14:textId="77777777" w:rsidR="00EB3143" w:rsidRPr="00EB3143" w:rsidRDefault="00EB3143" w:rsidP="00EB3143">
            <w:pPr>
              <w:tabs>
                <w:tab w:val="left" w:pos="1134"/>
              </w:tabs>
              <w:ind w:firstLine="4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(крім постачальника універсальних послуг та постачальника «останньої надії») набуває статусу «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Переддефолтний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з 00:00 дня, наступного за днем отримання АР від ОСП або ОСР подання, передбаченого абзацами другим та третім цього пункту. 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набуває статусу «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Дефолтний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за умови, що розмір суми заборгованості оператора системи передачі за електричну енергію перевищує розмір суми </w:t>
            </w:r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заборгованості 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електропостачальника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електричну енергію відповідно до договору про врегулювання небалансів електричної енергії.</w:t>
            </w:r>
          </w:p>
          <w:p w14:paraId="651E16E1" w14:textId="77777777" w:rsidR="00EB3143" w:rsidRPr="00EB3143" w:rsidRDefault="00EB3143" w:rsidP="00EB3143">
            <w:pPr>
              <w:tabs>
                <w:tab w:val="left" w:pos="1134"/>
              </w:tabs>
              <w:ind w:firstLine="4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ОСП та ОСР невідкладно, але не пізніше 17:00 робочого дня, наступного за днем, у якому 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електропостачальником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забезпечено в повному обсязі оплату за надані у період дії воєнного стану ОСП та ОСР послуги з передачі та/або розподілу електричної енергії, направляє АР подання щодо відсутності такої заборгованості у такого 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електропостачальника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6E4D9786" w14:textId="3D10CCB9" w:rsidR="00E87526" w:rsidRPr="00F71C5B" w:rsidRDefault="00EB3143" w:rsidP="00EB3143">
            <w:pPr>
              <w:tabs>
                <w:tab w:val="left" w:pos="1134"/>
              </w:tabs>
              <w:ind w:firstLine="4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позбавляється статусу «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Переддефолтний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» або «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Дефолтний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з 00:00 дня, наступного за днем отримання АР від ОСП та/або ОСР подання, передбаченого абзацом п’ятим цього пункту, за умови відсутності інших підстав перебування такого 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електропостачальника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статусі «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Переддефолтний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» або «</w:t>
            </w:r>
            <w:proofErr w:type="spellStart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Дефолтний</w:t>
            </w:r>
            <w:proofErr w:type="spellEnd"/>
            <w:r w:rsidRPr="00EB314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</w:tbl>
    <w:p w14:paraId="6BDF1F6E" w14:textId="77777777" w:rsidR="00E34C39" w:rsidRPr="00F71C5B" w:rsidRDefault="00E34C39">
      <w:pPr>
        <w:rPr>
          <w:sz w:val="24"/>
          <w:szCs w:val="24"/>
        </w:rPr>
      </w:pPr>
    </w:p>
    <w:sectPr w:rsidR="00E34C39" w:rsidRPr="00F71C5B" w:rsidSect="007E2CFF">
      <w:pgSz w:w="16838" w:h="11906" w:orient="landscape"/>
      <w:pgMar w:top="142" w:right="850" w:bottom="28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43645"/>
    <w:multiLevelType w:val="hybridMultilevel"/>
    <w:tmpl w:val="F9B8A600"/>
    <w:lvl w:ilvl="0" w:tplc="6032F37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D3"/>
    <w:rsid w:val="00023857"/>
    <w:rsid w:val="00130A07"/>
    <w:rsid w:val="00152FEA"/>
    <w:rsid w:val="00183A7D"/>
    <w:rsid w:val="001A4921"/>
    <w:rsid w:val="001D7DE6"/>
    <w:rsid w:val="001E073A"/>
    <w:rsid w:val="002128B1"/>
    <w:rsid w:val="00235265"/>
    <w:rsid w:val="00247BF8"/>
    <w:rsid w:val="00267A71"/>
    <w:rsid w:val="00271640"/>
    <w:rsid w:val="00290154"/>
    <w:rsid w:val="002C364D"/>
    <w:rsid w:val="0031518E"/>
    <w:rsid w:val="00321476"/>
    <w:rsid w:val="0033022E"/>
    <w:rsid w:val="00371E41"/>
    <w:rsid w:val="003D4FBE"/>
    <w:rsid w:val="003F0169"/>
    <w:rsid w:val="00404D5D"/>
    <w:rsid w:val="00471496"/>
    <w:rsid w:val="004825BA"/>
    <w:rsid w:val="004C1530"/>
    <w:rsid w:val="00512248"/>
    <w:rsid w:val="00523F2A"/>
    <w:rsid w:val="00552B39"/>
    <w:rsid w:val="005812BC"/>
    <w:rsid w:val="00604F3B"/>
    <w:rsid w:val="00674301"/>
    <w:rsid w:val="00684B2F"/>
    <w:rsid w:val="00687801"/>
    <w:rsid w:val="006A1759"/>
    <w:rsid w:val="006E1A8F"/>
    <w:rsid w:val="006F119E"/>
    <w:rsid w:val="006F2C50"/>
    <w:rsid w:val="0071742C"/>
    <w:rsid w:val="007378E2"/>
    <w:rsid w:val="00777C2C"/>
    <w:rsid w:val="00790E9A"/>
    <w:rsid w:val="00794827"/>
    <w:rsid w:val="007E2CFF"/>
    <w:rsid w:val="007E5B65"/>
    <w:rsid w:val="008141C8"/>
    <w:rsid w:val="00824F19"/>
    <w:rsid w:val="008471F4"/>
    <w:rsid w:val="00855196"/>
    <w:rsid w:val="00876375"/>
    <w:rsid w:val="00891ABC"/>
    <w:rsid w:val="008C478B"/>
    <w:rsid w:val="00932854"/>
    <w:rsid w:val="009537D3"/>
    <w:rsid w:val="00961916"/>
    <w:rsid w:val="0098276D"/>
    <w:rsid w:val="009E1DE4"/>
    <w:rsid w:val="00A4413C"/>
    <w:rsid w:val="00A92104"/>
    <w:rsid w:val="00AA0091"/>
    <w:rsid w:val="00B40843"/>
    <w:rsid w:val="00BA2FD0"/>
    <w:rsid w:val="00BD4CDC"/>
    <w:rsid w:val="00C355E2"/>
    <w:rsid w:val="00C9445A"/>
    <w:rsid w:val="00CA7D08"/>
    <w:rsid w:val="00CB5E81"/>
    <w:rsid w:val="00CF68A6"/>
    <w:rsid w:val="00D049DA"/>
    <w:rsid w:val="00D21076"/>
    <w:rsid w:val="00D24B7A"/>
    <w:rsid w:val="00D41ACD"/>
    <w:rsid w:val="00D75C56"/>
    <w:rsid w:val="00D867A4"/>
    <w:rsid w:val="00E212B3"/>
    <w:rsid w:val="00E34C39"/>
    <w:rsid w:val="00E744B9"/>
    <w:rsid w:val="00E87526"/>
    <w:rsid w:val="00EB3143"/>
    <w:rsid w:val="00EC1CB7"/>
    <w:rsid w:val="00EE0C55"/>
    <w:rsid w:val="00F46F46"/>
    <w:rsid w:val="00F71C5B"/>
    <w:rsid w:val="00FB1E22"/>
    <w:rsid w:val="00FD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630A"/>
  <w15:chartTrackingRefBased/>
  <w15:docId w15:val="{CB656695-AF17-4E54-9BDF-E709EA81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34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404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04D5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qFormat/>
    <w:rsid w:val="00FB1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FB1E22"/>
  </w:style>
  <w:style w:type="character" w:styleId="a7">
    <w:name w:val="Hyperlink"/>
    <w:basedOn w:val="a0"/>
    <w:uiPriority w:val="99"/>
    <w:semiHidden/>
    <w:unhideWhenUsed/>
    <w:rsid w:val="00FB1E22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68780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87801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68780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87801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687801"/>
    <w:rPr>
      <w:b/>
      <w:bCs/>
      <w:sz w:val="20"/>
      <w:szCs w:val="20"/>
    </w:rPr>
  </w:style>
  <w:style w:type="character" w:customStyle="1" w:styleId="contentpasted2">
    <w:name w:val="contentpasted2"/>
    <w:basedOn w:val="a0"/>
    <w:rsid w:val="00C9445A"/>
  </w:style>
  <w:style w:type="character" w:customStyle="1" w:styleId="rvts9">
    <w:name w:val="rvts9"/>
    <w:basedOn w:val="a0"/>
    <w:rsid w:val="00C9445A"/>
  </w:style>
  <w:style w:type="character" w:customStyle="1" w:styleId="rvts37">
    <w:name w:val="rvts37"/>
    <w:basedOn w:val="a0"/>
    <w:rsid w:val="00C9445A"/>
  </w:style>
  <w:style w:type="paragraph" w:customStyle="1" w:styleId="rvps7">
    <w:name w:val="rvps7"/>
    <w:basedOn w:val="a"/>
    <w:rsid w:val="00321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21476"/>
  </w:style>
  <w:style w:type="paragraph" w:customStyle="1" w:styleId="Default">
    <w:name w:val="Default"/>
    <w:rsid w:val="00247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600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59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90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563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5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15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7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46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8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05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474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7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24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28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v0307874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v0307874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8F2F7EF-8F6B-44D1-B02C-B09C1941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9436</Words>
  <Characters>5380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Ukrenergo</Company>
  <LinksUpToDate>false</LinksUpToDate>
  <CharactersWithSpaces>14787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Мотовиловець Олександр Сергійович</dc:creator>
  <cp:keywords/>
  <dc:description/>
  <cp:lastModifiedBy>Анжеліка Безкоровайна</cp:lastModifiedBy>
  <cp:revision>80</cp:revision>
  <cp:lastPrinted>2021-10-18T14:04:00Z</cp:lastPrinted>
  <dcterms:created xsi:type="dcterms:W3CDTF">2024-09-24T13:15:00Z</dcterms:created>
  <dcterms:modified xsi:type="dcterms:W3CDTF">2025-02-26T08:04:00Z</dcterms:modified>
</cp:coreProperties>
</file>