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B97" w:rsidRPr="003B1B53" w:rsidRDefault="00FC0B97" w:rsidP="00FC0B97">
      <w:pPr>
        <w:jc w:val="center"/>
        <w:rPr>
          <w:i/>
          <w:sz w:val="28"/>
          <w:szCs w:val="28"/>
          <w:lang w:val="uk-UA"/>
        </w:rPr>
      </w:pPr>
      <w:r w:rsidRPr="003B1B53">
        <w:rPr>
          <w:i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57F95823" wp14:editId="13B72AB5">
                <wp:extent cx="431800" cy="612140"/>
                <wp:effectExtent l="0" t="3175" r="0" b="3810"/>
                <wp:docPr id="1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115778A7" id="Полотно 2" o:spid="_x0000_s1026" editas="canvas" style="width:34pt;height:48.2pt;mso-position-horizontal-relative:char;mso-position-vertical-relative:line" coordsize="4318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lsEIPbAAAAAwEAAA8AAABkcnMv&#10;ZG93bnJldi54bWxMj0FLxDAQhe+C/yGM4EXcdHUttTZdRBBE8LC7CntMm7GpJpPSpLv13zt60cuD&#10;xxve+6Zaz96JA46xD6RguchAILXB9NQpeN09XhYgYtJktAuECr4wwro+Pal0acKRNnjYpk5wCcVS&#10;K7ApDaWUsbXodVyEAYmz9zB6ndiOnTSjPnK5d/Iqy3LpdU+8YPWADxbbz+3kFTy3+cXHspn2vnh5&#10;s9c3bv+Udiulzs/m+zsQCef0dww/+IwONTM1YSIThVPAj6Rf5Swv2DUKbvMVyLqS/9nrb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ZbBCD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3B1B53">
        <w:rPr>
          <w:i/>
          <w:sz w:val="28"/>
          <w:szCs w:val="28"/>
          <w:lang w:val="uk-UA"/>
        </w:rPr>
        <w:t xml:space="preserve">                                 </w:t>
      </w:r>
      <w:r w:rsidRPr="003B1B53">
        <w:rPr>
          <w:noProof/>
          <w:sz w:val="20"/>
          <w:lang w:val="uk-UA" w:eastAsia="uk-UA"/>
        </w:rPr>
        <w:drawing>
          <wp:inline distT="0" distB="0" distL="0" distR="0" wp14:anchorId="74EE1C1F" wp14:editId="6DB9BE34">
            <wp:extent cx="504825" cy="704850"/>
            <wp:effectExtent l="0" t="0" r="9525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B53">
        <w:rPr>
          <w:i/>
          <w:sz w:val="28"/>
          <w:szCs w:val="28"/>
          <w:lang w:val="uk-UA"/>
        </w:rPr>
        <w:t xml:space="preserve">            </w:t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</w:p>
    <w:p w:rsidR="00FC0B97" w:rsidRPr="003B1B53" w:rsidRDefault="00FC0B97" w:rsidP="00FC0B97">
      <w:pPr>
        <w:jc w:val="center"/>
        <w:rPr>
          <w:rFonts w:ascii="Academy" w:hAnsi="Academy"/>
          <w:b/>
          <w:lang w:val="uk-UA"/>
        </w:rPr>
      </w:pP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</w:t>
      </w: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ТА КОМУНАЛЬНИХ ПОСЛУГ</w:t>
      </w: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(НКРЕКП)</w:t>
      </w:r>
    </w:p>
    <w:p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:rsidR="00FC0B97" w:rsidRPr="003B1B53" w:rsidRDefault="00FC0B97" w:rsidP="00FC0B97">
      <w:pPr>
        <w:pStyle w:val="a5"/>
        <w:jc w:val="center"/>
        <w:rPr>
          <w:b/>
          <w:bCs/>
          <w:sz w:val="32"/>
          <w:szCs w:val="32"/>
          <w:lang w:val="uk-UA"/>
        </w:rPr>
      </w:pPr>
      <w:r w:rsidRPr="003B1B53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:rsidTr="007036EC">
        <w:trPr>
          <w:tblCellSpacing w:w="22" w:type="dxa"/>
          <w:jc w:val="center"/>
        </w:trPr>
        <w:tc>
          <w:tcPr>
            <w:tcW w:w="1669" w:type="pct"/>
          </w:tcPr>
          <w:p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C0B97" w:rsidRPr="003B1B53" w:rsidRDefault="00FC0B97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bookmarkStart w:id="0" w:name="_Hlk189670220"/>
      <w:r w:rsidRPr="003B1B53">
        <w:rPr>
          <w:b w:val="0"/>
          <w:sz w:val="28"/>
          <w:szCs w:val="28"/>
          <w:lang w:val="uk-UA"/>
        </w:rPr>
        <w:t xml:space="preserve">Про </w:t>
      </w:r>
      <w:r w:rsidR="00E320B6">
        <w:rPr>
          <w:b w:val="0"/>
          <w:sz w:val="28"/>
          <w:szCs w:val="28"/>
          <w:lang w:val="uk-UA"/>
        </w:rPr>
        <w:t>здійснення заходів для цілей профілювання на ринку електричної енергії</w:t>
      </w:r>
    </w:p>
    <w:bookmarkEnd w:id="0"/>
    <w:p w:rsidR="00FC0B97" w:rsidRPr="003B1B53" w:rsidRDefault="00FC0B97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1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1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та </w:t>
      </w:r>
      <w:r w:rsidRPr="003B1B53">
        <w:rPr>
          <w:sz w:val="28"/>
          <w:szCs w:val="28"/>
          <w:lang w:val="uk-UA"/>
        </w:rPr>
        <w:t>з метою створення умов для формування, накопичення та використання необхідної інформації для розробки типових профілів споживання електричної енергії, а також автоматизації процедур профілювання даних комерційного обліку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:rsidR="00FC0B97" w:rsidRPr="003B1B53" w:rsidRDefault="00FC0B97" w:rsidP="00FC0B97">
      <w:pPr>
        <w:pStyle w:val="a5"/>
        <w:ind w:firstLine="708"/>
        <w:rPr>
          <w:bCs/>
          <w:sz w:val="28"/>
          <w:szCs w:val="28"/>
          <w:lang w:val="uk-UA"/>
        </w:rPr>
      </w:pPr>
      <w:r w:rsidRPr="003B1B53">
        <w:rPr>
          <w:bCs/>
          <w:sz w:val="28"/>
          <w:szCs w:val="28"/>
          <w:lang w:val="uk-UA"/>
        </w:rPr>
        <w:t>1. Операторам систем розподілу (далі – ОСР):</w:t>
      </w:r>
    </w:p>
    <w:p w:rsidR="00FC0B97" w:rsidRPr="003B1B53" w:rsidRDefault="00FC0B97" w:rsidP="00FC0B97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3B1B53">
        <w:rPr>
          <w:bCs/>
          <w:sz w:val="28"/>
          <w:szCs w:val="28"/>
          <w:lang w:val="uk-UA"/>
        </w:rPr>
        <w:t xml:space="preserve">1) до 15 </w:t>
      </w:r>
      <w:r w:rsidR="000A03CE">
        <w:rPr>
          <w:bCs/>
          <w:sz w:val="28"/>
          <w:szCs w:val="28"/>
          <w:lang w:val="uk-UA"/>
        </w:rPr>
        <w:t>квітня</w:t>
      </w:r>
      <w:r w:rsidRPr="003B1B53">
        <w:rPr>
          <w:bCs/>
          <w:sz w:val="28"/>
          <w:szCs w:val="28"/>
          <w:lang w:val="uk-UA"/>
        </w:rPr>
        <w:t xml:space="preserve"> 2025 року забезпечити </w:t>
      </w:r>
      <w:bookmarkStart w:id="2" w:name="_Hlk189669608"/>
      <w:r w:rsidRPr="003B1B53">
        <w:rPr>
          <w:bCs/>
          <w:sz w:val="28"/>
          <w:szCs w:val="28"/>
          <w:lang w:val="uk-UA"/>
        </w:rPr>
        <w:t>класифікацію площадок комерційного обліку побутових споживачів з однорідними моделями споживання</w:t>
      </w:r>
      <w:bookmarkEnd w:id="2"/>
      <w:r w:rsidRPr="003B1B53">
        <w:rPr>
          <w:bCs/>
          <w:sz w:val="28"/>
          <w:szCs w:val="28"/>
          <w:lang w:val="uk-UA"/>
        </w:rPr>
        <w:t xml:space="preserve"> у межах домену обліку ОСР </w:t>
      </w:r>
      <w:r w:rsidR="00E36B5E">
        <w:rPr>
          <w:bCs/>
          <w:sz w:val="28"/>
          <w:szCs w:val="28"/>
          <w:lang w:val="uk-UA"/>
        </w:rPr>
        <w:t xml:space="preserve">згідно з додатком, </w:t>
      </w:r>
      <w:r w:rsidR="00E36B5E" w:rsidRPr="00007E3D">
        <w:rPr>
          <w:bCs/>
          <w:sz w:val="28"/>
          <w:szCs w:val="28"/>
          <w:lang w:val="uk-UA"/>
        </w:rPr>
        <w:t>що додається;</w:t>
      </w:r>
    </w:p>
    <w:p w:rsidR="00FC0B97" w:rsidRPr="003B1B53" w:rsidRDefault="00FC0B97" w:rsidP="00FC0B97">
      <w:pPr>
        <w:rPr>
          <w:sz w:val="28"/>
          <w:szCs w:val="28"/>
          <w:lang w:val="uk-UA"/>
        </w:rPr>
      </w:pPr>
    </w:p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ab/>
        <w:t xml:space="preserve">2) до </w:t>
      </w:r>
      <w:r w:rsidR="001C5DE5" w:rsidRPr="003B1B53">
        <w:rPr>
          <w:sz w:val="28"/>
          <w:szCs w:val="28"/>
          <w:lang w:val="uk-UA"/>
        </w:rPr>
        <w:t xml:space="preserve">01 </w:t>
      </w:r>
      <w:r w:rsidR="000A03CE">
        <w:rPr>
          <w:sz w:val="28"/>
          <w:szCs w:val="28"/>
          <w:lang w:val="uk-UA"/>
        </w:rPr>
        <w:t>травня</w:t>
      </w:r>
      <w:r w:rsidRPr="003B1B53">
        <w:rPr>
          <w:sz w:val="28"/>
          <w:szCs w:val="28"/>
          <w:lang w:val="uk-UA"/>
        </w:rPr>
        <w:t xml:space="preserve"> 2025 року </w:t>
      </w:r>
      <w:proofErr w:type="spellStart"/>
      <w:r w:rsidRPr="003B1B53">
        <w:rPr>
          <w:sz w:val="28"/>
          <w:szCs w:val="28"/>
          <w:lang w:val="uk-UA"/>
        </w:rPr>
        <w:t>внести</w:t>
      </w:r>
      <w:proofErr w:type="spellEnd"/>
      <w:r w:rsidRPr="003B1B53">
        <w:rPr>
          <w:sz w:val="28"/>
          <w:szCs w:val="28"/>
          <w:lang w:val="uk-UA"/>
        </w:rPr>
        <w:t xml:space="preserve"> до централізованого реєстру точок комерційного обліку (далі – ТКО)</w:t>
      </w:r>
      <w:r w:rsidR="000A0CC3" w:rsidRPr="003B1B53">
        <w:rPr>
          <w:sz w:val="28"/>
          <w:szCs w:val="28"/>
          <w:lang w:val="uk-UA"/>
        </w:rPr>
        <w:t xml:space="preserve"> центральної інформаційно-комунікаційної платформи Датахаб</w:t>
      </w:r>
      <w:r w:rsidRPr="003B1B53">
        <w:rPr>
          <w:sz w:val="28"/>
          <w:szCs w:val="28"/>
          <w:lang w:val="uk-UA"/>
        </w:rPr>
        <w:t xml:space="preserve"> </w:t>
      </w:r>
      <w:r w:rsidR="000A0CC3" w:rsidRPr="003B1B53">
        <w:rPr>
          <w:sz w:val="28"/>
          <w:szCs w:val="28"/>
          <w:lang w:val="uk-UA"/>
        </w:rPr>
        <w:t xml:space="preserve">(далі – </w:t>
      </w:r>
      <w:r w:rsidRPr="003B1B53">
        <w:rPr>
          <w:sz w:val="28"/>
          <w:szCs w:val="28"/>
          <w:lang w:val="uk-UA"/>
        </w:rPr>
        <w:t>Датахаб</w:t>
      </w:r>
      <w:r w:rsidR="000A0CC3" w:rsidRPr="003B1B53">
        <w:rPr>
          <w:sz w:val="28"/>
          <w:szCs w:val="28"/>
          <w:lang w:val="uk-UA"/>
        </w:rPr>
        <w:t>)</w:t>
      </w:r>
      <w:r w:rsidRPr="003B1B53">
        <w:rPr>
          <w:sz w:val="28"/>
          <w:szCs w:val="28"/>
          <w:lang w:val="uk-UA"/>
        </w:rPr>
        <w:t xml:space="preserve"> основні дані щодо референтних площадок комерційного обліку відповідно до регламентів</w:t>
      </w:r>
      <w:r w:rsidR="00D70EFE" w:rsidRPr="003B1B53">
        <w:rPr>
          <w:sz w:val="28"/>
          <w:szCs w:val="28"/>
          <w:lang w:val="uk-UA"/>
        </w:rPr>
        <w:t xml:space="preserve"> </w:t>
      </w:r>
      <w:r w:rsidR="00D70EFE" w:rsidRPr="003B1B53">
        <w:rPr>
          <w:bCs/>
          <w:sz w:val="28"/>
          <w:szCs w:val="28"/>
          <w:lang w:val="uk-UA"/>
        </w:rPr>
        <w:t xml:space="preserve">та протоколів інформаційної взаємодії учасників ринку щодо обміну даними комерційного обліку через </w:t>
      </w:r>
      <w:bookmarkStart w:id="3" w:name="_Hlk188373244"/>
      <w:r w:rsidRPr="003B1B53">
        <w:rPr>
          <w:sz w:val="28"/>
          <w:szCs w:val="28"/>
          <w:lang w:val="uk-UA"/>
        </w:rPr>
        <w:t>Датахаб</w:t>
      </w:r>
      <w:bookmarkEnd w:id="3"/>
      <w:r w:rsidR="00635152" w:rsidRPr="003B1B53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  <w:r w:rsidR="00D70EFE" w:rsidRPr="003B1B53">
        <w:rPr>
          <w:sz w:val="28"/>
          <w:szCs w:val="28"/>
          <w:lang w:val="uk-UA"/>
        </w:rPr>
        <w:t xml:space="preserve">розроблених </w:t>
      </w:r>
      <w:r w:rsidR="00CA21A9" w:rsidRPr="003B1B53">
        <w:rPr>
          <w:sz w:val="28"/>
          <w:szCs w:val="28"/>
          <w:lang w:val="uk-UA"/>
        </w:rPr>
        <w:t>адміністратор</w:t>
      </w:r>
      <w:r w:rsidR="00D70EFE" w:rsidRPr="003B1B53">
        <w:rPr>
          <w:sz w:val="28"/>
          <w:szCs w:val="28"/>
          <w:lang w:val="uk-UA"/>
        </w:rPr>
        <w:t>ом</w:t>
      </w:r>
      <w:r w:rsidR="00CA21A9" w:rsidRPr="003B1B53">
        <w:rPr>
          <w:sz w:val="28"/>
          <w:szCs w:val="28"/>
          <w:lang w:val="uk-UA"/>
        </w:rPr>
        <w:t xml:space="preserve"> комерційного обліку</w:t>
      </w:r>
      <w:r w:rsidR="00E36B5E">
        <w:rPr>
          <w:sz w:val="28"/>
          <w:szCs w:val="28"/>
          <w:lang w:val="uk-UA"/>
        </w:rPr>
        <w:t>;</w:t>
      </w:r>
    </w:p>
    <w:p w:rsidR="00CA21A9" w:rsidRPr="003B1B53" w:rsidRDefault="00CA21A9" w:rsidP="00FC0B97">
      <w:pPr>
        <w:jc w:val="both"/>
        <w:rPr>
          <w:sz w:val="28"/>
          <w:szCs w:val="28"/>
          <w:lang w:val="uk-UA"/>
        </w:rPr>
      </w:pPr>
    </w:p>
    <w:p w:rsidR="00CA21A9" w:rsidRPr="003B1B53" w:rsidRDefault="00CA21A9" w:rsidP="00FC0B97">
      <w:pPr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lastRenderedPageBreak/>
        <w:tab/>
        <w:t xml:space="preserve">3) </w:t>
      </w:r>
      <w:r w:rsidR="00B94E4B" w:rsidRPr="003B1B53">
        <w:rPr>
          <w:sz w:val="28"/>
          <w:szCs w:val="28"/>
          <w:lang w:val="uk-UA"/>
        </w:rPr>
        <w:t xml:space="preserve">з 01 </w:t>
      </w:r>
      <w:r w:rsidR="000A03CE">
        <w:rPr>
          <w:sz w:val="28"/>
          <w:szCs w:val="28"/>
          <w:lang w:val="uk-UA"/>
        </w:rPr>
        <w:t>травня</w:t>
      </w:r>
      <w:r w:rsidR="00B94E4B" w:rsidRPr="003B1B53">
        <w:rPr>
          <w:sz w:val="28"/>
          <w:szCs w:val="28"/>
          <w:lang w:val="uk-UA"/>
        </w:rPr>
        <w:t xml:space="preserve"> 2025 року забезпечити автоматизоване зчитування, формування та щодобову передачу до Датахаб погодинних даних комерційного обліку з усіх референтних ТКО.</w:t>
      </w:r>
    </w:p>
    <w:p w:rsidR="00B94E4B" w:rsidRPr="003B1B53" w:rsidRDefault="00B94E4B" w:rsidP="00FC0B97">
      <w:pPr>
        <w:jc w:val="both"/>
        <w:rPr>
          <w:sz w:val="28"/>
          <w:szCs w:val="28"/>
          <w:lang w:val="uk-UA"/>
        </w:rPr>
      </w:pPr>
    </w:p>
    <w:p w:rsidR="00B94E4B" w:rsidRPr="003B1B53" w:rsidRDefault="00B94E4B" w:rsidP="00B94E4B">
      <w:pPr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ab/>
        <w:t>2.</w:t>
      </w:r>
      <w:r w:rsidR="00E36B5E">
        <w:rPr>
          <w:sz w:val="28"/>
          <w:szCs w:val="28"/>
          <w:lang w:val="uk-UA"/>
        </w:rPr>
        <w:t xml:space="preserve"> Адміністратору комерційного обліку</w:t>
      </w:r>
      <w:r w:rsidRPr="003B1B53">
        <w:rPr>
          <w:sz w:val="28"/>
          <w:szCs w:val="28"/>
          <w:lang w:val="uk-UA"/>
        </w:rPr>
        <w:t xml:space="preserve"> забезпечити:</w:t>
      </w:r>
    </w:p>
    <w:p w:rsidR="00B94E4B" w:rsidRPr="003B1B53" w:rsidRDefault="00B94E4B" w:rsidP="00B94E4B">
      <w:pPr>
        <w:jc w:val="both"/>
        <w:rPr>
          <w:sz w:val="28"/>
          <w:szCs w:val="28"/>
          <w:lang w:val="uk-UA"/>
        </w:rPr>
      </w:pPr>
    </w:p>
    <w:p w:rsidR="00B94E4B" w:rsidRPr="003B1B53" w:rsidRDefault="00B94E4B" w:rsidP="00B94E4B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1) </w:t>
      </w:r>
      <w:r w:rsidR="00535C38" w:rsidRPr="003B1B53">
        <w:rPr>
          <w:sz w:val="28"/>
          <w:szCs w:val="28"/>
          <w:lang w:val="uk-UA"/>
        </w:rPr>
        <w:t>до</w:t>
      </w:r>
      <w:r w:rsidRPr="003B1B53">
        <w:rPr>
          <w:sz w:val="28"/>
          <w:szCs w:val="28"/>
          <w:lang w:val="uk-UA"/>
        </w:rPr>
        <w:t xml:space="preserve"> </w:t>
      </w:r>
      <w:r w:rsidR="00535C38" w:rsidRPr="003B1B53">
        <w:rPr>
          <w:sz w:val="28"/>
          <w:szCs w:val="28"/>
          <w:lang w:val="uk-UA"/>
        </w:rPr>
        <w:t>01</w:t>
      </w:r>
      <w:r w:rsidRPr="003B1B53">
        <w:rPr>
          <w:sz w:val="28"/>
          <w:szCs w:val="28"/>
          <w:lang w:val="uk-UA"/>
        </w:rPr>
        <w:t xml:space="preserve"> </w:t>
      </w:r>
      <w:r w:rsidR="000A03CE">
        <w:rPr>
          <w:sz w:val="28"/>
          <w:szCs w:val="28"/>
          <w:lang w:val="uk-UA"/>
        </w:rPr>
        <w:t>травня</w:t>
      </w:r>
      <w:r w:rsidRPr="003B1B53">
        <w:rPr>
          <w:sz w:val="28"/>
          <w:szCs w:val="28"/>
          <w:lang w:val="uk-UA"/>
        </w:rPr>
        <w:t xml:space="preserve"> 2025 року прийом до Датахаб основних даних комерційного обліку від ОСР для всіх референтних ТКО;</w:t>
      </w:r>
    </w:p>
    <w:p w:rsidR="00FD10B3" w:rsidRPr="003B1B53" w:rsidRDefault="00FD10B3" w:rsidP="00B94E4B">
      <w:pPr>
        <w:ind w:firstLine="708"/>
        <w:jc w:val="both"/>
        <w:rPr>
          <w:sz w:val="28"/>
          <w:szCs w:val="28"/>
          <w:lang w:val="uk-UA"/>
        </w:rPr>
      </w:pPr>
    </w:p>
    <w:p w:rsidR="00B94E4B" w:rsidRPr="003B1B53" w:rsidRDefault="00B94E4B" w:rsidP="00B94E4B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2) з 01 </w:t>
      </w:r>
      <w:r w:rsidR="000A03CE">
        <w:rPr>
          <w:sz w:val="28"/>
          <w:szCs w:val="28"/>
          <w:lang w:val="uk-UA"/>
        </w:rPr>
        <w:t>травня</w:t>
      </w:r>
      <w:r w:rsidRPr="003B1B53">
        <w:rPr>
          <w:sz w:val="28"/>
          <w:szCs w:val="28"/>
          <w:lang w:val="uk-UA"/>
        </w:rPr>
        <w:t xml:space="preserve"> 2025 року </w:t>
      </w:r>
      <w:bookmarkStart w:id="4" w:name="_Hlk186538075"/>
      <w:r w:rsidRPr="003B1B53">
        <w:rPr>
          <w:sz w:val="28"/>
          <w:szCs w:val="28"/>
          <w:lang w:val="uk-UA"/>
        </w:rPr>
        <w:t>прийом, збереження та накопичення погодинних даних комерційного обліку для цілей профілювання даних</w:t>
      </w:r>
      <w:bookmarkEnd w:id="4"/>
      <w:r w:rsidR="00BA1434" w:rsidRPr="003B1B53">
        <w:rPr>
          <w:sz w:val="28"/>
          <w:szCs w:val="28"/>
          <w:lang w:val="uk-UA"/>
        </w:rPr>
        <w:t>.</w:t>
      </w:r>
    </w:p>
    <w:p w:rsidR="00FC0B97" w:rsidRPr="003B1B53" w:rsidRDefault="00FC0B97" w:rsidP="00FC0B97">
      <w:pPr>
        <w:rPr>
          <w:sz w:val="28"/>
          <w:szCs w:val="28"/>
          <w:lang w:val="uk-UA"/>
        </w:rPr>
      </w:pPr>
    </w:p>
    <w:p w:rsidR="00B94E4B" w:rsidRPr="003B1B53" w:rsidRDefault="00B035DD" w:rsidP="00A237AA">
      <w:pPr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ab/>
      </w:r>
      <w:r w:rsidR="00E36B5E">
        <w:rPr>
          <w:sz w:val="28"/>
          <w:szCs w:val="28"/>
          <w:lang w:val="uk-UA"/>
        </w:rPr>
        <w:t xml:space="preserve">3. </w:t>
      </w:r>
      <w:r w:rsidR="00A237AA" w:rsidRPr="00A237AA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A237AA" w:rsidRPr="00A237AA">
        <w:rPr>
          <w:sz w:val="28"/>
          <w:szCs w:val="28"/>
          <w:lang w:val="uk-UA"/>
        </w:rPr>
        <w:t>вебсайті</w:t>
      </w:r>
      <w:proofErr w:type="spellEnd"/>
      <w:r w:rsidR="00A237AA" w:rsidRPr="00A237AA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94E4B" w:rsidRDefault="00B94E4B" w:rsidP="00FC0B97">
      <w:pPr>
        <w:rPr>
          <w:sz w:val="28"/>
          <w:szCs w:val="28"/>
          <w:lang w:val="uk-UA"/>
        </w:rPr>
      </w:pPr>
    </w:p>
    <w:p w:rsidR="00A237AA" w:rsidRDefault="00A237AA" w:rsidP="00FC0B97">
      <w:pPr>
        <w:rPr>
          <w:sz w:val="28"/>
          <w:szCs w:val="28"/>
          <w:lang w:val="uk-UA"/>
        </w:rPr>
      </w:pPr>
    </w:p>
    <w:p w:rsidR="00A237AA" w:rsidRPr="003B1B53" w:rsidRDefault="00A237AA" w:rsidP="00FC0B97">
      <w:pPr>
        <w:rPr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sz w:val="28"/>
          <w:szCs w:val="28"/>
          <w:lang w:val="uk-UA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FC0B97" w:rsidRPr="000F42FE" w:rsidRDefault="00FC0B97" w:rsidP="00FC0B97">
      <w:pPr>
        <w:pStyle w:val="a3"/>
        <w:rPr>
          <w:szCs w:val="28"/>
        </w:rPr>
      </w:pPr>
    </w:p>
    <w:p w:rsidR="00525FD5" w:rsidRDefault="00FC0B97" w:rsidP="00FC0B97">
      <w:pPr>
        <w:pStyle w:val="a3"/>
        <w:rPr>
          <w:szCs w:val="28"/>
        </w:rPr>
      </w:pPr>
      <w:r w:rsidRPr="000F42FE">
        <w:rPr>
          <w:szCs w:val="28"/>
        </w:rPr>
        <w:t xml:space="preserve"> </w:t>
      </w: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E36B5E" w:rsidRDefault="00E36B5E" w:rsidP="00FC0B97">
      <w:pPr>
        <w:pStyle w:val="a3"/>
        <w:rPr>
          <w:szCs w:val="28"/>
        </w:rPr>
      </w:pPr>
    </w:p>
    <w:p w:rsidR="00007E3D" w:rsidRDefault="00007E3D" w:rsidP="00E36B5E">
      <w:pPr>
        <w:pStyle w:val="a3"/>
        <w:ind w:firstLine="0"/>
        <w:rPr>
          <w:szCs w:val="28"/>
        </w:rPr>
      </w:pPr>
    </w:p>
    <w:p w:rsidR="00327671" w:rsidRDefault="00327671" w:rsidP="00327671">
      <w:pPr>
        <w:pStyle w:val="a3"/>
        <w:ind w:left="5664" w:firstLine="0"/>
        <w:rPr>
          <w:szCs w:val="28"/>
        </w:rPr>
      </w:pPr>
      <w:bookmarkStart w:id="5" w:name="_GoBack"/>
      <w:bookmarkEnd w:id="5"/>
      <w:r w:rsidRPr="002B451D">
        <w:rPr>
          <w:szCs w:val="28"/>
        </w:rPr>
        <w:lastRenderedPageBreak/>
        <w:t xml:space="preserve">Додаток </w:t>
      </w:r>
    </w:p>
    <w:p w:rsidR="00327671" w:rsidRPr="002B451D" w:rsidRDefault="00327671" w:rsidP="00327671">
      <w:pPr>
        <w:pStyle w:val="a3"/>
        <w:ind w:left="5664" w:firstLine="0"/>
        <w:rPr>
          <w:szCs w:val="28"/>
        </w:rPr>
      </w:pPr>
      <w:r w:rsidRPr="002B451D">
        <w:rPr>
          <w:szCs w:val="28"/>
        </w:rPr>
        <w:t>до постанови НКРЕКП</w:t>
      </w:r>
    </w:p>
    <w:p w:rsidR="00327671" w:rsidRPr="002B451D" w:rsidRDefault="00327671" w:rsidP="00327671">
      <w:pPr>
        <w:pStyle w:val="a3"/>
        <w:ind w:left="5664" w:firstLine="0"/>
        <w:rPr>
          <w:szCs w:val="28"/>
        </w:rPr>
      </w:pPr>
      <w:r>
        <w:rPr>
          <w:szCs w:val="28"/>
        </w:rPr>
        <w:t xml:space="preserve">   </w:t>
      </w:r>
      <w:r w:rsidRPr="002B451D">
        <w:rPr>
          <w:szCs w:val="28"/>
        </w:rPr>
        <w:t>.</w:t>
      </w:r>
      <w:r>
        <w:rPr>
          <w:szCs w:val="28"/>
        </w:rPr>
        <w:t xml:space="preserve">   </w:t>
      </w:r>
      <w:r w:rsidRPr="002B451D">
        <w:rPr>
          <w:szCs w:val="28"/>
        </w:rPr>
        <w:t xml:space="preserve">.2025 № </w:t>
      </w: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jc w:val="center"/>
        <w:rPr>
          <w:b/>
          <w:szCs w:val="28"/>
        </w:rPr>
      </w:pPr>
      <w:r w:rsidRPr="002B451D">
        <w:rPr>
          <w:b/>
          <w:bCs/>
          <w:szCs w:val="28"/>
        </w:rPr>
        <w:t>Класифікація площадок комерційного обліку побутових споживачів з однорідними моделями споживання</w:t>
      </w:r>
    </w:p>
    <w:p w:rsidR="00327671" w:rsidRPr="002B451D" w:rsidRDefault="00327671" w:rsidP="00327671">
      <w:pPr>
        <w:pStyle w:val="a3"/>
        <w:rPr>
          <w:szCs w:val="28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4283"/>
        <w:gridCol w:w="2724"/>
        <w:gridCol w:w="1904"/>
      </w:tblGrid>
      <w:tr w:rsidR="00327671" w:rsidRPr="002B451D" w:rsidTr="00F30606">
        <w:trPr>
          <w:trHeight w:val="227"/>
          <w:tblHeader/>
          <w:tblCellSpacing w:w="15" w:type="dxa"/>
          <w:jc w:val="center"/>
        </w:trPr>
        <w:tc>
          <w:tcPr>
            <w:tcW w:w="659" w:type="dxa"/>
            <w:vMerge w:val="restart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  <w:r w:rsidRPr="002B451D">
              <w:rPr>
                <w:b/>
                <w:bCs/>
                <w:lang w:val="uk-UA" w:eastAsia="uk-UA"/>
              </w:rPr>
              <w:t xml:space="preserve">№ </w:t>
            </w:r>
            <w:r w:rsidRPr="002B451D">
              <w:rPr>
                <w:b/>
                <w:bCs/>
                <w:lang w:val="uk-UA" w:eastAsia="uk-UA"/>
              </w:rPr>
              <w:br/>
              <w:t>з/п</w:t>
            </w:r>
          </w:p>
        </w:tc>
        <w:tc>
          <w:tcPr>
            <w:tcW w:w="4253" w:type="dxa"/>
            <w:vMerge w:val="restart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  <w:r w:rsidRPr="002B451D">
              <w:rPr>
                <w:b/>
                <w:bCs/>
                <w:lang w:val="uk-UA" w:eastAsia="uk-UA"/>
              </w:rPr>
              <w:t>Групи площадок комерційного обліку споживачів</w:t>
            </w:r>
          </w:p>
        </w:tc>
        <w:tc>
          <w:tcPr>
            <w:tcW w:w="4583" w:type="dxa"/>
            <w:gridSpan w:val="2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  <w:r w:rsidRPr="002B451D">
              <w:rPr>
                <w:b/>
                <w:bCs/>
                <w:lang w:val="uk-UA" w:eastAsia="uk-UA"/>
              </w:rPr>
              <w:t xml:space="preserve">Обладнані </w:t>
            </w:r>
          </w:p>
        </w:tc>
      </w:tr>
      <w:tr w:rsidR="00327671" w:rsidRPr="002B451D" w:rsidTr="00F30606">
        <w:trPr>
          <w:trHeight w:val="593"/>
          <w:tblHeader/>
          <w:tblCellSpacing w:w="15" w:type="dxa"/>
          <w:jc w:val="center"/>
        </w:trPr>
        <w:tc>
          <w:tcPr>
            <w:tcW w:w="659" w:type="dxa"/>
            <w:vMerge/>
            <w:vAlign w:val="center"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4253" w:type="dxa"/>
            <w:vMerge/>
            <w:vAlign w:val="center"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2694" w:type="dxa"/>
            <w:vAlign w:val="center"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  <w:proofErr w:type="spellStart"/>
            <w:r w:rsidRPr="002B451D">
              <w:rPr>
                <w:b/>
                <w:bCs/>
                <w:lang w:val="uk-UA" w:eastAsia="uk-UA"/>
              </w:rPr>
              <w:t>електроопалювальними</w:t>
            </w:r>
            <w:proofErr w:type="spellEnd"/>
            <w:r w:rsidRPr="002B451D">
              <w:rPr>
                <w:b/>
                <w:bCs/>
                <w:lang w:val="uk-UA" w:eastAsia="uk-UA"/>
              </w:rPr>
              <w:t xml:space="preserve"> установками</w:t>
            </w:r>
          </w:p>
        </w:tc>
        <w:tc>
          <w:tcPr>
            <w:tcW w:w="1859" w:type="dxa"/>
            <w:vAlign w:val="center"/>
          </w:tcPr>
          <w:p w:rsidR="00327671" w:rsidRPr="002B451D" w:rsidRDefault="00327671" w:rsidP="00F30606">
            <w:pPr>
              <w:contextualSpacing/>
              <w:jc w:val="center"/>
              <w:rPr>
                <w:b/>
                <w:bCs/>
                <w:lang w:val="uk-UA" w:eastAsia="uk-UA"/>
              </w:rPr>
            </w:pPr>
            <w:r w:rsidRPr="002B451D">
              <w:rPr>
                <w:b/>
                <w:bCs/>
                <w:lang w:val="uk-UA" w:eastAsia="uk-UA"/>
              </w:rPr>
              <w:t>електроплитами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1</w:t>
            </w:r>
          </w:p>
        </w:tc>
        <w:tc>
          <w:tcPr>
            <w:tcW w:w="4253" w:type="dxa"/>
            <w:vMerge w:val="restart"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Квартири у багатоквартирних (багатоповерхових) будинках</w:t>
            </w: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2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3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4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5</w:t>
            </w:r>
          </w:p>
        </w:tc>
        <w:tc>
          <w:tcPr>
            <w:tcW w:w="4253" w:type="dxa"/>
            <w:vMerge w:val="restart"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Приватні домогосподарства</w:t>
            </w: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6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7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Ні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</w:tr>
      <w:tr w:rsidR="00327671" w:rsidRPr="002B451D" w:rsidTr="00F30606">
        <w:trPr>
          <w:tblCellSpacing w:w="15" w:type="dxa"/>
          <w:jc w:val="center"/>
        </w:trPr>
        <w:tc>
          <w:tcPr>
            <w:tcW w:w="6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8</w:t>
            </w:r>
          </w:p>
        </w:tc>
        <w:tc>
          <w:tcPr>
            <w:tcW w:w="4253" w:type="dxa"/>
            <w:vMerge/>
            <w:vAlign w:val="center"/>
            <w:hideMark/>
          </w:tcPr>
          <w:p w:rsidR="00327671" w:rsidRPr="002B451D" w:rsidRDefault="00327671" w:rsidP="00F30606">
            <w:pPr>
              <w:contextualSpacing/>
              <w:rPr>
                <w:lang w:val="uk-UA" w:eastAsia="uk-UA"/>
              </w:rPr>
            </w:pPr>
          </w:p>
        </w:tc>
        <w:tc>
          <w:tcPr>
            <w:tcW w:w="2694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  <w:tc>
          <w:tcPr>
            <w:tcW w:w="1859" w:type="dxa"/>
            <w:vAlign w:val="center"/>
            <w:hideMark/>
          </w:tcPr>
          <w:p w:rsidR="00327671" w:rsidRPr="002B451D" w:rsidRDefault="00327671" w:rsidP="00F30606">
            <w:pPr>
              <w:contextualSpacing/>
              <w:jc w:val="center"/>
              <w:rPr>
                <w:lang w:val="uk-UA" w:eastAsia="uk-UA"/>
              </w:rPr>
            </w:pPr>
            <w:r w:rsidRPr="002B451D">
              <w:rPr>
                <w:lang w:val="uk-UA" w:eastAsia="uk-UA"/>
              </w:rPr>
              <w:t>Так</w:t>
            </w:r>
          </w:p>
        </w:tc>
      </w:tr>
    </w:tbl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ind w:firstLine="708"/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>У кожній підгрупі:</w:t>
      </w:r>
    </w:p>
    <w:p w:rsidR="00327671" w:rsidRPr="002B451D" w:rsidRDefault="00327671" w:rsidP="00327671">
      <w:pPr>
        <w:ind w:firstLine="708"/>
        <w:jc w:val="both"/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 xml:space="preserve">виділити репрезентативні вибірки випадково розподілених між </w:t>
      </w:r>
      <w:proofErr w:type="spellStart"/>
      <w:r w:rsidRPr="002B451D">
        <w:rPr>
          <w:sz w:val="28"/>
          <w:szCs w:val="28"/>
          <w:lang w:val="uk-UA"/>
        </w:rPr>
        <w:t>енерговузлами</w:t>
      </w:r>
      <w:proofErr w:type="spellEnd"/>
      <w:r w:rsidRPr="002B451D">
        <w:rPr>
          <w:sz w:val="28"/>
          <w:szCs w:val="28"/>
          <w:lang w:val="uk-UA"/>
        </w:rPr>
        <w:t xml:space="preserve"> ОСР референтних площадок комерційного обліку, обладнаних інтелектуальними лічильниками із щодобовим дистанційним зчитуванням погодинних даних споживання;</w:t>
      </w:r>
    </w:p>
    <w:p w:rsidR="00327671" w:rsidRPr="002B451D" w:rsidRDefault="00327671" w:rsidP="00327671">
      <w:pPr>
        <w:ind w:firstLine="708"/>
        <w:jc w:val="both"/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>забезпечити незмінну кількість площадок у репрезентативних вибірках у разі виходу окремих площадок із їх складу, зокрема з причини зміни їх технічних характеристик.</w:t>
      </w:r>
    </w:p>
    <w:p w:rsidR="00327671" w:rsidRPr="002B451D" w:rsidRDefault="00327671" w:rsidP="00327671">
      <w:pPr>
        <w:ind w:firstLine="708"/>
        <w:jc w:val="both"/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>Кількість референтних площадок комерційного обліку (n) у кожній підгрупі визначається у цілих числах за формулою</w:t>
      </w:r>
    </w:p>
    <w:p w:rsidR="00327671" w:rsidRPr="002B451D" w:rsidRDefault="00327671" w:rsidP="00327671">
      <w:pPr>
        <w:jc w:val="both"/>
        <w:outlineLvl w:val="3"/>
        <w:rPr>
          <w:lang w:val="uk-UA" w:eastAsia="uk-UA"/>
        </w:rPr>
      </w:pPr>
      <m:oMathPara>
        <m:oMath>
          <m:r>
            <w:rPr>
              <w:rFonts w:ascii="Cambria Math" w:hAnsi="Cambria Math"/>
              <w:lang w:val="uk-UA" w:eastAsia="uk-UA"/>
            </w:rPr>
            <m:t>n=</m:t>
          </m:r>
          <m:f>
            <m:fPr>
              <m:ctrlPr>
                <w:rPr>
                  <w:rFonts w:ascii="Cambria Math" w:hAnsi="Cambria Math"/>
                  <w:i/>
                  <w:lang w:val="uk-UA" w:eastAsia="uk-UA"/>
                </w:rPr>
              </m:ctrlPr>
            </m:fPr>
            <m:num>
              <m:r>
                <w:rPr>
                  <w:rFonts w:ascii="Cambria Math" w:hAnsi="Cambria Math"/>
                  <w:lang w:val="uk-UA" w:eastAsia="uk-UA"/>
                </w:rPr>
                <m:t>1</m:t>
              </m:r>
            </m:num>
            <m:den>
              <m:r>
                <w:rPr>
                  <w:rFonts w:ascii="Cambria Math" w:hAnsi="Cambria Math"/>
                  <w:lang w:val="uk-UA" w:eastAsia="uk-UA"/>
                </w:rPr>
                <m:t>0,00133+</m:t>
              </m:r>
              <m:f>
                <m:fPr>
                  <m:ctrlPr>
                    <w:rPr>
                      <w:rFonts w:ascii="Cambria Math" w:hAnsi="Cambria Math"/>
                      <w:i/>
                      <w:lang w:val="uk-UA" w:eastAsia="uk-U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uk-UA" w:eastAsia="uk-U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uk-UA" w:eastAsia="uk-UA"/>
                    </w:rPr>
                    <m:t>N</m:t>
                  </m:r>
                </m:den>
              </m:f>
            </m:den>
          </m:f>
          <m:r>
            <w:rPr>
              <w:rFonts w:ascii="Cambria Math" w:hAnsi="Cambria Math"/>
              <w:lang w:val="uk-UA" w:eastAsia="uk-UA"/>
            </w:rPr>
            <m:t>,</m:t>
          </m:r>
        </m:oMath>
      </m:oMathPara>
    </w:p>
    <w:p w:rsidR="00327671" w:rsidRPr="002B451D" w:rsidRDefault="00327671" w:rsidP="00327671">
      <w:pPr>
        <w:ind w:firstLine="708"/>
        <w:jc w:val="both"/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>де N – загальна кількість площадок комерційного обліку у відповідній підгрупі.</w:t>
      </w: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</w:p>
    <w:p w:rsidR="00327671" w:rsidRPr="002B451D" w:rsidRDefault="00327671" w:rsidP="00327671">
      <w:pPr>
        <w:pStyle w:val="a3"/>
        <w:ind w:firstLine="0"/>
        <w:rPr>
          <w:szCs w:val="28"/>
        </w:rPr>
      </w:pPr>
      <w:r w:rsidRPr="002B451D">
        <w:rPr>
          <w:szCs w:val="28"/>
        </w:rPr>
        <w:t xml:space="preserve">Директор Департаменту із </w:t>
      </w:r>
    </w:p>
    <w:p w:rsidR="00327671" w:rsidRPr="00327671" w:rsidRDefault="00327671" w:rsidP="00327671">
      <w:pPr>
        <w:rPr>
          <w:sz w:val="28"/>
          <w:szCs w:val="28"/>
          <w:lang w:val="uk-UA"/>
        </w:rPr>
      </w:pPr>
      <w:r w:rsidRPr="002B451D">
        <w:rPr>
          <w:sz w:val="28"/>
          <w:szCs w:val="28"/>
          <w:lang w:val="uk-UA"/>
        </w:rPr>
        <w:t>регулювання відносин у сфері енергетики                                   Андрій ОГНЬОВ</w:t>
      </w:r>
    </w:p>
    <w:sectPr w:rsidR="00327671" w:rsidRPr="00327671" w:rsidSect="00327671">
      <w:headerReference w:type="even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350" w:rsidRDefault="00486350">
      <w:r>
        <w:separator/>
      </w:r>
    </w:p>
  </w:endnote>
  <w:endnote w:type="continuationSeparator" w:id="0">
    <w:p w:rsidR="00486350" w:rsidRDefault="0048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350" w:rsidRDefault="00486350">
      <w:r>
        <w:separator/>
      </w:r>
    </w:p>
  </w:footnote>
  <w:footnote w:type="continuationSeparator" w:id="0">
    <w:p w:rsidR="00486350" w:rsidRDefault="0048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671" w:rsidRPr="00327671" w:rsidRDefault="00327671" w:rsidP="0032767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82" w:rsidRPr="00FD7C00" w:rsidRDefault="00BA1434" w:rsidP="007E2B40">
    <w:pPr>
      <w:pStyle w:val="a6"/>
      <w:ind w:left="8496"/>
      <w:rPr>
        <w:i/>
        <w:sz w:val="28"/>
        <w:szCs w:val="28"/>
        <w:lang w:val="uk-UA"/>
      </w:rPr>
    </w:pPr>
    <w:r w:rsidRPr="00FD7C00">
      <w:rPr>
        <w:i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97"/>
    <w:rsid w:val="00007E3D"/>
    <w:rsid w:val="000A03CE"/>
    <w:rsid w:val="000A0CC3"/>
    <w:rsid w:val="001C5DE5"/>
    <w:rsid w:val="00256F6F"/>
    <w:rsid w:val="00327671"/>
    <w:rsid w:val="003B1B53"/>
    <w:rsid w:val="003E6DF8"/>
    <w:rsid w:val="00414718"/>
    <w:rsid w:val="00447602"/>
    <w:rsid w:val="00481375"/>
    <w:rsid w:val="00486350"/>
    <w:rsid w:val="00525FD5"/>
    <w:rsid w:val="00535C38"/>
    <w:rsid w:val="0057399B"/>
    <w:rsid w:val="00635152"/>
    <w:rsid w:val="006C44EE"/>
    <w:rsid w:val="006C6604"/>
    <w:rsid w:val="007240E0"/>
    <w:rsid w:val="00794709"/>
    <w:rsid w:val="007A7C14"/>
    <w:rsid w:val="007C03A5"/>
    <w:rsid w:val="00A237AA"/>
    <w:rsid w:val="00A30EAC"/>
    <w:rsid w:val="00A67FB6"/>
    <w:rsid w:val="00AC7465"/>
    <w:rsid w:val="00B035DD"/>
    <w:rsid w:val="00B43786"/>
    <w:rsid w:val="00B94E4B"/>
    <w:rsid w:val="00BA1434"/>
    <w:rsid w:val="00C724CF"/>
    <w:rsid w:val="00CA21A9"/>
    <w:rsid w:val="00CE60FA"/>
    <w:rsid w:val="00D70EFE"/>
    <w:rsid w:val="00E12440"/>
    <w:rsid w:val="00E320B6"/>
    <w:rsid w:val="00E36B5E"/>
    <w:rsid w:val="00ED3C83"/>
    <w:rsid w:val="00FC0B97"/>
    <w:rsid w:val="00FD10B3"/>
    <w:rsid w:val="00F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34156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03CA8-2ADE-4C68-8E4E-4CE20BEF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2157</Words>
  <Characters>1230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10</cp:revision>
  <dcterms:created xsi:type="dcterms:W3CDTF">2025-01-22T07:27:00Z</dcterms:created>
  <dcterms:modified xsi:type="dcterms:W3CDTF">2025-02-18T10:33:00Z</dcterms:modified>
</cp:coreProperties>
</file>