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26BEA9" w14:textId="0B1DA956" w:rsidR="003A50CC" w:rsidRPr="003A0902" w:rsidRDefault="003A50CC" w:rsidP="003C3712">
      <w:pPr>
        <w:ind w:left="5812"/>
        <w:rPr>
          <w:sz w:val="28"/>
          <w:szCs w:val="28"/>
          <w:lang w:val="uk-UA"/>
        </w:rPr>
      </w:pPr>
      <w:r w:rsidRPr="003A0902">
        <w:rPr>
          <w:sz w:val="28"/>
          <w:szCs w:val="28"/>
          <w:lang w:val="uk-UA"/>
        </w:rPr>
        <w:t>ЗАТВЕРДЖЕНО</w:t>
      </w:r>
    </w:p>
    <w:p w14:paraId="176CFAD1" w14:textId="77777777" w:rsidR="003A50CC" w:rsidRPr="003A0902" w:rsidRDefault="003A50CC" w:rsidP="003C3712">
      <w:pPr>
        <w:ind w:left="5812"/>
        <w:rPr>
          <w:sz w:val="28"/>
          <w:szCs w:val="28"/>
          <w:lang w:val="uk-UA"/>
        </w:rPr>
      </w:pPr>
      <w:r w:rsidRPr="003A0902">
        <w:rPr>
          <w:sz w:val="28"/>
          <w:szCs w:val="28"/>
          <w:lang w:val="uk-UA"/>
        </w:rPr>
        <w:t>Постанова Національної комісії, що здійснює державне регулювання у сферах енергетики та комунальних послуг</w:t>
      </w:r>
    </w:p>
    <w:p w14:paraId="4ADED7DA" w14:textId="77777777" w:rsidR="003A50CC" w:rsidRPr="003A0902" w:rsidRDefault="003A50CC" w:rsidP="003C3712">
      <w:pPr>
        <w:ind w:left="5812"/>
        <w:rPr>
          <w:sz w:val="28"/>
          <w:szCs w:val="28"/>
          <w:lang w:val="uk-UA"/>
        </w:rPr>
      </w:pPr>
      <w:r w:rsidRPr="003A0902">
        <w:rPr>
          <w:sz w:val="28"/>
          <w:szCs w:val="28"/>
          <w:lang w:val="uk-UA"/>
        </w:rPr>
        <w:t>_____________ № ________</w:t>
      </w:r>
    </w:p>
    <w:p w14:paraId="567EC9D4" w14:textId="77777777" w:rsidR="00C9624E" w:rsidRPr="003A0902" w:rsidRDefault="00C9624E" w:rsidP="003C3712">
      <w:pPr>
        <w:tabs>
          <w:tab w:val="left" w:pos="1134"/>
        </w:tabs>
        <w:spacing w:after="60"/>
        <w:ind w:firstLine="709"/>
        <w:jc w:val="center"/>
        <w:rPr>
          <w:b/>
          <w:sz w:val="28"/>
          <w:szCs w:val="28"/>
          <w:lang w:val="uk-UA"/>
        </w:rPr>
      </w:pPr>
    </w:p>
    <w:p w14:paraId="5911A726" w14:textId="77777777" w:rsidR="00847A28" w:rsidRPr="003A0902" w:rsidRDefault="00847A28" w:rsidP="003C3712">
      <w:pPr>
        <w:tabs>
          <w:tab w:val="left" w:pos="1134"/>
        </w:tabs>
        <w:spacing w:after="60"/>
        <w:ind w:firstLine="709"/>
        <w:jc w:val="center"/>
        <w:rPr>
          <w:b/>
          <w:sz w:val="28"/>
          <w:szCs w:val="28"/>
          <w:lang w:val="uk-UA"/>
        </w:rPr>
      </w:pPr>
      <w:r w:rsidRPr="003A0902">
        <w:rPr>
          <w:b/>
          <w:sz w:val="28"/>
          <w:szCs w:val="28"/>
          <w:lang w:val="uk-UA"/>
        </w:rPr>
        <w:t>ЗМІНИ</w:t>
      </w:r>
    </w:p>
    <w:p w14:paraId="1546548B" w14:textId="36FAD9F6" w:rsidR="001E5B3D" w:rsidRPr="003A0902" w:rsidRDefault="00847A28" w:rsidP="003C3712">
      <w:pPr>
        <w:tabs>
          <w:tab w:val="left" w:pos="1134"/>
        </w:tabs>
        <w:spacing w:after="60"/>
        <w:ind w:firstLine="709"/>
        <w:jc w:val="center"/>
        <w:rPr>
          <w:b/>
          <w:sz w:val="28"/>
          <w:szCs w:val="28"/>
          <w:lang w:val="uk-UA"/>
        </w:rPr>
      </w:pPr>
      <w:r w:rsidRPr="003A0902">
        <w:rPr>
          <w:b/>
          <w:sz w:val="28"/>
          <w:szCs w:val="28"/>
          <w:lang w:val="uk-UA"/>
        </w:rPr>
        <w:t xml:space="preserve">до </w:t>
      </w:r>
      <w:r w:rsidR="00864A90" w:rsidRPr="003A0902">
        <w:rPr>
          <w:b/>
          <w:sz w:val="28"/>
          <w:szCs w:val="28"/>
          <w:lang w:val="uk-UA"/>
        </w:rPr>
        <w:t>Порядку (методики) визначення розміру штрафів, які накладаються Національною комісією, що здійснює державне регулювання у сферах енергетики та комунальних послуг</w:t>
      </w:r>
    </w:p>
    <w:p w14:paraId="09DF5F46" w14:textId="165167BA" w:rsidR="009B1760" w:rsidRPr="003A0902" w:rsidRDefault="009B1760" w:rsidP="003C3712">
      <w:pPr>
        <w:tabs>
          <w:tab w:val="left" w:pos="1134"/>
        </w:tabs>
        <w:spacing w:after="60"/>
        <w:ind w:firstLine="709"/>
        <w:jc w:val="both"/>
        <w:rPr>
          <w:sz w:val="28"/>
          <w:szCs w:val="28"/>
          <w:lang w:val="uk-UA"/>
        </w:rPr>
      </w:pPr>
    </w:p>
    <w:p w14:paraId="0BFE24D4" w14:textId="3BBB608E" w:rsidR="00864A90" w:rsidRPr="003A0902" w:rsidRDefault="00013C06" w:rsidP="003C3712">
      <w:pPr>
        <w:pStyle w:val="a3"/>
        <w:numPr>
          <w:ilvl w:val="0"/>
          <w:numId w:val="23"/>
        </w:numPr>
        <w:tabs>
          <w:tab w:val="left" w:pos="1276"/>
        </w:tabs>
        <w:ind w:left="0" w:firstLine="851"/>
        <w:jc w:val="both"/>
        <w:rPr>
          <w:sz w:val="28"/>
          <w:szCs w:val="28"/>
          <w:lang w:val="uk-UA"/>
        </w:rPr>
      </w:pPr>
      <w:r w:rsidRPr="003A0902">
        <w:rPr>
          <w:sz w:val="28"/>
          <w:szCs w:val="28"/>
          <w:lang w:val="uk-UA"/>
        </w:rPr>
        <w:t xml:space="preserve">У </w:t>
      </w:r>
      <w:r w:rsidR="00376A2E" w:rsidRPr="003A0902">
        <w:rPr>
          <w:sz w:val="28"/>
          <w:szCs w:val="28"/>
          <w:lang w:val="uk-UA"/>
        </w:rPr>
        <w:t>розділі</w:t>
      </w:r>
      <w:r w:rsidRPr="003A0902">
        <w:rPr>
          <w:sz w:val="28"/>
          <w:szCs w:val="28"/>
          <w:lang w:val="uk-UA"/>
        </w:rPr>
        <w:t xml:space="preserve"> </w:t>
      </w:r>
      <w:r w:rsidR="00EB01A9" w:rsidRPr="003A0902">
        <w:rPr>
          <w:sz w:val="28"/>
          <w:szCs w:val="28"/>
          <w:lang w:val="uk-UA"/>
        </w:rPr>
        <w:t>I</w:t>
      </w:r>
      <w:r w:rsidRPr="003A0902">
        <w:rPr>
          <w:sz w:val="28"/>
          <w:szCs w:val="28"/>
          <w:lang w:val="uk-UA"/>
        </w:rPr>
        <w:t>:</w:t>
      </w:r>
    </w:p>
    <w:p w14:paraId="7AB15564" w14:textId="6521B08F" w:rsidR="00864A90" w:rsidRPr="003A0902" w:rsidRDefault="00864A90" w:rsidP="003C3712">
      <w:pPr>
        <w:tabs>
          <w:tab w:val="left" w:pos="1134"/>
        </w:tabs>
        <w:ind w:firstLine="851"/>
        <w:jc w:val="both"/>
        <w:rPr>
          <w:sz w:val="28"/>
          <w:szCs w:val="28"/>
          <w:lang w:val="uk-UA"/>
        </w:rPr>
      </w:pPr>
    </w:p>
    <w:p w14:paraId="1F395BD7" w14:textId="3CC5F207" w:rsidR="00785A2D" w:rsidRPr="003A0902" w:rsidRDefault="00785A2D" w:rsidP="00785A2D">
      <w:pPr>
        <w:pStyle w:val="a3"/>
        <w:numPr>
          <w:ilvl w:val="0"/>
          <w:numId w:val="24"/>
        </w:numPr>
        <w:tabs>
          <w:tab w:val="left" w:pos="851"/>
        </w:tabs>
        <w:ind w:left="0" w:firstLine="851"/>
        <w:jc w:val="both"/>
        <w:rPr>
          <w:sz w:val="28"/>
          <w:szCs w:val="28"/>
          <w:lang w:val="uk-UA"/>
        </w:rPr>
      </w:pPr>
      <w:r w:rsidRPr="003A0902">
        <w:rPr>
          <w:sz w:val="28"/>
          <w:szCs w:val="28"/>
          <w:lang w:val="uk-UA"/>
        </w:rPr>
        <w:t xml:space="preserve">пункт 1.3 </w:t>
      </w:r>
      <w:r w:rsidR="00FF617C" w:rsidRPr="003A0902">
        <w:rPr>
          <w:sz w:val="28"/>
          <w:szCs w:val="28"/>
          <w:lang w:val="uk-UA"/>
        </w:rPr>
        <w:t xml:space="preserve">після абзацу </w:t>
      </w:r>
      <w:r w:rsidR="00836E81" w:rsidRPr="003A0902">
        <w:rPr>
          <w:sz w:val="28"/>
          <w:szCs w:val="28"/>
          <w:lang w:val="uk-UA"/>
        </w:rPr>
        <w:t>другого</w:t>
      </w:r>
      <w:r w:rsidR="008C5DA5" w:rsidRPr="003A0902">
        <w:rPr>
          <w:sz w:val="28"/>
          <w:szCs w:val="28"/>
          <w:lang w:val="uk-UA"/>
        </w:rPr>
        <w:t xml:space="preserve"> </w:t>
      </w:r>
      <w:r w:rsidRPr="003A0902">
        <w:rPr>
          <w:sz w:val="28"/>
          <w:szCs w:val="28"/>
          <w:lang w:val="uk-UA"/>
        </w:rPr>
        <w:t>доповнити новим абзац</w:t>
      </w:r>
      <w:r w:rsidR="00836E81" w:rsidRPr="003A0902">
        <w:rPr>
          <w:sz w:val="28"/>
          <w:szCs w:val="28"/>
          <w:lang w:val="uk-UA"/>
        </w:rPr>
        <w:t>ом третім</w:t>
      </w:r>
      <w:r w:rsidRPr="003A0902">
        <w:rPr>
          <w:sz w:val="28"/>
          <w:szCs w:val="28"/>
          <w:lang w:val="uk-UA"/>
        </w:rPr>
        <w:t xml:space="preserve"> такого змісту:</w:t>
      </w:r>
    </w:p>
    <w:p w14:paraId="36636F9B" w14:textId="29C6811C" w:rsidR="00FF617C" w:rsidRPr="003A0902" w:rsidRDefault="008C5DA5" w:rsidP="00FF617C">
      <w:pPr>
        <w:pStyle w:val="a3"/>
        <w:ind w:left="0" w:firstLine="851"/>
        <w:jc w:val="both"/>
        <w:rPr>
          <w:sz w:val="28"/>
          <w:szCs w:val="28"/>
          <w:lang w:val="uk-UA"/>
        </w:rPr>
      </w:pPr>
      <w:r w:rsidRPr="003A0902">
        <w:rPr>
          <w:sz w:val="28"/>
          <w:szCs w:val="28"/>
          <w:lang w:val="uk-UA"/>
        </w:rPr>
        <w:t>«</w:t>
      </w:r>
      <w:r w:rsidR="00FE305E" w:rsidRPr="003A0902">
        <w:rPr>
          <w:sz w:val="28"/>
          <w:szCs w:val="28"/>
          <w:lang w:val="uk-UA"/>
        </w:rPr>
        <w:t>з</w:t>
      </w:r>
      <w:r w:rsidR="00FF617C" w:rsidRPr="003A0902">
        <w:rPr>
          <w:sz w:val="28"/>
          <w:szCs w:val="28"/>
          <w:lang w:val="uk-UA"/>
        </w:rPr>
        <w:t xml:space="preserve">вітний рік </w:t>
      </w:r>
      <w:r w:rsidR="00FE305E" w:rsidRPr="003A0902">
        <w:rPr>
          <w:sz w:val="28"/>
          <w:szCs w:val="28"/>
          <w:lang w:val="uk-UA"/>
        </w:rPr>
        <w:t xml:space="preserve">– </w:t>
      </w:r>
      <w:r w:rsidR="00FF617C" w:rsidRPr="003A0902">
        <w:rPr>
          <w:sz w:val="28"/>
          <w:szCs w:val="28"/>
          <w:lang w:val="uk-UA"/>
        </w:rPr>
        <w:t>період діяльності суб’єктів господарювання, що провадять діяльність у сферах енергетики та комунальних послуг, який дорівнює календарному року</w:t>
      </w:r>
      <w:r w:rsidRPr="003A0902">
        <w:rPr>
          <w:sz w:val="28"/>
          <w:szCs w:val="28"/>
          <w:lang w:val="uk-UA"/>
        </w:rPr>
        <w:t xml:space="preserve"> (проміжок часу з 01 січня по 31 грудня)</w:t>
      </w:r>
      <w:r w:rsidR="00FA1F54">
        <w:rPr>
          <w:sz w:val="28"/>
          <w:szCs w:val="28"/>
          <w:lang w:val="uk-UA"/>
        </w:rPr>
        <w:t>;</w:t>
      </w:r>
      <w:r w:rsidR="006149BD" w:rsidRPr="003A0902">
        <w:rPr>
          <w:sz w:val="28"/>
          <w:szCs w:val="28"/>
          <w:lang w:val="uk-UA"/>
        </w:rPr>
        <w:t>».</w:t>
      </w:r>
    </w:p>
    <w:p w14:paraId="484CE453" w14:textId="6E85B212" w:rsidR="00FF617C" w:rsidRPr="003A0902" w:rsidRDefault="00EB3277" w:rsidP="003A0902">
      <w:pPr>
        <w:pStyle w:val="a3"/>
        <w:tabs>
          <w:tab w:val="left" w:pos="0"/>
        </w:tabs>
        <w:ind w:left="0" w:firstLine="851"/>
        <w:jc w:val="both"/>
        <w:rPr>
          <w:sz w:val="28"/>
          <w:szCs w:val="28"/>
          <w:lang w:val="uk-UA"/>
        </w:rPr>
      </w:pPr>
      <w:r w:rsidRPr="003A0902">
        <w:rPr>
          <w:sz w:val="28"/>
          <w:szCs w:val="28"/>
          <w:lang w:val="uk-UA"/>
        </w:rPr>
        <w:t xml:space="preserve">У </w:t>
      </w:r>
      <w:r w:rsidR="005200AF" w:rsidRPr="003A0902">
        <w:rPr>
          <w:sz w:val="28"/>
          <w:szCs w:val="28"/>
          <w:lang w:val="uk-UA"/>
        </w:rPr>
        <w:t>зв’язку з цим абзац</w:t>
      </w:r>
      <w:r w:rsidR="009E380E" w:rsidRPr="003A0902">
        <w:rPr>
          <w:sz w:val="28"/>
          <w:szCs w:val="28"/>
          <w:lang w:val="uk-UA"/>
        </w:rPr>
        <w:t xml:space="preserve">и </w:t>
      </w:r>
      <w:r w:rsidR="00DE7BA7" w:rsidRPr="003A0902">
        <w:rPr>
          <w:sz w:val="28"/>
          <w:szCs w:val="28"/>
          <w:lang w:val="uk-UA"/>
        </w:rPr>
        <w:t>третій</w:t>
      </w:r>
      <w:r w:rsidR="009E380E" w:rsidRPr="003A0902">
        <w:rPr>
          <w:sz w:val="28"/>
          <w:szCs w:val="28"/>
          <w:lang w:val="uk-UA"/>
        </w:rPr>
        <w:t xml:space="preserve"> </w:t>
      </w:r>
      <w:r w:rsidR="00DE7BA7" w:rsidRPr="003A0902">
        <w:rPr>
          <w:sz w:val="28"/>
          <w:szCs w:val="28"/>
          <w:lang w:val="uk-UA"/>
        </w:rPr>
        <w:t>–</w:t>
      </w:r>
      <w:r w:rsidR="005200AF" w:rsidRPr="003A0902">
        <w:rPr>
          <w:sz w:val="28"/>
          <w:szCs w:val="28"/>
          <w:lang w:val="uk-UA"/>
        </w:rPr>
        <w:t xml:space="preserve"> п’ятий вважати </w:t>
      </w:r>
      <w:r w:rsidR="009E380E" w:rsidRPr="003A0902">
        <w:rPr>
          <w:sz w:val="28"/>
          <w:szCs w:val="28"/>
          <w:lang w:val="uk-UA"/>
        </w:rPr>
        <w:t xml:space="preserve">відповідно </w:t>
      </w:r>
      <w:r w:rsidR="005200AF" w:rsidRPr="003A0902">
        <w:rPr>
          <w:sz w:val="28"/>
          <w:szCs w:val="28"/>
          <w:lang w:val="uk-UA"/>
        </w:rPr>
        <w:t>абзац</w:t>
      </w:r>
      <w:r w:rsidR="009E380E" w:rsidRPr="003A0902">
        <w:rPr>
          <w:sz w:val="28"/>
          <w:szCs w:val="28"/>
          <w:lang w:val="uk-UA"/>
        </w:rPr>
        <w:t xml:space="preserve">ами </w:t>
      </w:r>
      <w:r w:rsidR="00DE7BA7" w:rsidRPr="003A0902">
        <w:rPr>
          <w:sz w:val="28"/>
          <w:szCs w:val="28"/>
          <w:lang w:val="uk-UA"/>
        </w:rPr>
        <w:t>четвертим</w:t>
      </w:r>
      <w:r w:rsidR="009E380E" w:rsidRPr="003A0902">
        <w:rPr>
          <w:sz w:val="28"/>
          <w:szCs w:val="28"/>
          <w:lang w:val="uk-UA"/>
        </w:rPr>
        <w:t xml:space="preserve"> </w:t>
      </w:r>
      <w:r w:rsidR="00DE7BA7" w:rsidRPr="003A0902">
        <w:rPr>
          <w:sz w:val="28"/>
          <w:szCs w:val="28"/>
          <w:lang w:val="uk-UA"/>
        </w:rPr>
        <w:t>–</w:t>
      </w:r>
      <w:r w:rsidR="00D11081" w:rsidRPr="003A0902">
        <w:rPr>
          <w:sz w:val="28"/>
          <w:szCs w:val="28"/>
          <w:lang w:val="uk-UA"/>
        </w:rPr>
        <w:t xml:space="preserve"> </w:t>
      </w:r>
      <w:r w:rsidR="00DE7BA7" w:rsidRPr="003A0902">
        <w:rPr>
          <w:sz w:val="28"/>
          <w:szCs w:val="28"/>
          <w:lang w:val="uk-UA"/>
        </w:rPr>
        <w:t>шостим</w:t>
      </w:r>
      <w:r w:rsidR="003D20A7" w:rsidRPr="003A0902">
        <w:rPr>
          <w:sz w:val="28"/>
          <w:szCs w:val="28"/>
          <w:lang w:val="uk-UA"/>
        </w:rPr>
        <w:t>;</w:t>
      </w:r>
    </w:p>
    <w:p w14:paraId="400DD510" w14:textId="77777777" w:rsidR="00FF617C" w:rsidRPr="003A0902" w:rsidRDefault="00FF617C" w:rsidP="00FF617C">
      <w:pPr>
        <w:pStyle w:val="a3"/>
        <w:tabs>
          <w:tab w:val="left" w:pos="851"/>
        </w:tabs>
        <w:ind w:left="851"/>
        <w:jc w:val="both"/>
        <w:rPr>
          <w:sz w:val="28"/>
          <w:szCs w:val="28"/>
          <w:lang w:val="uk-UA"/>
        </w:rPr>
      </w:pPr>
    </w:p>
    <w:p w14:paraId="77506BA5" w14:textId="0089307F" w:rsidR="005200AF" w:rsidRPr="003A0902" w:rsidRDefault="005200AF" w:rsidP="005200AF">
      <w:pPr>
        <w:pStyle w:val="a3"/>
        <w:numPr>
          <w:ilvl w:val="0"/>
          <w:numId w:val="24"/>
        </w:numPr>
        <w:tabs>
          <w:tab w:val="left" w:pos="851"/>
        </w:tabs>
        <w:ind w:left="0" w:firstLine="851"/>
        <w:jc w:val="both"/>
        <w:rPr>
          <w:sz w:val="28"/>
          <w:szCs w:val="28"/>
          <w:lang w:val="uk-UA"/>
        </w:rPr>
      </w:pPr>
      <w:r w:rsidRPr="003A0902">
        <w:rPr>
          <w:sz w:val="28"/>
          <w:szCs w:val="28"/>
          <w:lang w:val="uk-UA"/>
        </w:rPr>
        <w:t>пункт 1.4 після абзацу другого доповнити новим абзацом</w:t>
      </w:r>
      <w:r w:rsidR="004F058C" w:rsidRPr="003A0902">
        <w:rPr>
          <w:sz w:val="28"/>
          <w:szCs w:val="28"/>
          <w:lang w:val="uk-UA"/>
        </w:rPr>
        <w:t xml:space="preserve"> третім</w:t>
      </w:r>
      <w:r w:rsidRPr="003A0902">
        <w:rPr>
          <w:sz w:val="28"/>
          <w:szCs w:val="28"/>
          <w:lang w:val="uk-UA"/>
        </w:rPr>
        <w:t xml:space="preserve"> такого змісту:</w:t>
      </w:r>
    </w:p>
    <w:p w14:paraId="384DE43A" w14:textId="680D3324" w:rsidR="00785A2D" w:rsidRPr="003A0902" w:rsidRDefault="00EB3277" w:rsidP="00EB3277">
      <w:pPr>
        <w:tabs>
          <w:tab w:val="left" w:pos="851"/>
        </w:tabs>
        <w:ind w:firstLine="851"/>
        <w:jc w:val="both"/>
        <w:rPr>
          <w:sz w:val="28"/>
          <w:szCs w:val="28"/>
          <w:lang w:val="uk-UA"/>
        </w:rPr>
      </w:pPr>
      <w:r w:rsidRPr="003A0902">
        <w:rPr>
          <w:sz w:val="28"/>
          <w:szCs w:val="28"/>
          <w:lang w:val="uk-UA"/>
        </w:rPr>
        <w:t xml:space="preserve">«У разі </w:t>
      </w:r>
      <w:r w:rsidR="00883A41" w:rsidRPr="003A0902">
        <w:rPr>
          <w:sz w:val="28"/>
          <w:szCs w:val="28"/>
          <w:lang w:val="uk-UA"/>
        </w:rPr>
        <w:t xml:space="preserve">проведення </w:t>
      </w:r>
      <w:r w:rsidRPr="003A0902">
        <w:rPr>
          <w:sz w:val="28"/>
          <w:szCs w:val="28"/>
          <w:lang w:val="uk-UA"/>
        </w:rPr>
        <w:t>перевірки ліцензіата за період більше 1 (одного) календарного року НКРЕКП здійснює розрахунок розміру штрафу за кожне окрем</w:t>
      </w:r>
      <w:r w:rsidR="00A04301">
        <w:rPr>
          <w:sz w:val="28"/>
          <w:szCs w:val="28"/>
          <w:lang w:val="uk-UA"/>
        </w:rPr>
        <w:t>о</w:t>
      </w:r>
      <w:r w:rsidRPr="003A0902">
        <w:rPr>
          <w:sz w:val="28"/>
          <w:szCs w:val="28"/>
          <w:lang w:val="uk-UA"/>
        </w:rPr>
        <w:t xml:space="preserve"> вчинене порушення протягом кожного звітного року, що входить </w:t>
      </w:r>
      <w:r w:rsidR="00A04301">
        <w:rPr>
          <w:sz w:val="28"/>
          <w:szCs w:val="28"/>
          <w:lang w:val="uk-UA"/>
        </w:rPr>
        <w:t>у</w:t>
      </w:r>
      <w:r w:rsidR="00A04301" w:rsidRPr="003A0902">
        <w:rPr>
          <w:sz w:val="28"/>
          <w:szCs w:val="28"/>
          <w:lang w:val="uk-UA"/>
        </w:rPr>
        <w:t xml:space="preserve"> </w:t>
      </w:r>
      <w:r w:rsidRPr="003A0902">
        <w:rPr>
          <w:sz w:val="28"/>
          <w:szCs w:val="28"/>
          <w:lang w:val="uk-UA"/>
        </w:rPr>
        <w:t>період перевірки.»</w:t>
      </w:r>
      <w:r w:rsidR="004F058C" w:rsidRPr="003A0902">
        <w:rPr>
          <w:sz w:val="28"/>
          <w:szCs w:val="28"/>
          <w:lang w:val="uk-UA"/>
        </w:rPr>
        <w:t>.</w:t>
      </w:r>
    </w:p>
    <w:p w14:paraId="5C90B7A2" w14:textId="64C6C094" w:rsidR="00EB3277" w:rsidRPr="003A0902" w:rsidRDefault="00EB3277" w:rsidP="00EB3277">
      <w:pPr>
        <w:pStyle w:val="a3"/>
        <w:tabs>
          <w:tab w:val="left" w:pos="851"/>
        </w:tabs>
        <w:ind w:left="851"/>
        <w:jc w:val="both"/>
        <w:rPr>
          <w:sz w:val="28"/>
          <w:szCs w:val="28"/>
          <w:lang w:val="uk-UA"/>
        </w:rPr>
      </w:pPr>
      <w:bookmarkStart w:id="0" w:name="_Hlk184634366"/>
      <w:r w:rsidRPr="003A0902">
        <w:rPr>
          <w:sz w:val="28"/>
          <w:szCs w:val="28"/>
          <w:lang w:val="uk-UA"/>
        </w:rPr>
        <w:t>У зв’язку з цим абзац третій вважати абзацом четвертим.</w:t>
      </w:r>
    </w:p>
    <w:bookmarkEnd w:id="0"/>
    <w:p w14:paraId="5EB4EEEE" w14:textId="77777777" w:rsidR="00104875" w:rsidRPr="003A0902" w:rsidRDefault="00104875" w:rsidP="00104875">
      <w:pPr>
        <w:tabs>
          <w:tab w:val="left" w:pos="1134"/>
        </w:tabs>
        <w:spacing w:after="60"/>
        <w:ind w:firstLine="709"/>
        <w:jc w:val="both"/>
        <w:rPr>
          <w:sz w:val="28"/>
          <w:szCs w:val="28"/>
          <w:lang w:val="uk-UA"/>
        </w:rPr>
      </w:pPr>
    </w:p>
    <w:p w14:paraId="5E3F168C" w14:textId="2A6F0376" w:rsidR="00104875" w:rsidRPr="003A0902" w:rsidRDefault="00104875" w:rsidP="00104875">
      <w:pPr>
        <w:pStyle w:val="a3"/>
        <w:numPr>
          <w:ilvl w:val="0"/>
          <w:numId w:val="23"/>
        </w:numPr>
        <w:tabs>
          <w:tab w:val="left" w:pos="1276"/>
        </w:tabs>
        <w:ind w:left="0" w:firstLine="851"/>
        <w:jc w:val="both"/>
        <w:rPr>
          <w:sz w:val="28"/>
          <w:szCs w:val="28"/>
          <w:lang w:val="uk-UA"/>
        </w:rPr>
      </w:pPr>
      <w:r w:rsidRPr="003A0902">
        <w:rPr>
          <w:sz w:val="28"/>
          <w:szCs w:val="28"/>
          <w:lang w:val="uk-UA"/>
        </w:rPr>
        <w:t>У розділі ІІ:</w:t>
      </w:r>
    </w:p>
    <w:p w14:paraId="7FE47D16" w14:textId="77777777" w:rsidR="008A5BAD" w:rsidRPr="003A0902" w:rsidRDefault="008A5BAD" w:rsidP="008A5BAD">
      <w:pPr>
        <w:pStyle w:val="a3"/>
        <w:tabs>
          <w:tab w:val="left" w:pos="1276"/>
        </w:tabs>
        <w:ind w:left="851"/>
        <w:jc w:val="both"/>
        <w:rPr>
          <w:sz w:val="28"/>
          <w:szCs w:val="28"/>
          <w:lang w:val="uk-UA"/>
        </w:rPr>
      </w:pPr>
    </w:p>
    <w:p w14:paraId="6CEF8BFB" w14:textId="6D902C48" w:rsidR="00C82C09" w:rsidRPr="003A0902" w:rsidRDefault="00C82C09" w:rsidP="001F4AFE">
      <w:pPr>
        <w:pStyle w:val="a3"/>
        <w:numPr>
          <w:ilvl w:val="0"/>
          <w:numId w:val="29"/>
        </w:numPr>
        <w:tabs>
          <w:tab w:val="left" w:pos="851"/>
        </w:tabs>
        <w:jc w:val="both"/>
        <w:rPr>
          <w:sz w:val="28"/>
          <w:szCs w:val="28"/>
          <w:lang w:val="uk-UA"/>
        </w:rPr>
      </w:pPr>
      <w:r w:rsidRPr="003A0902">
        <w:rPr>
          <w:sz w:val="28"/>
          <w:szCs w:val="28"/>
          <w:lang w:val="uk-UA"/>
        </w:rPr>
        <w:t xml:space="preserve">у главі </w:t>
      </w:r>
      <w:r w:rsidR="001F4AFE" w:rsidRPr="003A0902">
        <w:rPr>
          <w:sz w:val="28"/>
          <w:szCs w:val="28"/>
          <w:lang w:val="uk-UA"/>
        </w:rPr>
        <w:t>2.1</w:t>
      </w:r>
      <w:r w:rsidRPr="003A0902">
        <w:rPr>
          <w:sz w:val="28"/>
          <w:szCs w:val="28"/>
          <w:lang w:val="uk-UA"/>
        </w:rPr>
        <w:t>:</w:t>
      </w:r>
    </w:p>
    <w:p w14:paraId="5DB9012F" w14:textId="4EFFC96E" w:rsidR="00C82C09" w:rsidRPr="003A0902" w:rsidRDefault="00C82C09" w:rsidP="003A0902">
      <w:pPr>
        <w:ind w:firstLine="851"/>
        <w:jc w:val="both"/>
        <w:rPr>
          <w:sz w:val="28"/>
          <w:szCs w:val="28"/>
          <w:lang w:val="uk-UA"/>
        </w:rPr>
      </w:pPr>
      <w:r w:rsidRPr="003A0902">
        <w:rPr>
          <w:sz w:val="28"/>
          <w:szCs w:val="28"/>
          <w:lang w:val="uk-UA"/>
        </w:rPr>
        <w:t>в абзаці першому слово «Розрахунок» замінити цифрами, знаками та словом «2.1.1. Розрахунок»;</w:t>
      </w:r>
    </w:p>
    <w:p w14:paraId="426F3E5F" w14:textId="45DF63CB" w:rsidR="001F4AFE" w:rsidRPr="003A0902" w:rsidRDefault="001F4AFE" w:rsidP="003A0902">
      <w:pPr>
        <w:tabs>
          <w:tab w:val="left" w:pos="851"/>
        </w:tabs>
        <w:ind w:left="851"/>
        <w:jc w:val="both"/>
        <w:rPr>
          <w:sz w:val="28"/>
          <w:szCs w:val="28"/>
          <w:lang w:val="uk-UA"/>
        </w:rPr>
      </w:pPr>
      <w:r w:rsidRPr="003A0902">
        <w:rPr>
          <w:sz w:val="28"/>
          <w:szCs w:val="28"/>
          <w:lang w:val="uk-UA"/>
        </w:rPr>
        <w:t xml:space="preserve">доповнити новим </w:t>
      </w:r>
      <w:r w:rsidR="002F0595" w:rsidRPr="003A0902">
        <w:rPr>
          <w:sz w:val="28"/>
          <w:szCs w:val="28"/>
          <w:lang w:val="uk-UA"/>
        </w:rPr>
        <w:t xml:space="preserve">пунктом </w:t>
      </w:r>
      <w:r w:rsidRPr="003A0902">
        <w:rPr>
          <w:sz w:val="28"/>
          <w:szCs w:val="28"/>
          <w:lang w:val="uk-UA"/>
        </w:rPr>
        <w:t>такого змісту:</w:t>
      </w:r>
    </w:p>
    <w:p w14:paraId="5456A14B" w14:textId="6A38D839" w:rsidR="001F4AFE" w:rsidRPr="003A0902" w:rsidRDefault="001F4AFE" w:rsidP="001F4AFE">
      <w:pPr>
        <w:ind w:firstLine="851"/>
        <w:jc w:val="both"/>
        <w:rPr>
          <w:sz w:val="28"/>
          <w:szCs w:val="28"/>
          <w:lang w:val="uk-UA"/>
        </w:rPr>
      </w:pPr>
      <w:r w:rsidRPr="003A0902">
        <w:rPr>
          <w:sz w:val="28"/>
          <w:szCs w:val="28"/>
          <w:lang w:val="uk-UA"/>
        </w:rPr>
        <w:t>«</w:t>
      </w:r>
      <w:r w:rsidR="00C82C09" w:rsidRPr="003A0902">
        <w:rPr>
          <w:sz w:val="28"/>
          <w:szCs w:val="28"/>
          <w:lang w:val="uk-UA"/>
        </w:rPr>
        <w:t xml:space="preserve">2.1.2. </w:t>
      </w:r>
      <w:r w:rsidRPr="003A0902">
        <w:rPr>
          <w:sz w:val="28"/>
          <w:szCs w:val="28"/>
          <w:lang w:val="uk-UA"/>
        </w:rPr>
        <w:t xml:space="preserve">У разі відмови </w:t>
      </w:r>
      <w:r w:rsidR="004D4B67" w:rsidRPr="003A0902">
        <w:rPr>
          <w:sz w:val="28"/>
          <w:szCs w:val="28"/>
          <w:lang w:val="uk-UA"/>
        </w:rPr>
        <w:t xml:space="preserve">ліцензіата </w:t>
      </w:r>
      <w:r w:rsidRPr="00FF3AB1">
        <w:rPr>
          <w:sz w:val="28"/>
          <w:szCs w:val="28"/>
          <w:lang w:val="uk-UA"/>
        </w:rPr>
        <w:t>у проведенні перевірки</w:t>
      </w:r>
      <w:r w:rsidR="000149FB" w:rsidRPr="00FF3AB1">
        <w:rPr>
          <w:sz w:val="28"/>
          <w:szCs w:val="28"/>
          <w:lang w:val="uk-UA"/>
        </w:rPr>
        <w:t>,</w:t>
      </w:r>
      <w:r w:rsidR="003218BD" w:rsidRPr="00FF3AB1">
        <w:rPr>
          <w:sz w:val="28"/>
          <w:szCs w:val="28"/>
        </w:rPr>
        <w:t xml:space="preserve"> </w:t>
      </w:r>
      <w:r w:rsidR="000149FB" w:rsidRPr="00FF3AB1">
        <w:rPr>
          <w:sz w:val="28"/>
          <w:szCs w:val="28"/>
          <w:lang w:val="uk-UA"/>
        </w:rPr>
        <w:t>що є порушенням ліцензійних умов та/або зак</w:t>
      </w:r>
      <w:bookmarkStart w:id="1" w:name="_GoBack"/>
      <w:bookmarkEnd w:id="1"/>
      <w:r w:rsidR="000149FB" w:rsidRPr="00FF3AB1">
        <w:rPr>
          <w:sz w:val="28"/>
          <w:szCs w:val="28"/>
          <w:lang w:val="uk-UA"/>
        </w:rPr>
        <w:t>онодавства у відповідній сфері</w:t>
      </w:r>
      <w:r w:rsidR="002864F9" w:rsidRPr="00FF3AB1">
        <w:rPr>
          <w:sz w:val="28"/>
          <w:szCs w:val="28"/>
          <w:lang w:val="uk-UA"/>
        </w:rPr>
        <w:t>,</w:t>
      </w:r>
      <w:r w:rsidR="000149FB" w:rsidRPr="00FF3AB1">
        <w:rPr>
          <w:sz w:val="28"/>
          <w:szCs w:val="28"/>
          <w:lang w:val="uk-UA"/>
        </w:rPr>
        <w:t xml:space="preserve"> </w:t>
      </w:r>
      <w:r w:rsidR="003218BD" w:rsidRPr="00FF3AB1">
        <w:rPr>
          <w:sz w:val="28"/>
          <w:szCs w:val="28"/>
          <w:lang w:val="uk-UA"/>
        </w:rPr>
        <w:t xml:space="preserve">та/або у разі повторного ненадання завірених в установленому законодавством </w:t>
      </w:r>
      <w:r w:rsidR="003218BD" w:rsidRPr="003218BD">
        <w:rPr>
          <w:sz w:val="28"/>
          <w:szCs w:val="28"/>
          <w:lang w:val="uk-UA"/>
        </w:rPr>
        <w:t>порядку копій документів, пояснень та іншої інформації на законну вимогу НКРЕКП</w:t>
      </w:r>
      <w:r w:rsidRPr="003A0902">
        <w:rPr>
          <w:sz w:val="28"/>
          <w:szCs w:val="28"/>
          <w:lang w:val="uk-UA"/>
        </w:rPr>
        <w:t>,</w:t>
      </w:r>
      <w:r w:rsidR="00223ABC" w:rsidRPr="003A0902">
        <w:rPr>
          <w:sz w:val="28"/>
          <w:szCs w:val="28"/>
          <w:lang w:val="uk-UA"/>
        </w:rPr>
        <w:t xml:space="preserve"> може </w:t>
      </w:r>
      <w:r w:rsidRPr="003A0902">
        <w:rPr>
          <w:sz w:val="28"/>
          <w:szCs w:val="28"/>
          <w:lang w:val="uk-UA"/>
        </w:rPr>
        <w:t>застосову</w:t>
      </w:r>
      <w:r w:rsidR="00223ABC" w:rsidRPr="003A0902">
        <w:rPr>
          <w:sz w:val="28"/>
          <w:szCs w:val="28"/>
          <w:lang w:val="uk-UA"/>
        </w:rPr>
        <w:t xml:space="preserve">ватися санкція </w:t>
      </w:r>
      <w:r w:rsidRPr="003A0902">
        <w:rPr>
          <w:sz w:val="28"/>
          <w:szCs w:val="28"/>
          <w:lang w:val="uk-UA"/>
        </w:rPr>
        <w:t xml:space="preserve">у вигляді накладення штрафу </w:t>
      </w:r>
      <w:r w:rsidR="00223ABC" w:rsidRPr="003A0902">
        <w:rPr>
          <w:sz w:val="28"/>
          <w:szCs w:val="28"/>
          <w:lang w:val="uk-UA"/>
        </w:rPr>
        <w:t xml:space="preserve">за вчинення такого порушення </w:t>
      </w:r>
      <w:r w:rsidRPr="003A0902">
        <w:rPr>
          <w:sz w:val="28"/>
          <w:szCs w:val="28"/>
          <w:lang w:val="uk-UA"/>
        </w:rPr>
        <w:t xml:space="preserve">у максимальному розмірі, встановленому законами України «Про </w:t>
      </w:r>
      <w:r w:rsidRPr="003A0902">
        <w:rPr>
          <w:sz w:val="28"/>
          <w:szCs w:val="28"/>
          <w:lang w:val="uk-UA"/>
        </w:rPr>
        <w:lastRenderedPageBreak/>
        <w:t>ринок електричної енергії», «Про природні монополії», «Про ринок природного газу», «Про теплопостачання», «Про питну воду та питне водопостачання</w:t>
      </w:r>
      <w:r w:rsidR="00485440" w:rsidRPr="003A0902">
        <w:rPr>
          <w:sz w:val="28"/>
          <w:szCs w:val="28"/>
          <w:lang w:val="uk-UA"/>
        </w:rPr>
        <w:t>»</w:t>
      </w:r>
      <w:r w:rsidR="00F118C2" w:rsidRPr="003A0902">
        <w:rPr>
          <w:sz w:val="28"/>
          <w:szCs w:val="28"/>
          <w:lang w:val="uk-UA"/>
        </w:rPr>
        <w:t>.</w:t>
      </w:r>
      <w:r w:rsidRPr="003A0902">
        <w:rPr>
          <w:sz w:val="28"/>
          <w:szCs w:val="28"/>
          <w:lang w:val="uk-UA"/>
        </w:rPr>
        <w:t>»</w:t>
      </w:r>
      <w:r w:rsidR="00954DA1" w:rsidRPr="003A0902">
        <w:rPr>
          <w:sz w:val="28"/>
          <w:szCs w:val="28"/>
          <w:lang w:val="uk-UA"/>
        </w:rPr>
        <w:t>;</w:t>
      </w:r>
    </w:p>
    <w:p w14:paraId="0ED4903E" w14:textId="77777777" w:rsidR="002244EE" w:rsidRPr="003A0902" w:rsidRDefault="002244EE" w:rsidP="001F4AFE">
      <w:pPr>
        <w:ind w:firstLine="851"/>
        <w:jc w:val="both"/>
        <w:rPr>
          <w:sz w:val="28"/>
          <w:szCs w:val="28"/>
          <w:lang w:val="uk-UA"/>
        </w:rPr>
      </w:pPr>
    </w:p>
    <w:p w14:paraId="18C54190" w14:textId="0398CD56" w:rsidR="003C139B" w:rsidRPr="003A0902" w:rsidRDefault="00223ABC" w:rsidP="00801A3E">
      <w:pPr>
        <w:pStyle w:val="a3"/>
        <w:numPr>
          <w:ilvl w:val="0"/>
          <w:numId w:val="29"/>
        </w:numPr>
        <w:jc w:val="both"/>
        <w:rPr>
          <w:sz w:val="28"/>
          <w:szCs w:val="28"/>
          <w:lang w:val="uk-UA"/>
        </w:rPr>
      </w:pPr>
      <w:r w:rsidRPr="003A0902">
        <w:rPr>
          <w:sz w:val="28"/>
          <w:szCs w:val="28"/>
          <w:lang w:val="uk-UA"/>
        </w:rPr>
        <w:t xml:space="preserve"> </w:t>
      </w:r>
      <w:r w:rsidR="00801A3E" w:rsidRPr="003A0902">
        <w:rPr>
          <w:sz w:val="28"/>
          <w:szCs w:val="28"/>
          <w:lang w:val="uk-UA"/>
        </w:rPr>
        <w:t>у глав</w:t>
      </w:r>
      <w:r w:rsidR="004E71C1" w:rsidRPr="003A0902">
        <w:rPr>
          <w:sz w:val="28"/>
          <w:szCs w:val="28"/>
          <w:lang w:val="uk-UA"/>
        </w:rPr>
        <w:t>і</w:t>
      </w:r>
      <w:r w:rsidR="00801A3E" w:rsidRPr="003A0902">
        <w:rPr>
          <w:sz w:val="28"/>
          <w:szCs w:val="28"/>
          <w:lang w:val="uk-UA"/>
        </w:rPr>
        <w:t xml:space="preserve"> 2.2:</w:t>
      </w:r>
    </w:p>
    <w:p w14:paraId="51F7A01D" w14:textId="77777777" w:rsidR="00FA1F54" w:rsidRDefault="00FA1F54" w:rsidP="00954DA1">
      <w:pPr>
        <w:ind w:firstLine="851"/>
        <w:jc w:val="both"/>
        <w:rPr>
          <w:sz w:val="28"/>
          <w:szCs w:val="28"/>
          <w:lang w:val="uk-UA"/>
        </w:rPr>
      </w:pPr>
      <w:r>
        <w:rPr>
          <w:sz w:val="28"/>
          <w:szCs w:val="28"/>
          <w:lang w:val="uk-UA"/>
        </w:rPr>
        <w:t>у пункті 2.2.4:</w:t>
      </w:r>
    </w:p>
    <w:p w14:paraId="373BCBB8" w14:textId="2C3ECE0A" w:rsidR="00801A3E" w:rsidRDefault="00B83D46" w:rsidP="00954DA1">
      <w:pPr>
        <w:ind w:firstLine="851"/>
        <w:jc w:val="both"/>
        <w:rPr>
          <w:sz w:val="28"/>
          <w:szCs w:val="28"/>
          <w:lang w:val="uk-UA"/>
        </w:rPr>
      </w:pPr>
      <w:r w:rsidRPr="003A0902">
        <w:rPr>
          <w:sz w:val="28"/>
          <w:szCs w:val="28"/>
          <w:lang w:val="uk-UA"/>
        </w:rPr>
        <w:t xml:space="preserve">в абзаці третьому </w:t>
      </w:r>
      <w:r w:rsidR="00801A3E" w:rsidRPr="003A0902">
        <w:rPr>
          <w:sz w:val="28"/>
          <w:szCs w:val="28"/>
          <w:lang w:val="uk-UA"/>
        </w:rPr>
        <w:t>цифри та знаки «2.2.12»</w:t>
      </w:r>
      <w:r w:rsidR="00954DA1" w:rsidRPr="003A0902">
        <w:rPr>
          <w:sz w:val="28"/>
          <w:szCs w:val="28"/>
          <w:lang w:val="uk-UA"/>
        </w:rPr>
        <w:t xml:space="preserve"> замінити цифрами та знаками «2.2.13»;</w:t>
      </w:r>
    </w:p>
    <w:p w14:paraId="3ECE9739" w14:textId="43E8B761" w:rsidR="00FA1F54" w:rsidRPr="00FA1F54" w:rsidRDefault="00FA1F54" w:rsidP="00954DA1">
      <w:pPr>
        <w:ind w:firstLine="851"/>
        <w:jc w:val="both"/>
        <w:rPr>
          <w:sz w:val="28"/>
          <w:szCs w:val="28"/>
          <w:lang w:val="uk-UA"/>
        </w:rPr>
      </w:pPr>
      <w:r>
        <w:rPr>
          <w:sz w:val="28"/>
          <w:szCs w:val="28"/>
          <w:lang w:val="uk-UA"/>
        </w:rPr>
        <w:t>в абзаці п</w:t>
      </w:r>
      <w:r w:rsidRPr="003E5F7B">
        <w:rPr>
          <w:sz w:val="28"/>
          <w:szCs w:val="28"/>
          <w:lang w:val="en-US"/>
        </w:rPr>
        <w:t>’</w:t>
      </w:r>
      <w:proofErr w:type="spellStart"/>
      <w:r>
        <w:rPr>
          <w:sz w:val="28"/>
          <w:szCs w:val="28"/>
          <w:lang w:val="uk-UA"/>
        </w:rPr>
        <w:t>ятому</w:t>
      </w:r>
      <w:proofErr w:type="spellEnd"/>
      <w:r>
        <w:rPr>
          <w:sz w:val="28"/>
          <w:szCs w:val="28"/>
          <w:lang w:val="uk-UA"/>
        </w:rPr>
        <w:t xml:space="preserve"> </w:t>
      </w:r>
      <w:r w:rsidRPr="00FA1F54">
        <w:rPr>
          <w:sz w:val="28"/>
          <w:szCs w:val="28"/>
          <w:lang w:val="uk-UA"/>
        </w:rPr>
        <w:t>цифри та знаки «2.2.1</w:t>
      </w:r>
      <w:r>
        <w:rPr>
          <w:sz w:val="28"/>
          <w:szCs w:val="28"/>
          <w:lang w:val="uk-UA"/>
        </w:rPr>
        <w:t>4</w:t>
      </w:r>
      <w:r w:rsidRPr="00FA1F54">
        <w:rPr>
          <w:sz w:val="28"/>
          <w:szCs w:val="28"/>
          <w:lang w:val="uk-UA"/>
        </w:rPr>
        <w:t>» замінити цифрами та знаками «2.2.1</w:t>
      </w:r>
      <w:r>
        <w:rPr>
          <w:sz w:val="28"/>
          <w:szCs w:val="28"/>
          <w:lang w:val="uk-UA"/>
        </w:rPr>
        <w:t>5</w:t>
      </w:r>
      <w:r w:rsidRPr="00FA1F54">
        <w:rPr>
          <w:sz w:val="28"/>
          <w:szCs w:val="28"/>
          <w:lang w:val="uk-UA"/>
        </w:rPr>
        <w:t>»</w:t>
      </w:r>
      <w:r>
        <w:rPr>
          <w:sz w:val="28"/>
          <w:szCs w:val="28"/>
          <w:lang w:val="uk-UA"/>
        </w:rPr>
        <w:t>;</w:t>
      </w:r>
    </w:p>
    <w:p w14:paraId="5FDEF104" w14:textId="3FAE7B67" w:rsidR="00954DA1" w:rsidRPr="003A0902" w:rsidRDefault="002A2F2A" w:rsidP="00485440">
      <w:pPr>
        <w:pStyle w:val="a3"/>
        <w:ind w:left="0" w:firstLine="851"/>
        <w:jc w:val="both"/>
        <w:rPr>
          <w:sz w:val="28"/>
          <w:szCs w:val="28"/>
          <w:lang w:val="uk-UA"/>
        </w:rPr>
      </w:pPr>
      <w:r w:rsidRPr="003A0902">
        <w:rPr>
          <w:sz w:val="28"/>
          <w:szCs w:val="28"/>
          <w:lang w:val="uk-UA"/>
        </w:rPr>
        <w:t>в абзаці</w:t>
      </w:r>
      <w:r w:rsidR="000C3F8C" w:rsidRPr="003A0902">
        <w:rPr>
          <w:sz w:val="28"/>
          <w:szCs w:val="28"/>
          <w:lang w:val="uk-UA"/>
        </w:rPr>
        <w:t xml:space="preserve"> четвертом</w:t>
      </w:r>
      <w:r w:rsidR="004E71C1" w:rsidRPr="003A0902">
        <w:rPr>
          <w:sz w:val="28"/>
          <w:szCs w:val="28"/>
          <w:lang w:val="uk-UA"/>
        </w:rPr>
        <w:t xml:space="preserve">у </w:t>
      </w:r>
      <w:r w:rsidR="00954DA1" w:rsidRPr="003A0902">
        <w:rPr>
          <w:sz w:val="28"/>
          <w:szCs w:val="28"/>
          <w:lang w:val="uk-UA"/>
        </w:rPr>
        <w:t>пункт</w:t>
      </w:r>
      <w:r w:rsidR="000C3F8C" w:rsidRPr="003A0902">
        <w:rPr>
          <w:sz w:val="28"/>
          <w:szCs w:val="28"/>
          <w:lang w:val="uk-UA"/>
        </w:rPr>
        <w:t>у</w:t>
      </w:r>
      <w:r w:rsidR="00954DA1" w:rsidRPr="003A0902">
        <w:rPr>
          <w:sz w:val="28"/>
          <w:szCs w:val="28"/>
          <w:lang w:val="uk-UA"/>
        </w:rPr>
        <w:t xml:space="preserve"> 2.2.8</w:t>
      </w:r>
      <w:r w:rsidR="000C3F8C" w:rsidRPr="003A0902">
        <w:rPr>
          <w:sz w:val="28"/>
          <w:szCs w:val="28"/>
          <w:lang w:val="uk-UA"/>
        </w:rPr>
        <w:t xml:space="preserve"> цифру та слово «1 бал» замінити цифрою та словом «</w:t>
      </w:r>
      <w:r w:rsidR="00954DA1" w:rsidRPr="003A0902">
        <w:rPr>
          <w:sz w:val="28"/>
          <w:szCs w:val="28"/>
          <w:lang w:val="uk-UA"/>
        </w:rPr>
        <w:t>2 бали»;</w:t>
      </w:r>
    </w:p>
    <w:p w14:paraId="445E5FF7" w14:textId="6399AA5B" w:rsidR="00954DA1" w:rsidRPr="003A0902" w:rsidRDefault="003E0514" w:rsidP="004E71C1">
      <w:pPr>
        <w:tabs>
          <w:tab w:val="left" w:pos="851"/>
        </w:tabs>
        <w:ind w:firstLine="851"/>
        <w:jc w:val="both"/>
        <w:rPr>
          <w:sz w:val="28"/>
          <w:szCs w:val="28"/>
          <w:lang w:val="uk-UA"/>
        </w:rPr>
      </w:pPr>
      <w:r w:rsidRPr="003A0902">
        <w:rPr>
          <w:sz w:val="28"/>
          <w:szCs w:val="28"/>
          <w:lang w:val="uk-UA"/>
        </w:rPr>
        <w:t xml:space="preserve">після пункту 2.2.8 </w:t>
      </w:r>
      <w:r w:rsidR="004E71C1" w:rsidRPr="003A0902">
        <w:rPr>
          <w:sz w:val="28"/>
          <w:szCs w:val="28"/>
          <w:lang w:val="uk-UA"/>
        </w:rPr>
        <w:t xml:space="preserve">доповнити новим пунктом </w:t>
      </w:r>
      <w:r w:rsidRPr="003A0902">
        <w:rPr>
          <w:sz w:val="28"/>
          <w:szCs w:val="28"/>
          <w:lang w:val="uk-UA"/>
        </w:rPr>
        <w:t xml:space="preserve">2.2.9 </w:t>
      </w:r>
      <w:r w:rsidR="004E71C1" w:rsidRPr="003A0902">
        <w:rPr>
          <w:sz w:val="28"/>
          <w:szCs w:val="28"/>
          <w:lang w:val="uk-UA"/>
        </w:rPr>
        <w:t>такого змісту:</w:t>
      </w:r>
    </w:p>
    <w:p w14:paraId="701542AF" w14:textId="1CE01682" w:rsidR="004E71C1" w:rsidRPr="003A0902" w:rsidRDefault="004E71C1" w:rsidP="00485440">
      <w:pPr>
        <w:tabs>
          <w:tab w:val="left" w:pos="851"/>
        </w:tabs>
        <w:ind w:firstLine="851"/>
        <w:jc w:val="both"/>
        <w:rPr>
          <w:sz w:val="28"/>
          <w:szCs w:val="28"/>
          <w:lang w:val="uk-UA"/>
        </w:rPr>
      </w:pPr>
      <w:r w:rsidRPr="003A0902">
        <w:rPr>
          <w:sz w:val="28"/>
          <w:szCs w:val="28"/>
          <w:lang w:val="uk-UA"/>
        </w:rPr>
        <w:t xml:space="preserve">«2.2.9. За критерієм </w:t>
      </w:r>
      <w:r w:rsidR="00932C10" w:rsidRPr="003A0902">
        <w:rPr>
          <w:sz w:val="28"/>
          <w:szCs w:val="28"/>
          <w:lang w:val="uk-UA"/>
        </w:rPr>
        <w:t>«</w:t>
      </w:r>
      <w:r w:rsidRPr="003A0902">
        <w:rPr>
          <w:sz w:val="28"/>
          <w:szCs w:val="28"/>
          <w:lang w:val="uk-UA"/>
        </w:rPr>
        <w:t>досвід ліцензіат</w:t>
      </w:r>
      <w:r w:rsidR="00485440" w:rsidRPr="003A0902">
        <w:rPr>
          <w:sz w:val="28"/>
          <w:szCs w:val="28"/>
          <w:lang w:val="uk-UA"/>
        </w:rPr>
        <w:t>ів</w:t>
      </w:r>
      <w:r w:rsidRPr="003A0902">
        <w:rPr>
          <w:sz w:val="28"/>
          <w:szCs w:val="28"/>
          <w:lang w:val="uk-UA"/>
        </w:rPr>
        <w:t xml:space="preserve"> НКРЕКП</w:t>
      </w:r>
      <w:r w:rsidR="00485440" w:rsidRPr="003A0902">
        <w:rPr>
          <w:sz w:val="28"/>
          <w:szCs w:val="28"/>
          <w:lang w:val="uk-UA"/>
        </w:rPr>
        <w:t>»</w:t>
      </w:r>
      <w:r w:rsidRPr="003A0902">
        <w:rPr>
          <w:sz w:val="28"/>
          <w:szCs w:val="28"/>
          <w:lang w:val="uk-UA"/>
        </w:rPr>
        <w:t xml:space="preserve"> визначаються:</w:t>
      </w:r>
    </w:p>
    <w:p w14:paraId="39E6BB14" w14:textId="45B02679" w:rsidR="004E71C1" w:rsidRPr="003A0902" w:rsidRDefault="00C75136" w:rsidP="004E71C1">
      <w:pPr>
        <w:tabs>
          <w:tab w:val="left" w:pos="851"/>
        </w:tabs>
        <w:ind w:firstLine="851"/>
        <w:jc w:val="both"/>
        <w:rPr>
          <w:sz w:val="28"/>
          <w:szCs w:val="28"/>
          <w:lang w:val="uk-UA"/>
        </w:rPr>
      </w:pPr>
      <w:r w:rsidRPr="003A0902">
        <w:rPr>
          <w:sz w:val="28"/>
          <w:szCs w:val="28"/>
          <w:lang w:val="uk-UA"/>
        </w:rPr>
        <w:t xml:space="preserve">ліцензіат 1-ого рівня </w:t>
      </w:r>
      <w:r w:rsidR="00EF3BE1" w:rsidRPr="003A0902">
        <w:rPr>
          <w:sz w:val="28"/>
          <w:szCs w:val="28"/>
          <w:lang w:val="uk-UA"/>
        </w:rPr>
        <w:t xml:space="preserve">(який провадить господарську діяльність до 1 року) </w:t>
      </w:r>
      <w:r w:rsidR="004E71C1" w:rsidRPr="003A0902">
        <w:rPr>
          <w:sz w:val="28"/>
          <w:szCs w:val="28"/>
          <w:lang w:val="uk-UA"/>
        </w:rPr>
        <w:t>(1 бал);</w:t>
      </w:r>
    </w:p>
    <w:p w14:paraId="63A3B49F" w14:textId="7E046EEF" w:rsidR="004E71C1" w:rsidRPr="003A0902" w:rsidRDefault="00C75136" w:rsidP="004E71C1">
      <w:pPr>
        <w:tabs>
          <w:tab w:val="left" w:pos="851"/>
        </w:tabs>
        <w:ind w:firstLine="851"/>
        <w:jc w:val="both"/>
        <w:rPr>
          <w:sz w:val="28"/>
          <w:szCs w:val="28"/>
          <w:lang w:val="uk-UA"/>
        </w:rPr>
      </w:pPr>
      <w:r w:rsidRPr="003A0902">
        <w:rPr>
          <w:sz w:val="28"/>
          <w:szCs w:val="28"/>
          <w:lang w:val="uk-UA"/>
        </w:rPr>
        <w:t xml:space="preserve">ліцензіат 2-ого рівня </w:t>
      </w:r>
      <w:r w:rsidR="00B711B6" w:rsidRPr="003A0902">
        <w:rPr>
          <w:sz w:val="28"/>
          <w:szCs w:val="28"/>
          <w:lang w:val="uk-UA"/>
        </w:rPr>
        <w:t xml:space="preserve">(який провадить господарську діяльність від 1 до </w:t>
      </w:r>
      <w:r w:rsidR="00A04301" w:rsidRPr="003A0902">
        <w:rPr>
          <w:sz w:val="28"/>
          <w:szCs w:val="28"/>
          <w:lang w:val="uk-UA"/>
        </w:rPr>
        <w:t>3</w:t>
      </w:r>
      <w:r w:rsidR="00A04301">
        <w:rPr>
          <w:sz w:val="28"/>
          <w:szCs w:val="28"/>
          <w:lang w:val="uk-UA"/>
        </w:rPr>
        <w:t> </w:t>
      </w:r>
      <w:r w:rsidR="00B711B6" w:rsidRPr="003A0902">
        <w:rPr>
          <w:sz w:val="28"/>
          <w:szCs w:val="28"/>
          <w:lang w:val="uk-UA"/>
        </w:rPr>
        <w:t xml:space="preserve">років) </w:t>
      </w:r>
      <w:r w:rsidR="004E71C1" w:rsidRPr="003A0902">
        <w:rPr>
          <w:sz w:val="28"/>
          <w:szCs w:val="28"/>
          <w:lang w:val="uk-UA"/>
        </w:rPr>
        <w:t>(2 бали);</w:t>
      </w:r>
    </w:p>
    <w:p w14:paraId="1A55271C" w14:textId="00F96678" w:rsidR="004E71C1" w:rsidRPr="003A0902" w:rsidRDefault="00C75136" w:rsidP="004E71C1">
      <w:pPr>
        <w:tabs>
          <w:tab w:val="left" w:pos="851"/>
        </w:tabs>
        <w:ind w:firstLine="851"/>
        <w:jc w:val="both"/>
        <w:rPr>
          <w:sz w:val="28"/>
          <w:szCs w:val="28"/>
          <w:lang w:val="uk-UA"/>
        </w:rPr>
      </w:pPr>
      <w:r w:rsidRPr="003A0902">
        <w:rPr>
          <w:sz w:val="28"/>
          <w:szCs w:val="28"/>
          <w:lang w:val="uk-UA"/>
        </w:rPr>
        <w:t xml:space="preserve">ліцензіат 3-ого рівня </w:t>
      </w:r>
      <w:r w:rsidR="00575AFC" w:rsidRPr="003A0902">
        <w:rPr>
          <w:sz w:val="28"/>
          <w:szCs w:val="28"/>
          <w:lang w:val="uk-UA"/>
        </w:rPr>
        <w:t xml:space="preserve">(який провадить господарську діяльність від 3 до </w:t>
      </w:r>
      <w:r w:rsidR="00A04301" w:rsidRPr="003A0902">
        <w:rPr>
          <w:sz w:val="28"/>
          <w:szCs w:val="28"/>
          <w:lang w:val="uk-UA"/>
        </w:rPr>
        <w:t>5</w:t>
      </w:r>
      <w:r w:rsidR="00A04301">
        <w:rPr>
          <w:sz w:val="28"/>
          <w:szCs w:val="28"/>
          <w:lang w:val="uk-UA"/>
        </w:rPr>
        <w:t> </w:t>
      </w:r>
      <w:r w:rsidR="00575AFC" w:rsidRPr="003A0902">
        <w:rPr>
          <w:sz w:val="28"/>
          <w:szCs w:val="28"/>
          <w:lang w:val="uk-UA"/>
        </w:rPr>
        <w:t xml:space="preserve">років) </w:t>
      </w:r>
      <w:r w:rsidR="004E71C1" w:rsidRPr="003A0902">
        <w:rPr>
          <w:sz w:val="28"/>
          <w:szCs w:val="28"/>
          <w:lang w:val="uk-UA"/>
        </w:rPr>
        <w:t xml:space="preserve">(3 </w:t>
      </w:r>
      <w:r w:rsidR="00A04301" w:rsidRPr="003A0902">
        <w:rPr>
          <w:sz w:val="28"/>
          <w:szCs w:val="28"/>
          <w:lang w:val="uk-UA"/>
        </w:rPr>
        <w:t>бал</w:t>
      </w:r>
      <w:r w:rsidR="00A04301">
        <w:rPr>
          <w:sz w:val="28"/>
          <w:szCs w:val="28"/>
          <w:lang w:val="uk-UA"/>
        </w:rPr>
        <w:t>и</w:t>
      </w:r>
      <w:r w:rsidR="004E71C1" w:rsidRPr="003A0902">
        <w:rPr>
          <w:sz w:val="28"/>
          <w:szCs w:val="28"/>
          <w:lang w:val="uk-UA"/>
        </w:rPr>
        <w:t>);</w:t>
      </w:r>
    </w:p>
    <w:p w14:paraId="534C2973" w14:textId="7E8DECE5" w:rsidR="001F4AFE" w:rsidRPr="003A0902" w:rsidRDefault="00C75136" w:rsidP="004E71C1">
      <w:pPr>
        <w:tabs>
          <w:tab w:val="left" w:pos="851"/>
        </w:tabs>
        <w:ind w:firstLine="851"/>
        <w:jc w:val="both"/>
        <w:rPr>
          <w:sz w:val="28"/>
          <w:szCs w:val="28"/>
          <w:lang w:val="uk-UA"/>
        </w:rPr>
      </w:pPr>
      <w:r w:rsidRPr="003A0902">
        <w:rPr>
          <w:sz w:val="28"/>
          <w:szCs w:val="28"/>
          <w:lang w:val="uk-UA"/>
        </w:rPr>
        <w:t xml:space="preserve">ліцензіат 4-ого рівня </w:t>
      </w:r>
      <w:r w:rsidR="006149BD" w:rsidRPr="003A0902">
        <w:rPr>
          <w:sz w:val="28"/>
          <w:szCs w:val="28"/>
          <w:lang w:val="uk-UA"/>
        </w:rPr>
        <w:t xml:space="preserve">(який провадить господарську діяльність більше </w:t>
      </w:r>
      <w:r w:rsidR="00A04301" w:rsidRPr="003A0902">
        <w:rPr>
          <w:sz w:val="28"/>
          <w:szCs w:val="28"/>
          <w:lang w:val="uk-UA"/>
        </w:rPr>
        <w:t>5</w:t>
      </w:r>
      <w:r w:rsidR="00A04301">
        <w:rPr>
          <w:sz w:val="28"/>
          <w:szCs w:val="28"/>
          <w:lang w:val="uk-UA"/>
        </w:rPr>
        <w:t> </w:t>
      </w:r>
      <w:r w:rsidR="006149BD" w:rsidRPr="003A0902">
        <w:rPr>
          <w:sz w:val="28"/>
          <w:szCs w:val="28"/>
          <w:lang w:val="uk-UA"/>
        </w:rPr>
        <w:t xml:space="preserve">років) </w:t>
      </w:r>
      <w:r w:rsidR="004E71C1" w:rsidRPr="003A0902">
        <w:rPr>
          <w:sz w:val="28"/>
          <w:szCs w:val="28"/>
          <w:lang w:val="uk-UA"/>
        </w:rPr>
        <w:t xml:space="preserve">(4 </w:t>
      </w:r>
      <w:r w:rsidR="00A04301" w:rsidRPr="003A0902">
        <w:rPr>
          <w:sz w:val="28"/>
          <w:szCs w:val="28"/>
          <w:lang w:val="uk-UA"/>
        </w:rPr>
        <w:t>бал</w:t>
      </w:r>
      <w:r w:rsidR="00A04301">
        <w:rPr>
          <w:sz w:val="28"/>
          <w:szCs w:val="28"/>
          <w:lang w:val="uk-UA"/>
        </w:rPr>
        <w:t>и</w:t>
      </w:r>
      <w:r w:rsidR="004E71C1" w:rsidRPr="003A0902">
        <w:rPr>
          <w:sz w:val="28"/>
          <w:szCs w:val="28"/>
          <w:lang w:val="uk-UA"/>
        </w:rPr>
        <w:t>).»</w:t>
      </w:r>
      <w:r w:rsidR="003E0514" w:rsidRPr="003A0902">
        <w:rPr>
          <w:sz w:val="28"/>
          <w:szCs w:val="28"/>
          <w:lang w:val="uk-UA"/>
        </w:rPr>
        <w:t>.</w:t>
      </w:r>
    </w:p>
    <w:p w14:paraId="267A7777" w14:textId="106FCC2E" w:rsidR="001F4AFE" w:rsidRPr="003A0902" w:rsidRDefault="004E71C1" w:rsidP="004E71C1">
      <w:pPr>
        <w:tabs>
          <w:tab w:val="left" w:pos="851"/>
        </w:tabs>
        <w:ind w:firstLine="851"/>
        <w:jc w:val="both"/>
        <w:rPr>
          <w:sz w:val="28"/>
          <w:szCs w:val="28"/>
          <w:lang w:val="uk-UA"/>
        </w:rPr>
      </w:pPr>
      <w:r w:rsidRPr="003A0902">
        <w:rPr>
          <w:sz w:val="28"/>
          <w:szCs w:val="28"/>
          <w:lang w:val="uk-UA"/>
        </w:rPr>
        <w:t xml:space="preserve">У зв’язку з цим пункти 2.2.9 – 2.2.14 вважати </w:t>
      </w:r>
      <w:r w:rsidR="005436EA" w:rsidRPr="003A0902">
        <w:rPr>
          <w:sz w:val="28"/>
          <w:szCs w:val="28"/>
          <w:lang w:val="uk-UA"/>
        </w:rPr>
        <w:t>відп</w:t>
      </w:r>
      <w:r w:rsidR="00D02EB5" w:rsidRPr="003A0902">
        <w:rPr>
          <w:sz w:val="28"/>
          <w:szCs w:val="28"/>
          <w:lang w:val="uk-UA"/>
        </w:rPr>
        <w:t xml:space="preserve">овідно </w:t>
      </w:r>
      <w:r w:rsidRPr="003A0902">
        <w:rPr>
          <w:sz w:val="28"/>
          <w:szCs w:val="28"/>
          <w:lang w:val="uk-UA"/>
        </w:rPr>
        <w:t>пунктами 2.2.10</w:t>
      </w:r>
      <w:r w:rsidR="00D02EB5" w:rsidRPr="003A0902">
        <w:rPr>
          <w:sz w:val="28"/>
          <w:szCs w:val="28"/>
          <w:lang w:val="uk-UA"/>
        </w:rPr>
        <w:t> </w:t>
      </w:r>
      <w:r w:rsidRPr="003A0902">
        <w:rPr>
          <w:sz w:val="28"/>
          <w:szCs w:val="28"/>
          <w:lang w:val="uk-UA"/>
        </w:rPr>
        <w:t>–</w:t>
      </w:r>
      <w:r w:rsidR="00D02EB5" w:rsidRPr="003A0902">
        <w:rPr>
          <w:sz w:val="28"/>
          <w:szCs w:val="28"/>
          <w:lang w:val="uk-UA"/>
        </w:rPr>
        <w:t> </w:t>
      </w:r>
      <w:r w:rsidRPr="003A0902">
        <w:rPr>
          <w:sz w:val="28"/>
          <w:szCs w:val="28"/>
          <w:lang w:val="uk-UA"/>
        </w:rPr>
        <w:t>2.2.15</w:t>
      </w:r>
      <w:r w:rsidR="00D02EB5" w:rsidRPr="003A0902">
        <w:rPr>
          <w:sz w:val="28"/>
          <w:szCs w:val="28"/>
          <w:lang w:val="uk-UA"/>
        </w:rPr>
        <w:t>;</w:t>
      </w:r>
    </w:p>
    <w:p w14:paraId="4C1D8163" w14:textId="739418DE" w:rsidR="00301659" w:rsidRPr="003A0902" w:rsidRDefault="00301659" w:rsidP="00301659">
      <w:pPr>
        <w:pStyle w:val="a3"/>
        <w:tabs>
          <w:tab w:val="left" w:pos="851"/>
        </w:tabs>
        <w:ind w:left="851"/>
        <w:jc w:val="both"/>
        <w:rPr>
          <w:sz w:val="28"/>
          <w:szCs w:val="28"/>
          <w:lang w:val="uk-UA"/>
        </w:rPr>
      </w:pPr>
      <w:r w:rsidRPr="003A0902">
        <w:rPr>
          <w:sz w:val="28"/>
          <w:szCs w:val="28"/>
          <w:lang w:val="uk-UA"/>
        </w:rPr>
        <w:t>у пункті 2.2.13:</w:t>
      </w:r>
    </w:p>
    <w:p w14:paraId="138AE135" w14:textId="611DC840" w:rsidR="00EF3245" w:rsidRPr="003A0902" w:rsidRDefault="00EF3245" w:rsidP="00485440">
      <w:pPr>
        <w:pStyle w:val="a3"/>
        <w:ind w:left="0" w:firstLine="851"/>
        <w:jc w:val="both"/>
        <w:rPr>
          <w:sz w:val="28"/>
          <w:szCs w:val="28"/>
          <w:lang w:val="uk-UA"/>
        </w:rPr>
      </w:pPr>
      <w:r w:rsidRPr="003A0902">
        <w:rPr>
          <w:sz w:val="28"/>
          <w:szCs w:val="28"/>
          <w:lang w:val="uk-UA"/>
        </w:rPr>
        <w:t>в абзаці першому цифри та знаки «2.2.11» замінити цифрами та знаками</w:t>
      </w:r>
      <w:r w:rsidR="00485440" w:rsidRPr="003A0902">
        <w:rPr>
          <w:sz w:val="28"/>
          <w:szCs w:val="28"/>
          <w:lang w:val="uk-UA"/>
        </w:rPr>
        <w:t> </w:t>
      </w:r>
      <w:r w:rsidRPr="003A0902">
        <w:rPr>
          <w:sz w:val="28"/>
          <w:szCs w:val="28"/>
          <w:lang w:val="uk-UA"/>
        </w:rPr>
        <w:t>«2.2.12»;</w:t>
      </w:r>
    </w:p>
    <w:p w14:paraId="0464651B" w14:textId="30C75AE5" w:rsidR="001F4AFE" w:rsidRPr="003A0902" w:rsidRDefault="00301659" w:rsidP="00301659">
      <w:pPr>
        <w:pStyle w:val="a3"/>
        <w:tabs>
          <w:tab w:val="left" w:pos="851"/>
        </w:tabs>
        <w:ind w:left="851"/>
        <w:jc w:val="both"/>
        <w:rPr>
          <w:sz w:val="28"/>
          <w:szCs w:val="28"/>
          <w:lang w:val="uk-UA"/>
        </w:rPr>
      </w:pPr>
      <w:r w:rsidRPr="003A0902">
        <w:rPr>
          <w:sz w:val="28"/>
          <w:szCs w:val="28"/>
          <w:lang w:val="uk-UA"/>
        </w:rPr>
        <w:t>таблицю викласти в такій редакції:</w:t>
      </w:r>
    </w:p>
    <w:p w14:paraId="6AF6D95C" w14:textId="741B6F40" w:rsidR="00301659" w:rsidRPr="003A0902" w:rsidRDefault="00301659" w:rsidP="00301659">
      <w:pPr>
        <w:pStyle w:val="a3"/>
        <w:tabs>
          <w:tab w:val="left" w:pos="851"/>
        </w:tabs>
        <w:ind w:left="851"/>
        <w:jc w:val="both"/>
        <w:rPr>
          <w:sz w:val="28"/>
          <w:szCs w:val="28"/>
          <w:lang w:val="uk-UA"/>
        </w:rPr>
      </w:pPr>
      <w:r w:rsidRPr="003A0902">
        <w:rPr>
          <w:sz w:val="28"/>
          <w:szCs w:val="28"/>
          <w:lang w:val="uk-UA"/>
        </w:rPr>
        <w:t>«</w:t>
      </w:r>
    </w:p>
    <w:tbl>
      <w:tblPr>
        <w:tblW w:w="9690" w:type="dxa"/>
        <w:jc w:val="center"/>
        <w:tblCellSpacing w:w="0" w:type="auto"/>
        <w:tblLook w:val="04A0" w:firstRow="1" w:lastRow="0" w:firstColumn="1" w:lastColumn="0" w:noHBand="0" w:noVBand="1"/>
      </w:tblPr>
      <w:tblGrid>
        <w:gridCol w:w="5387"/>
        <w:gridCol w:w="4303"/>
      </w:tblGrid>
      <w:tr w:rsidR="003A0902" w:rsidRPr="003A0902" w14:paraId="355C9BA5" w14:textId="77777777" w:rsidTr="00301659">
        <w:trPr>
          <w:trHeight w:val="113"/>
          <w:tblCellSpacing w:w="0" w:type="auto"/>
          <w:jc w:val="center"/>
        </w:trPr>
        <w:tc>
          <w:tcPr>
            <w:tcW w:w="5387" w:type="dxa"/>
            <w:vAlign w:val="center"/>
          </w:tcPr>
          <w:p w14:paraId="272F2B9F" w14:textId="77777777" w:rsidR="00301659" w:rsidRPr="003A0902" w:rsidRDefault="00301659" w:rsidP="00301659">
            <w:pPr>
              <w:jc w:val="center"/>
              <w:rPr>
                <w:rFonts w:eastAsiaTheme="minorEastAsia"/>
                <w:b/>
                <w:bCs/>
                <w:szCs w:val="28"/>
                <w:lang w:val="uk-UA" w:eastAsia="uk-UA"/>
              </w:rPr>
            </w:pPr>
            <w:r w:rsidRPr="003A0902">
              <w:rPr>
                <w:rFonts w:eastAsiaTheme="minorEastAsia"/>
                <w:b/>
                <w:bCs/>
                <w:szCs w:val="28"/>
                <w:lang w:val="uk-UA" w:eastAsia="uk-UA"/>
              </w:rPr>
              <w:t>Сума оцінки серйозності та характеру (бали)</w:t>
            </w:r>
          </w:p>
        </w:tc>
        <w:tc>
          <w:tcPr>
            <w:tcW w:w="4303" w:type="dxa"/>
            <w:vAlign w:val="center"/>
          </w:tcPr>
          <w:p w14:paraId="276DAB98" w14:textId="77777777" w:rsidR="00301659" w:rsidRPr="003A0902" w:rsidRDefault="00301659" w:rsidP="00301659">
            <w:pPr>
              <w:jc w:val="center"/>
              <w:rPr>
                <w:rFonts w:eastAsiaTheme="minorEastAsia"/>
                <w:b/>
                <w:bCs/>
                <w:szCs w:val="28"/>
                <w:lang w:val="uk-UA" w:eastAsia="uk-UA"/>
              </w:rPr>
            </w:pPr>
            <w:r w:rsidRPr="003A0902">
              <w:rPr>
                <w:rFonts w:eastAsiaTheme="minorEastAsia"/>
                <w:b/>
                <w:bCs/>
                <w:szCs w:val="28"/>
                <w:lang w:val="uk-UA" w:eastAsia="uk-UA"/>
              </w:rPr>
              <w:t>Відсоток серйозності та характеру порушення</w:t>
            </w:r>
          </w:p>
        </w:tc>
      </w:tr>
      <w:tr w:rsidR="003A0902" w:rsidRPr="003A0902" w14:paraId="1485715A" w14:textId="77777777" w:rsidTr="00301659">
        <w:trPr>
          <w:trHeight w:val="113"/>
          <w:tblCellSpacing w:w="0" w:type="auto"/>
          <w:jc w:val="center"/>
        </w:trPr>
        <w:tc>
          <w:tcPr>
            <w:tcW w:w="5387" w:type="dxa"/>
            <w:vAlign w:val="center"/>
          </w:tcPr>
          <w:p w14:paraId="3CCBCFF9" w14:textId="77777777" w:rsidR="00301659" w:rsidRPr="003E1F43" w:rsidRDefault="00301659" w:rsidP="00301659">
            <w:pPr>
              <w:jc w:val="center"/>
              <w:rPr>
                <w:rFonts w:eastAsiaTheme="minorEastAsia"/>
                <w:bCs/>
                <w:szCs w:val="28"/>
                <w:lang w:val="uk-UA" w:eastAsia="uk-UA"/>
              </w:rPr>
            </w:pPr>
            <w:r w:rsidRPr="003E1F43">
              <w:rPr>
                <w:rFonts w:eastAsiaTheme="minorEastAsia"/>
                <w:bCs/>
                <w:szCs w:val="28"/>
                <w:lang w:val="uk-UA" w:eastAsia="uk-UA"/>
              </w:rPr>
              <w:t>5 - 8</w:t>
            </w:r>
          </w:p>
        </w:tc>
        <w:tc>
          <w:tcPr>
            <w:tcW w:w="4303" w:type="dxa"/>
            <w:vAlign w:val="center"/>
          </w:tcPr>
          <w:p w14:paraId="71F664C9" w14:textId="6670767F" w:rsidR="00301659" w:rsidRPr="003E1F43" w:rsidRDefault="00301659" w:rsidP="00301659">
            <w:pPr>
              <w:jc w:val="center"/>
              <w:rPr>
                <w:rFonts w:eastAsiaTheme="minorEastAsia"/>
                <w:bCs/>
                <w:szCs w:val="28"/>
                <w:lang w:val="uk-UA" w:eastAsia="uk-UA"/>
              </w:rPr>
            </w:pPr>
            <w:r w:rsidRPr="003E1F43">
              <w:rPr>
                <w:rFonts w:eastAsiaTheme="minorEastAsia"/>
                <w:bCs/>
                <w:szCs w:val="28"/>
                <w:lang w:val="uk-UA" w:eastAsia="uk-UA"/>
              </w:rPr>
              <w:t>3 %</w:t>
            </w:r>
          </w:p>
        </w:tc>
      </w:tr>
      <w:tr w:rsidR="003A0902" w:rsidRPr="003A0902" w14:paraId="2CE1026D" w14:textId="77777777" w:rsidTr="00301659">
        <w:trPr>
          <w:trHeight w:val="113"/>
          <w:tblCellSpacing w:w="0" w:type="auto"/>
          <w:jc w:val="center"/>
        </w:trPr>
        <w:tc>
          <w:tcPr>
            <w:tcW w:w="5387" w:type="dxa"/>
            <w:vAlign w:val="center"/>
          </w:tcPr>
          <w:p w14:paraId="5E5A46C3" w14:textId="77777777" w:rsidR="00301659" w:rsidRPr="003E1F43" w:rsidRDefault="00301659" w:rsidP="00301659">
            <w:pPr>
              <w:jc w:val="center"/>
              <w:rPr>
                <w:rFonts w:eastAsiaTheme="minorEastAsia"/>
                <w:bCs/>
                <w:szCs w:val="28"/>
                <w:lang w:val="uk-UA" w:eastAsia="uk-UA"/>
              </w:rPr>
            </w:pPr>
            <w:r w:rsidRPr="003E1F43">
              <w:rPr>
                <w:rFonts w:eastAsiaTheme="minorEastAsia"/>
                <w:bCs/>
                <w:szCs w:val="28"/>
                <w:lang w:val="uk-UA" w:eastAsia="uk-UA"/>
              </w:rPr>
              <w:t>9 - 12</w:t>
            </w:r>
          </w:p>
        </w:tc>
        <w:tc>
          <w:tcPr>
            <w:tcW w:w="4303" w:type="dxa"/>
            <w:vAlign w:val="center"/>
          </w:tcPr>
          <w:p w14:paraId="4859821A" w14:textId="77777777" w:rsidR="00301659" w:rsidRPr="003E1F43" w:rsidRDefault="00301659" w:rsidP="00301659">
            <w:pPr>
              <w:jc w:val="center"/>
              <w:rPr>
                <w:rFonts w:eastAsiaTheme="minorEastAsia"/>
                <w:bCs/>
                <w:szCs w:val="28"/>
                <w:lang w:val="uk-UA" w:eastAsia="uk-UA"/>
              </w:rPr>
            </w:pPr>
            <w:r w:rsidRPr="003E1F43">
              <w:rPr>
                <w:rFonts w:eastAsiaTheme="minorEastAsia"/>
                <w:bCs/>
                <w:szCs w:val="28"/>
                <w:lang w:val="uk-UA" w:eastAsia="uk-UA"/>
              </w:rPr>
              <w:t>4 %</w:t>
            </w:r>
          </w:p>
        </w:tc>
      </w:tr>
      <w:tr w:rsidR="003A0902" w:rsidRPr="003A0902" w14:paraId="6EDC5AC3" w14:textId="77777777" w:rsidTr="00301659">
        <w:trPr>
          <w:trHeight w:val="113"/>
          <w:tblCellSpacing w:w="0" w:type="auto"/>
          <w:jc w:val="center"/>
        </w:trPr>
        <w:tc>
          <w:tcPr>
            <w:tcW w:w="5387" w:type="dxa"/>
            <w:vAlign w:val="center"/>
          </w:tcPr>
          <w:p w14:paraId="4F26E76A" w14:textId="77777777" w:rsidR="00301659" w:rsidRPr="003E1F43" w:rsidRDefault="00301659" w:rsidP="00301659">
            <w:pPr>
              <w:jc w:val="center"/>
              <w:rPr>
                <w:rFonts w:eastAsiaTheme="minorEastAsia"/>
                <w:bCs/>
                <w:szCs w:val="28"/>
                <w:lang w:val="uk-UA" w:eastAsia="uk-UA"/>
              </w:rPr>
            </w:pPr>
            <w:r w:rsidRPr="003E1F43">
              <w:rPr>
                <w:rFonts w:eastAsiaTheme="minorEastAsia"/>
                <w:bCs/>
                <w:szCs w:val="28"/>
                <w:lang w:val="uk-UA" w:eastAsia="uk-UA"/>
              </w:rPr>
              <w:t>13 - 15</w:t>
            </w:r>
          </w:p>
        </w:tc>
        <w:tc>
          <w:tcPr>
            <w:tcW w:w="4303" w:type="dxa"/>
            <w:vAlign w:val="center"/>
          </w:tcPr>
          <w:p w14:paraId="2288A2DA" w14:textId="77777777" w:rsidR="00301659" w:rsidRPr="003E1F43" w:rsidRDefault="00301659" w:rsidP="00301659">
            <w:pPr>
              <w:jc w:val="center"/>
              <w:rPr>
                <w:rFonts w:eastAsiaTheme="minorEastAsia"/>
                <w:bCs/>
                <w:szCs w:val="28"/>
                <w:lang w:val="uk-UA" w:eastAsia="uk-UA"/>
              </w:rPr>
            </w:pPr>
            <w:r w:rsidRPr="003E1F43">
              <w:rPr>
                <w:rFonts w:eastAsiaTheme="minorEastAsia"/>
                <w:bCs/>
                <w:szCs w:val="28"/>
                <w:lang w:val="uk-UA" w:eastAsia="uk-UA"/>
              </w:rPr>
              <w:t>5 %</w:t>
            </w:r>
          </w:p>
        </w:tc>
      </w:tr>
      <w:tr w:rsidR="003A0902" w:rsidRPr="003A0902" w14:paraId="2F2A2317" w14:textId="77777777" w:rsidTr="00301659">
        <w:trPr>
          <w:trHeight w:val="113"/>
          <w:tblCellSpacing w:w="0" w:type="auto"/>
          <w:jc w:val="center"/>
        </w:trPr>
        <w:tc>
          <w:tcPr>
            <w:tcW w:w="5387" w:type="dxa"/>
            <w:vAlign w:val="center"/>
          </w:tcPr>
          <w:p w14:paraId="1692D551" w14:textId="77777777" w:rsidR="00301659" w:rsidRPr="003E1F43" w:rsidRDefault="00301659" w:rsidP="00301659">
            <w:pPr>
              <w:jc w:val="center"/>
              <w:rPr>
                <w:rFonts w:eastAsiaTheme="minorEastAsia"/>
                <w:bCs/>
                <w:szCs w:val="28"/>
                <w:lang w:val="uk-UA" w:eastAsia="uk-UA"/>
              </w:rPr>
            </w:pPr>
            <w:r w:rsidRPr="003E1F43">
              <w:rPr>
                <w:rFonts w:eastAsiaTheme="minorEastAsia"/>
                <w:bCs/>
                <w:szCs w:val="28"/>
                <w:lang w:val="uk-UA" w:eastAsia="uk-UA"/>
              </w:rPr>
              <w:t>16 - 18</w:t>
            </w:r>
          </w:p>
        </w:tc>
        <w:tc>
          <w:tcPr>
            <w:tcW w:w="4303" w:type="dxa"/>
            <w:vAlign w:val="center"/>
          </w:tcPr>
          <w:p w14:paraId="1A0E3C40" w14:textId="77777777" w:rsidR="00301659" w:rsidRPr="003E1F43" w:rsidRDefault="00301659" w:rsidP="00301659">
            <w:pPr>
              <w:jc w:val="center"/>
              <w:rPr>
                <w:rFonts w:eastAsiaTheme="minorEastAsia"/>
                <w:bCs/>
                <w:szCs w:val="28"/>
                <w:lang w:val="uk-UA" w:eastAsia="uk-UA"/>
              </w:rPr>
            </w:pPr>
            <w:r w:rsidRPr="003E1F43">
              <w:rPr>
                <w:rFonts w:eastAsiaTheme="minorEastAsia"/>
                <w:bCs/>
                <w:szCs w:val="28"/>
                <w:lang w:val="uk-UA" w:eastAsia="uk-UA"/>
              </w:rPr>
              <w:t>9 %</w:t>
            </w:r>
          </w:p>
        </w:tc>
      </w:tr>
      <w:tr w:rsidR="003A0902" w:rsidRPr="003A0902" w14:paraId="22E58A8C" w14:textId="77777777" w:rsidTr="00301659">
        <w:trPr>
          <w:trHeight w:val="113"/>
          <w:tblCellSpacing w:w="0" w:type="auto"/>
          <w:jc w:val="center"/>
        </w:trPr>
        <w:tc>
          <w:tcPr>
            <w:tcW w:w="5387" w:type="dxa"/>
            <w:vAlign w:val="center"/>
          </w:tcPr>
          <w:p w14:paraId="1ACFF6E0" w14:textId="00E5D2F0" w:rsidR="00301659" w:rsidRPr="003E1F43" w:rsidRDefault="00301659" w:rsidP="00EF3245">
            <w:pPr>
              <w:jc w:val="center"/>
              <w:rPr>
                <w:rFonts w:eastAsiaTheme="minorEastAsia"/>
                <w:bCs/>
                <w:szCs w:val="28"/>
                <w:lang w:val="uk-UA" w:eastAsia="uk-UA"/>
              </w:rPr>
            </w:pPr>
            <w:r w:rsidRPr="003E1F43">
              <w:rPr>
                <w:rFonts w:eastAsiaTheme="minorEastAsia"/>
                <w:bCs/>
                <w:szCs w:val="28"/>
                <w:lang w:val="uk-UA" w:eastAsia="uk-UA"/>
              </w:rPr>
              <w:t>19 – 21</w:t>
            </w:r>
          </w:p>
        </w:tc>
        <w:tc>
          <w:tcPr>
            <w:tcW w:w="4303" w:type="dxa"/>
            <w:vAlign w:val="center"/>
          </w:tcPr>
          <w:p w14:paraId="7AC6422C" w14:textId="44DF202C" w:rsidR="00301659" w:rsidRPr="003E1F43" w:rsidRDefault="00301659">
            <w:pPr>
              <w:jc w:val="center"/>
              <w:rPr>
                <w:rFonts w:eastAsiaTheme="minorEastAsia"/>
                <w:bCs/>
                <w:szCs w:val="28"/>
                <w:lang w:val="uk-UA" w:eastAsia="uk-UA"/>
              </w:rPr>
            </w:pPr>
            <w:r w:rsidRPr="003E1F43">
              <w:rPr>
                <w:rFonts w:eastAsiaTheme="minorEastAsia"/>
                <w:bCs/>
                <w:szCs w:val="28"/>
                <w:lang w:val="uk-UA" w:eastAsia="uk-UA"/>
              </w:rPr>
              <w:t>15 %</w:t>
            </w:r>
          </w:p>
        </w:tc>
      </w:tr>
      <w:tr w:rsidR="003A0902" w:rsidRPr="003A0902" w14:paraId="68B07177" w14:textId="77777777" w:rsidTr="00301659">
        <w:trPr>
          <w:trHeight w:val="113"/>
          <w:tblCellSpacing w:w="0" w:type="auto"/>
          <w:jc w:val="center"/>
        </w:trPr>
        <w:tc>
          <w:tcPr>
            <w:tcW w:w="5387" w:type="dxa"/>
            <w:vAlign w:val="center"/>
          </w:tcPr>
          <w:p w14:paraId="448C6D21" w14:textId="57F71854" w:rsidR="00EF3245" w:rsidRPr="003E1F43" w:rsidRDefault="00EF3245" w:rsidP="00301659">
            <w:pPr>
              <w:jc w:val="center"/>
              <w:rPr>
                <w:rFonts w:eastAsiaTheme="minorEastAsia"/>
                <w:bCs/>
                <w:szCs w:val="28"/>
                <w:lang w:val="uk-UA" w:eastAsia="uk-UA"/>
              </w:rPr>
            </w:pPr>
            <w:r w:rsidRPr="003E1F43">
              <w:rPr>
                <w:rFonts w:eastAsiaTheme="minorEastAsia"/>
                <w:bCs/>
                <w:szCs w:val="28"/>
                <w:lang w:val="uk-UA" w:eastAsia="uk-UA"/>
              </w:rPr>
              <w:t>22 – 25</w:t>
            </w:r>
          </w:p>
        </w:tc>
        <w:tc>
          <w:tcPr>
            <w:tcW w:w="4303" w:type="dxa"/>
            <w:vAlign w:val="center"/>
          </w:tcPr>
          <w:p w14:paraId="5A437370" w14:textId="259492DC" w:rsidR="00EF3245" w:rsidRPr="003E1F43" w:rsidRDefault="00EF3245" w:rsidP="00301659">
            <w:pPr>
              <w:jc w:val="center"/>
              <w:rPr>
                <w:rFonts w:eastAsiaTheme="minorEastAsia"/>
                <w:bCs/>
                <w:szCs w:val="28"/>
                <w:lang w:val="uk-UA" w:eastAsia="uk-UA"/>
              </w:rPr>
            </w:pPr>
            <w:r w:rsidRPr="003E1F43">
              <w:rPr>
                <w:rFonts w:eastAsiaTheme="minorEastAsia"/>
                <w:bCs/>
                <w:szCs w:val="28"/>
                <w:lang w:val="uk-UA" w:eastAsia="uk-UA"/>
              </w:rPr>
              <w:t>20%</w:t>
            </w:r>
          </w:p>
        </w:tc>
      </w:tr>
    </w:tbl>
    <w:p w14:paraId="1D33FB1C" w14:textId="3EE202F3" w:rsidR="004E71C1" w:rsidRPr="003A0902" w:rsidRDefault="00301659" w:rsidP="00301659">
      <w:pPr>
        <w:pStyle w:val="a3"/>
        <w:tabs>
          <w:tab w:val="left" w:pos="851"/>
        </w:tabs>
        <w:ind w:left="851"/>
        <w:jc w:val="right"/>
        <w:rPr>
          <w:sz w:val="28"/>
          <w:szCs w:val="28"/>
          <w:lang w:val="uk-UA"/>
        </w:rPr>
      </w:pPr>
      <w:r w:rsidRPr="003A0902">
        <w:rPr>
          <w:sz w:val="28"/>
          <w:szCs w:val="28"/>
          <w:lang w:val="uk-UA"/>
        </w:rPr>
        <w:t>»;</w:t>
      </w:r>
    </w:p>
    <w:p w14:paraId="2F850BAD" w14:textId="0E745073" w:rsidR="00D071BD" w:rsidRPr="003A0902" w:rsidRDefault="004C14E5" w:rsidP="003A0902">
      <w:pPr>
        <w:pStyle w:val="a3"/>
        <w:ind w:left="0" w:firstLine="851"/>
        <w:jc w:val="both"/>
        <w:rPr>
          <w:sz w:val="28"/>
          <w:szCs w:val="28"/>
          <w:lang w:val="uk-UA"/>
        </w:rPr>
      </w:pPr>
      <w:r w:rsidRPr="003A0902">
        <w:rPr>
          <w:sz w:val="28"/>
          <w:szCs w:val="28"/>
          <w:lang w:val="uk-UA"/>
        </w:rPr>
        <w:t xml:space="preserve">абзац другий </w:t>
      </w:r>
      <w:r w:rsidR="00D071BD" w:rsidRPr="003A0902">
        <w:rPr>
          <w:sz w:val="28"/>
          <w:szCs w:val="28"/>
          <w:lang w:val="uk-UA"/>
        </w:rPr>
        <w:t>пункт</w:t>
      </w:r>
      <w:r w:rsidRPr="003A0902">
        <w:rPr>
          <w:sz w:val="28"/>
          <w:szCs w:val="28"/>
          <w:lang w:val="uk-UA"/>
        </w:rPr>
        <w:t>у</w:t>
      </w:r>
      <w:r w:rsidR="00D071BD" w:rsidRPr="003A0902">
        <w:rPr>
          <w:sz w:val="28"/>
          <w:szCs w:val="28"/>
          <w:lang w:val="uk-UA"/>
        </w:rPr>
        <w:t xml:space="preserve"> 2.2.14</w:t>
      </w:r>
      <w:r w:rsidR="00485440" w:rsidRPr="003A0902">
        <w:rPr>
          <w:sz w:val="28"/>
          <w:szCs w:val="28"/>
          <w:lang w:val="uk-UA"/>
        </w:rPr>
        <w:t xml:space="preserve"> </w:t>
      </w:r>
      <w:r w:rsidR="00A91C02" w:rsidRPr="003A0902">
        <w:rPr>
          <w:sz w:val="28"/>
          <w:szCs w:val="28"/>
          <w:lang w:val="uk-UA"/>
        </w:rPr>
        <w:t>замінити чотирма новими абзацами другим – п’ятим такого змісту</w:t>
      </w:r>
      <w:r w:rsidR="00D071BD" w:rsidRPr="003A0902">
        <w:rPr>
          <w:sz w:val="28"/>
          <w:szCs w:val="28"/>
          <w:lang w:val="uk-UA"/>
        </w:rPr>
        <w:t>:</w:t>
      </w:r>
    </w:p>
    <w:p w14:paraId="59409E46" w14:textId="77777777" w:rsidR="00D071BD" w:rsidRPr="003A0902" w:rsidRDefault="00D071BD" w:rsidP="00D071BD">
      <w:pPr>
        <w:pStyle w:val="a3"/>
        <w:ind w:left="0" w:firstLine="851"/>
        <w:jc w:val="both"/>
        <w:rPr>
          <w:sz w:val="28"/>
          <w:szCs w:val="28"/>
          <w:lang w:val="uk-UA"/>
        </w:rPr>
      </w:pPr>
      <w:r w:rsidRPr="003A0902">
        <w:rPr>
          <w:sz w:val="28"/>
          <w:szCs w:val="28"/>
          <w:lang w:val="uk-UA"/>
        </w:rPr>
        <w:t>«Положення цього пункту не застосовується:</w:t>
      </w:r>
    </w:p>
    <w:p w14:paraId="174A8A4C" w14:textId="773590AE" w:rsidR="00D071BD" w:rsidRPr="003A0902" w:rsidRDefault="00D071BD" w:rsidP="00D071BD">
      <w:pPr>
        <w:pStyle w:val="a3"/>
        <w:ind w:left="0" w:firstLine="851"/>
        <w:jc w:val="both"/>
        <w:rPr>
          <w:sz w:val="28"/>
          <w:szCs w:val="28"/>
          <w:lang w:val="uk-UA"/>
        </w:rPr>
      </w:pPr>
      <w:r w:rsidRPr="003A0902">
        <w:rPr>
          <w:sz w:val="28"/>
          <w:szCs w:val="28"/>
          <w:lang w:val="uk-UA"/>
        </w:rPr>
        <w:t>до порушення, визначеного підпунктом 2 пункту 2.2.</w:t>
      </w:r>
      <w:r w:rsidR="00485440" w:rsidRPr="003A0902">
        <w:rPr>
          <w:sz w:val="28"/>
          <w:szCs w:val="28"/>
          <w:lang w:val="uk-UA"/>
        </w:rPr>
        <w:t>10</w:t>
      </w:r>
      <w:r w:rsidRPr="003A0902">
        <w:rPr>
          <w:sz w:val="28"/>
          <w:szCs w:val="28"/>
          <w:lang w:val="uk-UA"/>
        </w:rPr>
        <w:t xml:space="preserve"> цього Порядку;</w:t>
      </w:r>
    </w:p>
    <w:p w14:paraId="041A2E94" w14:textId="5E426974" w:rsidR="00D071BD" w:rsidRPr="003A0902" w:rsidRDefault="00D071BD" w:rsidP="00D071BD">
      <w:pPr>
        <w:pStyle w:val="a3"/>
        <w:ind w:left="0" w:firstLine="851"/>
        <w:jc w:val="both"/>
        <w:rPr>
          <w:sz w:val="28"/>
          <w:szCs w:val="28"/>
          <w:lang w:val="uk-UA"/>
        </w:rPr>
      </w:pPr>
      <w:r w:rsidRPr="003A0902">
        <w:rPr>
          <w:sz w:val="28"/>
          <w:szCs w:val="28"/>
          <w:lang w:val="uk-UA"/>
        </w:rPr>
        <w:t xml:space="preserve">у разі виявлення за результатами однієї перевірки </w:t>
      </w:r>
      <w:r w:rsidR="00433D51" w:rsidRPr="003A0902">
        <w:rPr>
          <w:sz w:val="28"/>
          <w:szCs w:val="28"/>
          <w:lang w:val="uk-UA"/>
        </w:rPr>
        <w:t xml:space="preserve">більше </w:t>
      </w:r>
      <w:r w:rsidRPr="003A0902">
        <w:rPr>
          <w:sz w:val="28"/>
          <w:szCs w:val="28"/>
          <w:lang w:val="uk-UA"/>
        </w:rPr>
        <w:t>трьох різних (відповідно до предмету) порушень законодавства та/або ліцензійних умов</w:t>
      </w:r>
      <w:r w:rsidR="00243161" w:rsidRPr="003A0902">
        <w:rPr>
          <w:sz w:val="28"/>
          <w:szCs w:val="28"/>
          <w:lang w:val="uk-UA"/>
        </w:rPr>
        <w:t>;</w:t>
      </w:r>
    </w:p>
    <w:p w14:paraId="76B7BD7A" w14:textId="0D4F71BF" w:rsidR="00D071BD" w:rsidRPr="003A0902" w:rsidRDefault="00D071BD" w:rsidP="00D071BD">
      <w:pPr>
        <w:pStyle w:val="a3"/>
        <w:ind w:left="0" w:firstLine="851"/>
        <w:jc w:val="both"/>
        <w:rPr>
          <w:sz w:val="28"/>
          <w:szCs w:val="28"/>
          <w:lang w:val="uk-UA"/>
        </w:rPr>
      </w:pPr>
      <w:r w:rsidRPr="003A0902">
        <w:rPr>
          <w:sz w:val="28"/>
          <w:szCs w:val="28"/>
          <w:lang w:val="uk-UA"/>
        </w:rPr>
        <w:t>за наявності постраждалої сторони та шкоди, завданої споживачам, замовникам послуг, ліцензіатам, державі</w:t>
      </w:r>
      <w:r w:rsidR="00640860" w:rsidRPr="003A0902">
        <w:rPr>
          <w:sz w:val="28"/>
          <w:szCs w:val="28"/>
          <w:lang w:val="uk-UA"/>
        </w:rPr>
        <w:t>,</w:t>
      </w:r>
      <w:r w:rsidRPr="003A0902">
        <w:rPr>
          <w:sz w:val="28"/>
          <w:szCs w:val="28"/>
          <w:lang w:val="uk-UA"/>
        </w:rPr>
        <w:t xml:space="preserve"> та/або додатково отриманої вигоди у </w:t>
      </w:r>
      <w:r w:rsidRPr="003A0902">
        <w:rPr>
          <w:sz w:val="28"/>
          <w:szCs w:val="28"/>
          <w:lang w:val="uk-UA"/>
        </w:rPr>
        <w:lastRenderedPageBreak/>
        <w:t>розмірі від 1</w:t>
      </w:r>
      <w:r w:rsidR="00BD1671" w:rsidRPr="003A0902">
        <w:rPr>
          <w:sz w:val="28"/>
          <w:szCs w:val="28"/>
          <w:lang w:val="uk-UA"/>
        </w:rPr>
        <w:t> </w:t>
      </w:r>
      <w:r w:rsidRPr="003A0902">
        <w:rPr>
          <w:sz w:val="28"/>
          <w:szCs w:val="28"/>
          <w:lang w:val="uk-UA"/>
        </w:rPr>
        <w:t>000</w:t>
      </w:r>
      <w:r w:rsidR="00BD1671" w:rsidRPr="003A0902">
        <w:rPr>
          <w:sz w:val="28"/>
          <w:szCs w:val="28"/>
          <w:lang w:val="uk-UA"/>
        </w:rPr>
        <w:t> </w:t>
      </w:r>
      <w:r w:rsidRPr="003A0902">
        <w:rPr>
          <w:sz w:val="28"/>
          <w:szCs w:val="28"/>
          <w:lang w:val="uk-UA"/>
        </w:rPr>
        <w:t xml:space="preserve">001 грн, </w:t>
      </w:r>
      <w:r w:rsidR="00243161" w:rsidRPr="003A0902">
        <w:rPr>
          <w:sz w:val="28"/>
          <w:szCs w:val="28"/>
          <w:lang w:val="uk-UA"/>
        </w:rPr>
        <w:t>завданої/</w:t>
      </w:r>
      <w:r w:rsidRPr="003A0902">
        <w:rPr>
          <w:sz w:val="28"/>
          <w:szCs w:val="28"/>
          <w:lang w:val="uk-UA"/>
        </w:rPr>
        <w:t>отриманої ліцензіатом внаслідок вчинення порушення</w:t>
      </w:r>
      <w:r w:rsidR="00BD1671" w:rsidRPr="003A0902">
        <w:rPr>
          <w:sz w:val="28"/>
          <w:szCs w:val="28"/>
          <w:lang w:val="uk-UA"/>
        </w:rPr>
        <w:t>.»;</w:t>
      </w:r>
    </w:p>
    <w:p w14:paraId="358E8FDF" w14:textId="52BBCD4D" w:rsidR="005F2398" w:rsidRPr="003A0902" w:rsidRDefault="005F2398" w:rsidP="005F2398">
      <w:pPr>
        <w:pStyle w:val="a3"/>
        <w:tabs>
          <w:tab w:val="left" w:pos="851"/>
        </w:tabs>
        <w:ind w:left="851"/>
        <w:jc w:val="both"/>
        <w:rPr>
          <w:sz w:val="28"/>
          <w:szCs w:val="28"/>
          <w:lang w:val="uk-UA"/>
        </w:rPr>
      </w:pPr>
      <w:r w:rsidRPr="003A0902">
        <w:rPr>
          <w:sz w:val="28"/>
          <w:szCs w:val="28"/>
          <w:lang w:val="uk-UA"/>
        </w:rPr>
        <w:t xml:space="preserve">таблицю </w:t>
      </w:r>
      <w:r w:rsidR="00C13D61" w:rsidRPr="003A0902">
        <w:rPr>
          <w:sz w:val="28"/>
          <w:szCs w:val="28"/>
          <w:lang w:val="uk-UA"/>
        </w:rPr>
        <w:t xml:space="preserve">пункту 2.2.15 </w:t>
      </w:r>
      <w:r w:rsidRPr="003A0902">
        <w:rPr>
          <w:sz w:val="28"/>
          <w:szCs w:val="28"/>
          <w:lang w:val="uk-UA"/>
        </w:rPr>
        <w:t>викласти в такій редакції:</w:t>
      </w:r>
    </w:p>
    <w:p w14:paraId="39323AB3" w14:textId="77777777" w:rsidR="005F2398" w:rsidRPr="003A0902" w:rsidRDefault="005F2398" w:rsidP="005F2398">
      <w:pPr>
        <w:pStyle w:val="a3"/>
        <w:tabs>
          <w:tab w:val="left" w:pos="851"/>
        </w:tabs>
        <w:ind w:left="851"/>
        <w:jc w:val="both"/>
        <w:rPr>
          <w:sz w:val="28"/>
          <w:szCs w:val="28"/>
          <w:lang w:val="uk-UA"/>
        </w:rPr>
      </w:pPr>
      <w:r w:rsidRPr="003A0902">
        <w:rPr>
          <w:sz w:val="28"/>
          <w:szCs w:val="28"/>
          <w:lang w:val="uk-UA"/>
        </w:rPr>
        <w:t>«</w:t>
      </w:r>
    </w:p>
    <w:tbl>
      <w:tblPr>
        <w:tblStyle w:val="12"/>
        <w:tblW w:w="5000" w:type="pct"/>
        <w:tblBorders>
          <w:top w:val="none" w:sz="0" w:space="0" w:color="auto"/>
          <w:left w:val="none" w:sz="0" w:space="0" w:color="auto"/>
          <w:bottom w:val="none" w:sz="0" w:space="0" w:color="auto"/>
          <w:right w:val="none" w:sz="0" w:space="0" w:color="auto"/>
          <w:insideV w:val="none" w:sz="0" w:space="0" w:color="auto"/>
        </w:tblBorders>
        <w:tblCellMar>
          <w:left w:w="58" w:type="dxa"/>
          <w:right w:w="58" w:type="dxa"/>
        </w:tblCellMar>
        <w:tblLook w:val="04A0" w:firstRow="1" w:lastRow="0" w:firstColumn="1" w:lastColumn="0" w:noHBand="0" w:noVBand="1"/>
      </w:tblPr>
      <w:tblGrid>
        <w:gridCol w:w="7082"/>
        <w:gridCol w:w="2546"/>
      </w:tblGrid>
      <w:tr w:rsidR="003A0902" w:rsidRPr="003A0902" w14:paraId="4BA545C7" w14:textId="77777777" w:rsidTr="0073621C">
        <w:trPr>
          <w:trHeight w:val="20"/>
        </w:trPr>
        <w:tc>
          <w:tcPr>
            <w:tcW w:w="3678" w:type="pct"/>
            <w:tcBorders>
              <w:top w:val="single" w:sz="4" w:space="0" w:color="auto"/>
              <w:left w:val="single" w:sz="4" w:space="0" w:color="auto"/>
              <w:bottom w:val="single" w:sz="4" w:space="0" w:color="auto"/>
              <w:right w:val="single" w:sz="4" w:space="0" w:color="auto"/>
            </w:tcBorders>
            <w:vAlign w:val="center"/>
          </w:tcPr>
          <w:p w14:paraId="5C834182" w14:textId="37BDC74E" w:rsidR="005F2398" w:rsidRPr="003A0902" w:rsidRDefault="005F2398" w:rsidP="005F2398">
            <w:pPr>
              <w:ind w:firstLine="65"/>
              <w:contextualSpacing/>
              <w:jc w:val="center"/>
              <w:rPr>
                <w:b/>
                <w:bCs/>
              </w:rPr>
            </w:pPr>
            <w:r w:rsidRPr="003A0902">
              <w:rPr>
                <w:b/>
                <w:bCs/>
              </w:rPr>
              <w:t>Розмір завданої шкоди/отриманої додаткової вигоди</w:t>
            </w:r>
          </w:p>
        </w:tc>
        <w:tc>
          <w:tcPr>
            <w:tcW w:w="1322" w:type="pct"/>
            <w:tcBorders>
              <w:top w:val="single" w:sz="4" w:space="0" w:color="auto"/>
              <w:left w:val="single" w:sz="4" w:space="0" w:color="auto"/>
              <w:bottom w:val="single" w:sz="4" w:space="0" w:color="auto"/>
              <w:right w:val="single" w:sz="4" w:space="0" w:color="auto"/>
            </w:tcBorders>
            <w:vAlign w:val="center"/>
          </w:tcPr>
          <w:p w14:paraId="3274F344" w14:textId="77777777" w:rsidR="005F2398" w:rsidRPr="003A0902" w:rsidRDefault="005F2398" w:rsidP="005F2398">
            <w:pPr>
              <w:ind w:firstLine="65"/>
              <w:contextualSpacing/>
              <w:jc w:val="center"/>
              <w:rPr>
                <w:b/>
                <w:bCs/>
              </w:rPr>
            </w:pPr>
            <w:r w:rsidRPr="003A0902">
              <w:rPr>
                <w:b/>
                <w:bCs/>
              </w:rPr>
              <w:t>Коефіцієнт</w:t>
            </w:r>
          </w:p>
        </w:tc>
      </w:tr>
      <w:tr w:rsidR="003A0902" w:rsidRPr="003A0902" w14:paraId="2BE03B7B" w14:textId="77777777" w:rsidTr="00485440">
        <w:trPr>
          <w:trHeight w:val="20"/>
        </w:trPr>
        <w:tc>
          <w:tcPr>
            <w:tcW w:w="3678" w:type="pct"/>
            <w:tcBorders>
              <w:top w:val="single" w:sz="4" w:space="0" w:color="auto"/>
              <w:left w:val="single" w:sz="4" w:space="0" w:color="auto"/>
              <w:right w:val="single" w:sz="4" w:space="0" w:color="auto"/>
            </w:tcBorders>
            <w:vAlign w:val="center"/>
          </w:tcPr>
          <w:p w14:paraId="1E72C779" w14:textId="77777777" w:rsidR="005F2398" w:rsidRPr="003A0902" w:rsidRDefault="005F2398" w:rsidP="00485440">
            <w:pPr>
              <w:ind w:firstLine="65"/>
              <w:contextualSpacing/>
              <w:rPr>
                <w:bCs/>
              </w:rPr>
            </w:pPr>
            <w:r w:rsidRPr="003A0902">
              <w:rPr>
                <w:bCs/>
              </w:rPr>
              <w:t>Шкода/додаткова вигода відсутня (чи її розрахунок неможливий)</w:t>
            </w:r>
          </w:p>
        </w:tc>
        <w:tc>
          <w:tcPr>
            <w:tcW w:w="1322" w:type="pct"/>
            <w:tcBorders>
              <w:top w:val="single" w:sz="4" w:space="0" w:color="auto"/>
              <w:left w:val="single" w:sz="4" w:space="0" w:color="auto"/>
              <w:right w:val="single" w:sz="4" w:space="0" w:color="auto"/>
            </w:tcBorders>
            <w:vAlign w:val="center"/>
          </w:tcPr>
          <w:p w14:paraId="345B412D" w14:textId="77777777" w:rsidR="005F2398" w:rsidRPr="003A0902" w:rsidRDefault="005F2398" w:rsidP="005F2398">
            <w:pPr>
              <w:ind w:firstLine="65"/>
              <w:contextualSpacing/>
              <w:jc w:val="center"/>
              <w:rPr>
                <w:bCs/>
              </w:rPr>
            </w:pPr>
            <w:r w:rsidRPr="003A0902">
              <w:rPr>
                <w:bCs/>
              </w:rPr>
              <w:t>1</w:t>
            </w:r>
          </w:p>
        </w:tc>
      </w:tr>
      <w:tr w:rsidR="003A0902" w:rsidRPr="003A0902" w14:paraId="06B61693" w14:textId="77777777" w:rsidTr="00485440">
        <w:trPr>
          <w:trHeight w:val="20"/>
        </w:trPr>
        <w:tc>
          <w:tcPr>
            <w:tcW w:w="3678" w:type="pct"/>
            <w:tcBorders>
              <w:left w:val="single" w:sz="4" w:space="0" w:color="auto"/>
              <w:right w:val="single" w:sz="4" w:space="0" w:color="auto"/>
            </w:tcBorders>
            <w:vAlign w:val="center"/>
          </w:tcPr>
          <w:p w14:paraId="5456B93F" w14:textId="77777777" w:rsidR="005F2398" w:rsidRPr="003A0902" w:rsidRDefault="005F2398" w:rsidP="00485440">
            <w:pPr>
              <w:ind w:firstLine="65"/>
              <w:contextualSpacing/>
              <w:rPr>
                <w:bCs/>
              </w:rPr>
            </w:pPr>
            <w:r w:rsidRPr="003A0902">
              <w:rPr>
                <w:bCs/>
              </w:rPr>
              <w:t>від 1 грн до 1 000 000 грн</w:t>
            </w:r>
          </w:p>
        </w:tc>
        <w:tc>
          <w:tcPr>
            <w:tcW w:w="1322" w:type="pct"/>
            <w:tcBorders>
              <w:left w:val="single" w:sz="4" w:space="0" w:color="auto"/>
              <w:right w:val="single" w:sz="4" w:space="0" w:color="auto"/>
            </w:tcBorders>
          </w:tcPr>
          <w:p w14:paraId="1E0D7E61" w14:textId="77777777" w:rsidR="005F2398" w:rsidRPr="003A0902" w:rsidRDefault="005F2398" w:rsidP="005F2398">
            <w:pPr>
              <w:ind w:firstLine="65"/>
              <w:contextualSpacing/>
              <w:jc w:val="center"/>
              <w:rPr>
                <w:bCs/>
              </w:rPr>
            </w:pPr>
            <w:r w:rsidRPr="003A0902">
              <w:rPr>
                <w:bCs/>
              </w:rPr>
              <w:t>1.1</w:t>
            </w:r>
          </w:p>
        </w:tc>
      </w:tr>
      <w:tr w:rsidR="003A0902" w:rsidRPr="003A0902" w14:paraId="64AE46E8" w14:textId="77777777" w:rsidTr="00485440">
        <w:trPr>
          <w:trHeight w:val="20"/>
        </w:trPr>
        <w:tc>
          <w:tcPr>
            <w:tcW w:w="3678" w:type="pct"/>
            <w:tcBorders>
              <w:left w:val="single" w:sz="4" w:space="0" w:color="auto"/>
              <w:right w:val="single" w:sz="4" w:space="0" w:color="auto"/>
            </w:tcBorders>
            <w:vAlign w:val="center"/>
          </w:tcPr>
          <w:p w14:paraId="128CB5E2" w14:textId="77777777" w:rsidR="005F2398" w:rsidRPr="003A0902" w:rsidRDefault="005F2398" w:rsidP="00485440">
            <w:pPr>
              <w:ind w:firstLine="65"/>
              <w:contextualSpacing/>
              <w:rPr>
                <w:bCs/>
              </w:rPr>
            </w:pPr>
            <w:r w:rsidRPr="003A0902">
              <w:rPr>
                <w:bCs/>
              </w:rPr>
              <w:t>від 1 000 001 грн до 5 000 000 грн</w:t>
            </w:r>
          </w:p>
        </w:tc>
        <w:tc>
          <w:tcPr>
            <w:tcW w:w="1322" w:type="pct"/>
            <w:tcBorders>
              <w:left w:val="single" w:sz="4" w:space="0" w:color="auto"/>
              <w:right w:val="single" w:sz="4" w:space="0" w:color="auto"/>
            </w:tcBorders>
          </w:tcPr>
          <w:p w14:paraId="3B2A6695" w14:textId="77777777" w:rsidR="005F2398" w:rsidRPr="003A0902" w:rsidRDefault="005F2398" w:rsidP="005F2398">
            <w:pPr>
              <w:ind w:firstLine="65"/>
              <w:contextualSpacing/>
              <w:jc w:val="center"/>
              <w:rPr>
                <w:bCs/>
              </w:rPr>
            </w:pPr>
            <w:r w:rsidRPr="003A0902">
              <w:rPr>
                <w:bCs/>
              </w:rPr>
              <w:t>1.2</w:t>
            </w:r>
          </w:p>
        </w:tc>
      </w:tr>
      <w:tr w:rsidR="003A0902" w:rsidRPr="003A0902" w14:paraId="5B5BE50C" w14:textId="77777777" w:rsidTr="00485440">
        <w:trPr>
          <w:trHeight w:val="20"/>
        </w:trPr>
        <w:tc>
          <w:tcPr>
            <w:tcW w:w="3678" w:type="pct"/>
            <w:tcBorders>
              <w:left w:val="single" w:sz="4" w:space="0" w:color="auto"/>
              <w:right w:val="single" w:sz="4" w:space="0" w:color="auto"/>
            </w:tcBorders>
            <w:vAlign w:val="center"/>
          </w:tcPr>
          <w:p w14:paraId="0CE317E3" w14:textId="77777777" w:rsidR="005F2398" w:rsidRPr="003A0902" w:rsidRDefault="005F2398" w:rsidP="00485440">
            <w:pPr>
              <w:ind w:firstLine="65"/>
              <w:contextualSpacing/>
              <w:rPr>
                <w:bCs/>
              </w:rPr>
            </w:pPr>
            <w:r w:rsidRPr="003A0902">
              <w:rPr>
                <w:bCs/>
              </w:rPr>
              <w:t>від 5 000 001 грн до 10 000 000 грн</w:t>
            </w:r>
          </w:p>
        </w:tc>
        <w:tc>
          <w:tcPr>
            <w:tcW w:w="1322" w:type="pct"/>
            <w:tcBorders>
              <w:left w:val="single" w:sz="4" w:space="0" w:color="auto"/>
              <w:right w:val="single" w:sz="4" w:space="0" w:color="auto"/>
            </w:tcBorders>
          </w:tcPr>
          <w:p w14:paraId="7F181EA0" w14:textId="77777777" w:rsidR="005F2398" w:rsidRPr="003A0902" w:rsidRDefault="005F2398" w:rsidP="005F2398">
            <w:pPr>
              <w:ind w:firstLine="65"/>
              <w:contextualSpacing/>
              <w:jc w:val="center"/>
              <w:rPr>
                <w:bCs/>
              </w:rPr>
            </w:pPr>
            <w:r w:rsidRPr="003A0902">
              <w:rPr>
                <w:bCs/>
              </w:rPr>
              <w:t>1.3</w:t>
            </w:r>
          </w:p>
        </w:tc>
      </w:tr>
      <w:tr w:rsidR="003A0902" w:rsidRPr="003A0902" w14:paraId="67CACDF2" w14:textId="77777777" w:rsidTr="00485440">
        <w:trPr>
          <w:trHeight w:val="20"/>
        </w:trPr>
        <w:tc>
          <w:tcPr>
            <w:tcW w:w="3678" w:type="pct"/>
            <w:tcBorders>
              <w:left w:val="single" w:sz="4" w:space="0" w:color="auto"/>
              <w:right w:val="single" w:sz="4" w:space="0" w:color="auto"/>
            </w:tcBorders>
            <w:vAlign w:val="center"/>
          </w:tcPr>
          <w:p w14:paraId="6F6EE030" w14:textId="77777777" w:rsidR="005F2398" w:rsidRPr="003A0902" w:rsidRDefault="005F2398" w:rsidP="00485440">
            <w:pPr>
              <w:ind w:firstLine="65"/>
              <w:contextualSpacing/>
              <w:rPr>
                <w:bCs/>
              </w:rPr>
            </w:pPr>
            <w:r w:rsidRPr="003A0902">
              <w:rPr>
                <w:bCs/>
              </w:rPr>
              <w:t>від 10 000 001 грн до 50 000 000 грн</w:t>
            </w:r>
          </w:p>
        </w:tc>
        <w:tc>
          <w:tcPr>
            <w:tcW w:w="1322" w:type="pct"/>
            <w:tcBorders>
              <w:left w:val="single" w:sz="4" w:space="0" w:color="auto"/>
              <w:right w:val="single" w:sz="4" w:space="0" w:color="auto"/>
            </w:tcBorders>
          </w:tcPr>
          <w:p w14:paraId="0B9B81AF" w14:textId="77777777" w:rsidR="005F2398" w:rsidRPr="003A0902" w:rsidRDefault="005F2398" w:rsidP="005F2398">
            <w:pPr>
              <w:ind w:firstLine="65"/>
              <w:contextualSpacing/>
              <w:jc w:val="center"/>
              <w:rPr>
                <w:bCs/>
              </w:rPr>
            </w:pPr>
            <w:r w:rsidRPr="003A0902">
              <w:rPr>
                <w:bCs/>
              </w:rPr>
              <w:t>1.4</w:t>
            </w:r>
          </w:p>
        </w:tc>
      </w:tr>
      <w:tr w:rsidR="003A0902" w:rsidRPr="003A0902" w14:paraId="1B34A067" w14:textId="77777777" w:rsidTr="00485440">
        <w:trPr>
          <w:trHeight w:val="20"/>
        </w:trPr>
        <w:tc>
          <w:tcPr>
            <w:tcW w:w="3678" w:type="pct"/>
            <w:tcBorders>
              <w:left w:val="single" w:sz="4" w:space="0" w:color="auto"/>
              <w:right w:val="single" w:sz="4" w:space="0" w:color="auto"/>
            </w:tcBorders>
            <w:vAlign w:val="center"/>
          </w:tcPr>
          <w:p w14:paraId="6A4B9FAB" w14:textId="77777777" w:rsidR="005F2398" w:rsidRPr="003A0902" w:rsidRDefault="005F2398" w:rsidP="00485440">
            <w:pPr>
              <w:ind w:firstLine="65"/>
              <w:contextualSpacing/>
              <w:rPr>
                <w:bCs/>
              </w:rPr>
            </w:pPr>
            <w:r w:rsidRPr="003A0902">
              <w:rPr>
                <w:bCs/>
              </w:rPr>
              <w:t>від 50 000 001 грн до 100 000 000 грн</w:t>
            </w:r>
          </w:p>
        </w:tc>
        <w:tc>
          <w:tcPr>
            <w:tcW w:w="1322" w:type="pct"/>
            <w:tcBorders>
              <w:left w:val="single" w:sz="4" w:space="0" w:color="auto"/>
              <w:right w:val="single" w:sz="4" w:space="0" w:color="auto"/>
            </w:tcBorders>
          </w:tcPr>
          <w:p w14:paraId="72394C65" w14:textId="77777777" w:rsidR="005F2398" w:rsidRPr="003A0902" w:rsidRDefault="005F2398" w:rsidP="005F2398">
            <w:pPr>
              <w:ind w:firstLine="65"/>
              <w:contextualSpacing/>
              <w:jc w:val="center"/>
              <w:rPr>
                <w:bCs/>
              </w:rPr>
            </w:pPr>
            <w:r w:rsidRPr="003A0902">
              <w:rPr>
                <w:bCs/>
              </w:rPr>
              <w:t>1.5</w:t>
            </w:r>
          </w:p>
        </w:tc>
      </w:tr>
      <w:tr w:rsidR="003A0902" w:rsidRPr="003A0902" w14:paraId="67C35B8B" w14:textId="77777777" w:rsidTr="00485440">
        <w:trPr>
          <w:trHeight w:val="20"/>
        </w:trPr>
        <w:tc>
          <w:tcPr>
            <w:tcW w:w="3678" w:type="pct"/>
            <w:tcBorders>
              <w:left w:val="single" w:sz="4" w:space="0" w:color="auto"/>
              <w:right w:val="single" w:sz="4" w:space="0" w:color="auto"/>
            </w:tcBorders>
            <w:vAlign w:val="center"/>
          </w:tcPr>
          <w:p w14:paraId="4CFA3D80" w14:textId="77777777" w:rsidR="005F2398" w:rsidRPr="003A0902" w:rsidRDefault="005F2398" w:rsidP="00485440">
            <w:pPr>
              <w:ind w:firstLine="65"/>
              <w:contextualSpacing/>
              <w:rPr>
                <w:bCs/>
              </w:rPr>
            </w:pPr>
            <w:r w:rsidRPr="003A0902">
              <w:rPr>
                <w:bCs/>
              </w:rPr>
              <w:t>від 100 000 001 грн до 200 000 000 грн</w:t>
            </w:r>
          </w:p>
        </w:tc>
        <w:tc>
          <w:tcPr>
            <w:tcW w:w="1322" w:type="pct"/>
            <w:tcBorders>
              <w:left w:val="single" w:sz="4" w:space="0" w:color="auto"/>
              <w:right w:val="single" w:sz="4" w:space="0" w:color="auto"/>
            </w:tcBorders>
          </w:tcPr>
          <w:p w14:paraId="3716262D" w14:textId="77777777" w:rsidR="005F2398" w:rsidRPr="003A0902" w:rsidRDefault="005F2398" w:rsidP="005F2398">
            <w:pPr>
              <w:ind w:firstLine="65"/>
              <w:contextualSpacing/>
              <w:jc w:val="center"/>
              <w:rPr>
                <w:bCs/>
              </w:rPr>
            </w:pPr>
            <w:r w:rsidRPr="003A0902">
              <w:rPr>
                <w:bCs/>
              </w:rPr>
              <w:t>1.6</w:t>
            </w:r>
          </w:p>
        </w:tc>
      </w:tr>
      <w:tr w:rsidR="003A0902" w:rsidRPr="003A0902" w14:paraId="2A0F3DBF" w14:textId="77777777" w:rsidTr="00485440">
        <w:trPr>
          <w:trHeight w:val="20"/>
        </w:trPr>
        <w:tc>
          <w:tcPr>
            <w:tcW w:w="3678" w:type="pct"/>
            <w:tcBorders>
              <w:left w:val="single" w:sz="4" w:space="0" w:color="auto"/>
              <w:right w:val="single" w:sz="4" w:space="0" w:color="auto"/>
            </w:tcBorders>
            <w:vAlign w:val="center"/>
          </w:tcPr>
          <w:p w14:paraId="4C9BE379" w14:textId="77777777" w:rsidR="005F2398" w:rsidRPr="003A0902" w:rsidRDefault="005F2398" w:rsidP="00485440">
            <w:pPr>
              <w:ind w:firstLine="65"/>
              <w:contextualSpacing/>
              <w:rPr>
                <w:bCs/>
              </w:rPr>
            </w:pPr>
            <w:r w:rsidRPr="003A0902">
              <w:rPr>
                <w:bCs/>
              </w:rPr>
              <w:t>від 200 000 001 грн до 400 000 000 грн</w:t>
            </w:r>
          </w:p>
        </w:tc>
        <w:tc>
          <w:tcPr>
            <w:tcW w:w="1322" w:type="pct"/>
            <w:tcBorders>
              <w:left w:val="single" w:sz="4" w:space="0" w:color="auto"/>
              <w:right w:val="single" w:sz="4" w:space="0" w:color="auto"/>
            </w:tcBorders>
          </w:tcPr>
          <w:p w14:paraId="13727C17" w14:textId="77777777" w:rsidR="005F2398" w:rsidRPr="003A0902" w:rsidRDefault="005F2398" w:rsidP="005F2398">
            <w:pPr>
              <w:ind w:firstLine="65"/>
              <w:contextualSpacing/>
              <w:jc w:val="center"/>
              <w:rPr>
                <w:bCs/>
              </w:rPr>
            </w:pPr>
            <w:r w:rsidRPr="003A0902">
              <w:rPr>
                <w:bCs/>
              </w:rPr>
              <w:t>1.7</w:t>
            </w:r>
          </w:p>
        </w:tc>
      </w:tr>
      <w:tr w:rsidR="003A0902" w:rsidRPr="003A0902" w14:paraId="225C6D01" w14:textId="77777777" w:rsidTr="00485440">
        <w:trPr>
          <w:trHeight w:val="20"/>
        </w:trPr>
        <w:tc>
          <w:tcPr>
            <w:tcW w:w="3678" w:type="pct"/>
            <w:tcBorders>
              <w:left w:val="single" w:sz="4" w:space="0" w:color="auto"/>
              <w:right w:val="single" w:sz="4" w:space="0" w:color="auto"/>
            </w:tcBorders>
            <w:vAlign w:val="center"/>
          </w:tcPr>
          <w:p w14:paraId="25C0957D" w14:textId="77777777" w:rsidR="005F2398" w:rsidRPr="003A0902" w:rsidRDefault="005F2398" w:rsidP="00485440">
            <w:pPr>
              <w:ind w:firstLine="65"/>
              <w:contextualSpacing/>
              <w:rPr>
                <w:bCs/>
              </w:rPr>
            </w:pPr>
            <w:r w:rsidRPr="003A0902">
              <w:rPr>
                <w:bCs/>
              </w:rPr>
              <w:t>від 400 000 001 грн до 600 000 000 грн</w:t>
            </w:r>
          </w:p>
        </w:tc>
        <w:tc>
          <w:tcPr>
            <w:tcW w:w="1322" w:type="pct"/>
            <w:tcBorders>
              <w:left w:val="single" w:sz="4" w:space="0" w:color="auto"/>
              <w:right w:val="single" w:sz="4" w:space="0" w:color="auto"/>
            </w:tcBorders>
          </w:tcPr>
          <w:p w14:paraId="6833B2BA" w14:textId="77777777" w:rsidR="005F2398" w:rsidRPr="003A0902" w:rsidRDefault="005F2398" w:rsidP="005F2398">
            <w:pPr>
              <w:ind w:firstLine="65"/>
              <w:contextualSpacing/>
              <w:jc w:val="center"/>
              <w:rPr>
                <w:bCs/>
              </w:rPr>
            </w:pPr>
            <w:r w:rsidRPr="003A0902">
              <w:rPr>
                <w:bCs/>
              </w:rPr>
              <w:t>1.8</w:t>
            </w:r>
          </w:p>
        </w:tc>
      </w:tr>
      <w:tr w:rsidR="003A0902" w:rsidRPr="003A0902" w14:paraId="31584E9B" w14:textId="77777777" w:rsidTr="00485440">
        <w:trPr>
          <w:trHeight w:val="20"/>
        </w:trPr>
        <w:tc>
          <w:tcPr>
            <w:tcW w:w="3678" w:type="pct"/>
            <w:tcBorders>
              <w:left w:val="single" w:sz="4" w:space="0" w:color="auto"/>
              <w:right w:val="single" w:sz="4" w:space="0" w:color="auto"/>
            </w:tcBorders>
            <w:vAlign w:val="center"/>
          </w:tcPr>
          <w:p w14:paraId="4ECE7443" w14:textId="77777777" w:rsidR="005F2398" w:rsidRPr="003A0902" w:rsidRDefault="005F2398" w:rsidP="00485440">
            <w:pPr>
              <w:ind w:firstLine="65"/>
              <w:contextualSpacing/>
              <w:rPr>
                <w:bCs/>
              </w:rPr>
            </w:pPr>
            <w:r w:rsidRPr="003A0902">
              <w:rPr>
                <w:bCs/>
              </w:rPr>
              <w:t>від 600 000 001 грн до 1 000 000 000 грн</w:t>
            </w:r>
          </w:p>
        </w:tc>
        <w:tc>
          <w:tcPr>
            <w:tcW w:w="1322" w:type="pct"/>
            <w:tcBorders>
              <w:left w:val="single" w:sz="4" w:space="0" w:color="auto"/>
              <w:right w:val="single" w:sz="4" w:space="0" w:color="auto"/>
            </w:tcBorders>
          </w:tcPr>
          <w:p w14:paraId="614F1152" w14:textId="77777777" w:rsidR="005F2398" w:rsidRPr="003A0902" w:rsidRDefault="005F2398" w:rsidP="005F2398">
            <w:pPr>
              <w:ind w:firstLine="65"/>
              <w:contextualSpacing/>
              <w:jc w:val="center"/>
              <w:rPr>
                <w:bCs/>
              </w:rPr>
            </w:pPr>
            <w:r w:rsidRPr="003A0902">
              <w:rPr>
                <w:bCs/>
              </w:rPr>
              <w:t>1.9</w:t>
            </w:r>
          </w:p>
        </w:tc>
      </w:tr>
      <w:tr w:rsidR="003A0902" w:rsidRPr="003A0902" w14:paraId="738B2144" w14:textId="77777777" w:rsidTr="00485440">
        <w:trPr>
          <w:trHeight w:val="20"/>
        </w:trPr>
        <w:tc>
          <w:tcPr>
            <w:tcW w:w="3678" w:type="pct"/>
            <w:tcBorders>
              <w:left w:val="single" w:sz="4" w:space="0" w:color="auto"/>
              <w:right w:val="single" w:sz="4" w:space="0" w:color="auto"/>
            </w:tcBorders>
            <w:vAlign w:val="center"/>
          </w:tcPr>
          <w:p w14:paraId="23CC65A7" w14:textId="77777777" w:rsidR="005F2398" w:rsidRPr="003A0902" w:rsidRDefault="005F2398" w:rsidP="00485440">
            <w:pPr>
              <w:ind w:firstLine="65"/>
              <w:contextualSpacing/>
              <w:rPr>
                <w:bCs/>
              </w:rPr>
            </w:pPr>
            <w:r w:rsidRPr="003A0902">
              <w:rPr>
                <w:bCs/>
              </w:rPr>
              <w:t>від 1 000 000 001 грн до 5 000 000 000 грн</w:t>
            </w:r>
          </w:p>
        </w:tc>
        <w:tc>
          <w:tcPr>
            <w:tcW w:w="1322" w:type="pct"/>
            <w:tcBorders>
              <w:left w:val="single" w:sz="4" w:space="0" w:color="auto"/>
              <w:right w:val="single" w:sz="4" w:space="0" w:color="auto"/>
            </w:tcBorders>
          </w:tcPr>
          <w:p w14:paraId="73648D3C" w14:textId="77777777" w:rsidR="005F2398" w:rsidRPr="003A0902" w:rsidRDefault="005F2398" w:rsidP="005F2398">
            <w:pPr>
              <w:ind w:firstLine="65"/>
              <w:contextualSpacing/>
              <w:jc w:val="center"/>
              <w:rPr>
                <w:bCs/>
              </w:rPr>
            </w:pPr>
            <w:r w:rsidRPr="003A0902">
              <w:rPr>
                <w:bCs/>
              </w:rPr>
              <w:t>2</w:t>
            </w:r>
          </w:p>
        </w:tc>
      </w:tr>
      <w:tr w:rsidR="003A0902" w:rsidRPr="003A0902" w14:paraId="61B3BD8F" w14:textId="77777777" w:rsidTr="00485440">
        <w:trPr>
          <w:trHeight w:val="20"/>
        </w:trPr>
        <w:tc>
          <w:tcPr>
            <w:tcW w:w="3678" w:type="pct"/>
            <w:tcBorders>
              <w:left w:val="single" w:sz="4" w:space="0" w:color="auto"/>
              <w:bottom w:val="single" w:sz="4" w:space="0" w:color="auto"/>
              <w:right w:val="single" w:sz="4" w:space="0" w:color="auto"/>
            </w:tcBorders>
            <w:vAlign w:val="center"/>
          </w:tcPr>
          <w:p w14:paraId="3B883240" w14:textId="77777777" w:rsidR="005F2398" w:rsidRPr="003A0902" w:rsidRDefault="005F2398" w:rsidP="00485440">
            <w:pPr>
              <w:ind w:firstLine="65"/>
              <w:contextualSpacing/>
              <w:rPr>
                <w:bCs/>
              </w:rPr>
            </w:pPr>
            <w:r w:rsidRPr="003A0902">
              <w:rPr>
                <w:bCs/>
              </w:rPr>
              <w:t>від 5 000 000 001 грн до 9 000 000 000 грн</w:t>
            </w:r>
          </w:p>
        </w:tc>
        <w:tc>
          <w:tcPr>
            <w:tcW w:w="1322" w:type="pct"/>
            <w:tcBorders>
              <w:left w:val="single" w:sz="4" w:space="0" w:color="auto"/>
              <w:bottom w:val="single" w:sz="4" w:space="0" w:color="auto"/>
              <w:right w:val="single" w:sz="4" w:space="0" w:color="auto"/>
            </w:tcBorders>
          </w:tcPr>
          <w:p w14:paraId="72FCA786" w14:textId="27380113" w:rsidR="005F2398" w:rsidRPr="003A0902" w:rsidRDefault="005F2398" w:rsidP="005F2398">
            <w:pPr>
              <w:ind w:firstLine="65"/>
              <w:contextualSpacing/>
              <w:jc w:val="center"/>
              <w:rPr>
                <w:bCs/>
              </w:rPr>
            </w:pPr>
            <w:r w:rsidRPr="003A0902">
              <w:rPr>
                <w:bCs/>
              </w:rPr>
              <w:t>2</w:t>
            </w:r>
            <w:r w:rsidR="004E745F" w:rsidRPr="003A0902">
              <w:rPr>
                <w:bCs/>
              </w:rPr>
              <w:t>.</w:t>
            </w:r>
            <w:r w:rsidRPr="003A0902">
              <w:rPr>
                <w:bCs/>
              </w:rPr>
              <w:t>5</w:t>
            </w:r>
          </w:p>
        </w:tc>
      </w:tr>
      <w:tr w:rsidR="003A0902" w:rsidRPr="003A0902" w14:paraId="05A0D4BB" w14:textId="77777777" w:rsidTr="00485440">
        <w:trPr>
          <w:trHeight w:val="20"/>
        </w:trPr>
        <w:tc>
          <w:tcPr>
            <w:tcW w:w="3678" w:type="pct"/>
            <w:tcBorders>
              <w:top w:val="single" w:sz="4" w:space="0" w:color="auto"/>
              <w:left w:val="single" w:sz="4" w:space="0" w:color="auto"/>
              <w:bottom w:val="single" w:sz="4" w:space="0" w:color="auto"/>
              <w:right w:val="single" w:sz="4" w:space="0" w:color="auto"/>
            </w:tcBorders>
            <w:vAlign w:val="center"/>
          </w:tcPr>
          <w:p w14:paraId="477BF6C8" w14:textId="77777777" w:rsidR="005F2398" w:rsidRPr="003A0902" w:rsidRDefault="005F2398" w:rsidP="00485440">
            <w:pPr>
              <w:ind w:firstLine="65"/>
              <w:contextualSpacing/>
              <w:rPr>
                <w:bCs/>
              </w:rPr>
            </w:pPr>
            <w:r w:rsidRPr="003A0902">
              <w:rPr>
                <w:bCs/>
              </w:rPr>
              <w:t>понад 9 000 000 000 грн</w:t>
            </w:r>
          </w:p>
        </w:tc>
        <w:tc>
          <w:tcPr>
            <w:tcW w:w="1322" w:type="pct"/>
            <w:tcBorders>
              <w:top w:val="single" w:sz="4" w:space="0" w:color="auto"/>
              <w:left w:val="single" w:sz="4" w:space="0" w:color="auto"/>
              <w:bottom w:val="single" w:sz="4" w:space="0" w:color="auto"/>
              <w:right w:val="single" w:sz="4" w:space="0" w:color="auto"/>
            </w:tcBorders>
            <w:vAlign w:val="center"/>
          </w:tcPr>
          <w:p w14:paraId="79B73CB5" w14:textId="77777777" w:rsidR="005F2398" w:rsidRPr="003A0902" w:rsidRDefault="005F2398" w:rsidP="005F2398">
            <w:pPr>
              <w:ind w:firstLine="65"/>
              <w:contextualSpacing/>
              <w:jc w:val="center"/>
              <w:rPr>
                <w:bCs/>
              </w:rPr>
            </w:pPr>
            <w:r w:rsidRPr="003A0902">
              <w:rPr>
                <w:bCs/>
              </w:rPr>
              <w:t>3</w:t>
            </w:r>
          </w:p>
        </w:tc>
      </w:tr>
    </w:tbl>
    <w:p w14:paraId="654C0888" w14:textId="0654F8AA" w:rsidR="005F2398" w:rsidRPr="003A0902" w:rsidRDefault="005F2398" w:rsidP="005F2398">
      <w:pPr>
        <w:pStyle w:val="a3"/>
        <w:tabs>
          <w:tab w:val="left" w:pos="851"/>
        </w:tabs>
        <w:ind w:left="851"/>
        <w:jc w:val="right"/>
        <w:rPr>
          <w:sz w:val="28"/>
          <w:szCs w:val="28"/>
          <w:lang w:val="uk-UA"/>
        </w:rPr>
      </w:pPr>
      <w:r w:rsidRPr="003A0902">
        <w:rPr>
          <w:sz w:val="28"/>
          <w:szCs w:val="28"/>
          <w:lang w:val="uk-UA"/>
        </w:rPr>
        <w:t>»;</w:t>
      </w:r>
    </w:p>
    <w:p w14:paraId="04D447A3" w14:textId="77777777" w:rsidR="0031794B" w:rsidRPr="003A0902" w:rsidRDefault="0031794B" w:rsidP="005F2398">
      <w:pPr>
        <w:pStyle w:val="a3"/>
        <w:tabs>
          <w:tab w:val="left" w:pos="851"/>
        </w:tabs>
        <w:ind w:left="851"/>
        <w:jc w:val="right"/>
        <w:rPr>
          <w:sz w:val="28"/>
          <w:szCs w:val="28"/>
          <w:lang w:val="uk-UA"/>
        </w:rPr>
      </w:pPr>
    </w:p>
    <w:p w14:paraId="2562027C" w14:textId="000CB953" w:rsidR="008D3C7D" w:rsidRPr="003A0902" w:rsidRDefault="00D2007D" w:rsidP="00485440">
      <w:pPr>
        <w:pStyle w:val="a3"/>
        <w:numPr>
          <w:ilvl w:val="0"/>
          <w:numId w:val="29"/>
        </w:numPr>
        <w:ind w:left="0" w:firstLine="851"/>
        <w:jc w:val="both"/>
        <w:rPr>
          <w:sz w:val="28"/>
          <w:szCs w:val="28"/>
          <w:lang w:val="uk-UA"/>
        </w:rPr>
      </w:pPr>
      <w:r w:rsidRPr="003A0902">
        <w:rPr>
          <w:sz w:val="28"/>
          <w:szCs w:val="28"/>
          <w:lang w:val="uk-UA"/>
        </w:rPr>
        <w:t>в абзаці п</w:t>
      </w:r>
      <w:r w:rsidRPr="003A0902">
        <w:rPr>
          <w:sz w:val="28"/>
          <w:szCs w:val="28"/>
        </w:rPr>
        <w:t>’</w:t>
      </w:r>
      <w:proofErr w:type="spellStart"/>
      <w:r w:rsidRPr="003A0902">
        <w:rPr>
          <w:sz w:val="28"/>
          <w:szCs w:val="28"/>
          <w:lang w:val="uk-UA"/>
        </w:rPr>
        <w:t>ятому</w:t>
      </w:r>
      <w:proofErr w:type="spellEnd"/>
      <w:r w:rsidRPr="003A0902">
        <w:rPr>
          <w:sz w:val="28"/>
          <w:szCs w:val="28"/>
          <w:lang w:val="uk-UA"/>
        </w:rPr>
        <w:t xml:space="preserve"> </w:t>
      </w:r>
      <w:r w:rsidR="00A349D7" w:rsidRPr="003A0902">
        <w:rPr>
          <w:sz w:val="28"/>
          <w:szCs w:val="28"/>
          <w:lang w:val="uk-UA"/>
        </w:rPr>
        <w:t xml:space="preserve">пункту 2.3.1 </w:t>
      </w:r>
      <w:r w:rsidR="008D3C7D" w:rsidRPr="003A0902">
        <w:rPr>
          <w:sz w:val="28"/>
          <w:szCs w:val="28"/>
          <w:lang w:val="uk-UA"/>
        </w:rPr>
        <w:t>глав</w:t>
      </w:r>
      <w:r w:rsidR="00A349D7" w:rsidRPr="003A0902">
        <w:rPr>
          <w:sz w:val="28"/>
          <w:szCs w:val="28"/>
          <w:lang w:val="uk-UA"/>
        </w:rPr>
        <w:t>и</w:t>
      </w:r>
      <w:r w:rsidR="008D3C7D" w:rsidRPr="003A0902">
        <w:rPr>
          <w:sz w:val="28"/>
          <w:szCs w:val="28"/>
          <w:lang w:val="uk-UA"/>
        </w:rPr>
        <w:t xml:space="preserve"> 2.3</w:t>
      </w:r>
      <w:r w:rsidR="00485440" w:rsidRPr="003A0902">
        <w:rPr>
          <w:sz w:val="28"/>
          <w:szCs w:val="28"/>
          <w:lang w:val="uk-UA"/>
        </w:rPr>
        <w:t xml:space="preserve"> </w:t>
      </w:r>
      <w:r w:rsidR="008D3C7D" w:rsidRPr="003A0902">
        <w:rPr>
          <w:sz w:val="28"/>
          <w:szCs w:val="28"/>
          <w:lang w:val="uk-UA"/>
        </w:rPr>
        <w:t>цифри та знак «0,001» замінити цифрами та знак</w:t>
      </w:r>
      <w:r w:rsidR="005A5F42" w:rsidRPr="003A0902">
        <w:rPr>
          <w:sz w:val="28"/>
          <w:szCs w:val="28"/>
          <w:lang w:val="uk-UA"/>
        </w:rPr>
        <w:t>о</w:t>
      </w:r>
      <w:r w:rsidR="008D3C7D" w:rsidRPr="003A0902">
        <w:rPr>
          <w:sz w:val="28"/>
          <w:szCs w:val="28"/>
          <w:lang w:val="uk-UA"/>
        </w:rPr>
        <w:t>м «0,0055»;</w:t>
      </w:r>
    </w:p>
    <w:p w14:paraId="7B525DCB" w14:textId="77777777" w:rsidR="008A5BAD" w:rsidRPr="003A0902" w:rsidRDefault="008A5BAD" w:rsidP="008D3C7D">
      <w:pPr>
        <w:ind w:firstLine="851"/>
        <w:jc w:val="both"/>
        <w:rPr>
          <w:sz w:val="28"/>
          <w:szCs w:val="28"/>
          <w:lang w:val="uk-UA"/>
        </w:rPr>
      </w:pPr>
    </w:p>
    <w:p w14:paraId="36BBA09C" w14:textId="426C9D03" w:rsidR="008D3C7D" w:rsidRPr="003A0902" w:rsidRDefault="008D3C7D" w:rsidP="00485440">
      <w:pPr>
        <w:pStyle w:val="a3"/>
        <w:numPr>
          <w:ilvl w:val="0"/>
          <w:numId w:val="29"/>
        </w:numPr>
        <w:ind w:left="0" w:firstLine="851"/>
        <w:jc w:val="both"/>
        <w:rPr>
          <w:sz w:val="28"/>
          <w:szCs w:val="28"/>
          <w:lang w:val="uk-UA"/>
        </w:rPr>
      </w:pPr>
      <w:r w:rsidRPr="003A0902">
        <w:rPr>
          <w:sz w:val="28"/>
          <w:szCs w:val="28"/>
          <w:lang w:val="uk-UA"/>
        </w:rPr>
        <w:t>у</w:t>
      </w:r>
      <w:r w:rsidR="005A5F42" w:rsidRPr="003A0902">
        <w:rPr>
          <w:sz w:val="28"/>
          <w:szCs w:val="28"/>
          <w:lang w:val="uk-UA"/>
        </w:rPr>
        <w:t xml:space="preserve"> пунктах 2.4.4 та 2.4.5</w:t>
      </w:r>
      <w:r w:rsidRPr="003A0902">
        <w:rPr>
          <w:sz w:val="28"/>
          <w:szCs w:val="28"/>
          <w:lang w:val="uk-UA"/>
        </w:rPr>
        <w:t xml:space="preserve"> глав</w:t>
      </w:r>
      <w:r w:rsidR="005A5F42" w:rsidRPr="003A0902">
        <w:rPr>
          <w:sz w:val="28"/>
          <w:szCs w:val="28"/>
          <w:lang w:val="uk-UA"/>
        </w:rPr>
        <w:t>и</w:t>
      </w:r>
      <w:r w:rsidRPr="003A0902">
        <w:rPr>
          <w:sz w:val="28"/>
          <w:szCs w:val="28"/>
          <w:lang w:val="uk-UA"/>
        </w:rPr>
        <w:t xml:space="preserve"> 2.4</w:t>
      </w:r>
      <w:r w:rsidR="00485440" w:rsidRPr="003A0902">
        <w:rPr>
          <w:sz w:val="28"/>
          <w:szCs w:val="28"/>
          <w:lang w:val="uk-UA"/>
        </w:rPr>
        <w:t xml:space="preserve"> </w:t>
      </w:r>
      <w:r w:rsidRPr="003A0902">
        <w:rPr>
          <w:sz w:val="28"/>
          <w:szCs w:val="28"/>
          <w:lang w:val="uk-UA"/>
        </w:rPr>
        <w:t>цифри «60» замінити цифрами «50»</w:t>
      </w:r>
      <w:r w:rsidR="00A4556D" w:rsidRPr="003A0902">
        <w:rPr>
          <w:sz w:val="28"/>
          <w:szCs w:val="28"/>
          <w:lang w:val="uk-UA"/>
        </w:rPr>
        <w:t>.</w:t>
      </w:r>
    </w:p>
    <w:p w14:paraId="244B2D70" w14:textId="09B2FBE8" w:rsidR="00666BEF" w:rsidRPr="003A0902" w:rsidRDefault="00666BEF" w:rsidP="003C3712">
      <w:pPr>
        <w:tabs>
          <w:tab w:val="left" w:pos="0"/>
          <w:tab w:val="left" w:pos="1134"/>
        </w:tabs>
        <w:ind w:firstLine="851"/>
        <w:jc w:val="both"/>
        <w:rPr>
          <w:sz w:val="28"/>
          <w:szCs w:val="28"/>
          <w:lang w:val="uk-UA"/>
        </w:rPr>
      </w:pPr>
    </w:p>
    <w:p w14:paraId="3276A662" w14:textId="0CD9D2CC" w:rsidR="005A5F42" w:rsidRPr="003A0902" w:rsidRDefault="005A5F42" w:rsidP="003C3712">
      <w:pPr>
        <w:tabs>
          <w:tab w:val="left" w:pos="0"/>
          <w:tab w:val="left" w:pos="1134"/>
        </w:tabs>
        <w:ind w:firstLine="851"/>
        <w:jc w:val="both"/>
        <w:rPr>
          <w:sz w:val="28"/>
          <w:szCs w:val="28"/>
          <w:lang w:val="uk-UA"/>
        </w:rPr>
      </w:pPr>
    </w:p>
    <w:p w14:paraId="1B78A3BE" w14:textId="42F1F3E4" w:rsidR="005A5F42" w:rsidRPr="003A0902" w:rsidRDefault="005A5F42" w:rsidP="003C3712">
      <w:pPr>
        <w:tabs>
          <w:tab w:val="left" w:pos="0"/>
          <w:tab w:val="left" w:pos="1134"/>
        </w:tabs>
        <w:ind w:firstLine="851"/>
        <w:jc w:val="both"/>
        <w:rPr>
          <w:sz w:val="28"/>
          <w:szCs w:val="28"/>
          <w:lang w:val="uk-UA"/>
        </w:rPr>
      </w:pPr>
    </w:p>
    <w:p w14:paraId="57265748" w14:textId="77777777" w:rsidR="00485440" w:rsidRPr="003A0902" w:rsidRDefault="00485440" w:rsidP="003C3712">
      <w:pPr>
        <w:tabs>
          <w:tab w:val="left" w:pos="0"/>
          <w:tab w:val="left" w:pos="1134"/>
        </w:tabs>
        <w:ind w:firstLine="851"/>
        <w:jc w:val="both"/>
        <w:rPr>
          <w:sz w:val="28"/>
          <w:szCs w:val="28"/>
          <w:lang w:val="uk-UA"/>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gridCol w:w="2835"/>
        <w:gridCol w:w="2971"/>
      </w:tblGrid>
      <w:tr w:rsidR="0096788C" w:rsidRPr="003A0902" w14:paraId="49D3C643" w14:textId="77777777" w:rsidTr="00CD2975">
        <w:tc>
          <w:tcPr>
            <w:tcW w:w="3539" w:type="dxa"/>
            <w:vAlign w:val="center"/>
          </w:tcPr>
          <w:p w14:paraId="2036ED1E" w14:textId="77777777" w:rsidR="0096788C" w:rsidRPr="003A0902" w:rsidRDefault="0096788C" w:rsidP="003C3712">
            <w:pPr>
              <w:tabs>
                <w:tab w:val="left" w:pos="0"/>
                <w:tab w:val="left" w:pos="1134"/>
              </w:tabs>
              <w:spacing w:after="60"/>
              <w:rPr>
                <w:sz w:val="28"/>
                <w:szCs w:val="28"/>
                <w:lang w:val="uk-UA"/>
              </w:rPr>
            </w:pPr>
            <w:r w:rsidRPr="003A0902">
              <w:rPr>
                <w:sz w:val="28"/>
                <w:szCs w:val="28"/>
                <w:lang w:val="uk-UA"/>
              </w:rPr>
              <w:t>Директор Департаменту ліцензійного контролю</w:t>
            </w:r>
          </w:p>
        </w:tc>
        <w:tc>
          <w:tcPr>
            <w:tcW w:w="2835" w:type="dxa"/>
          </w:tcPr>
          <w:p w14:paraId="76336E5D" w14:textId="77777777" w:rsidR="0096788C" w:rsidRPr="003A0902" w:rsidRDefault="0096788C" w:rsidP="003C3712">
            <w:pPr>
              <w:tabs>
                <w:tab w:val="left" w:pos="0"/>
                <w:tab w:val="left" w:pos="1134"/>
              </w:tabs>
              <w:spacing w:after="60"/>
              <w:jc w:val="both"/>
              <w:rPr>
                <w:sz w:val="28"/>
                <w:szCs w:val="28"/>
                <w:lang w:val="uk-UA"/>
              </w:rPr>
            </w:pPr>
          </w:p>
        </w:tc>
        <w:tc>
          <w:tcPr>
            <w:tcW w:w="2971" w:type="dxa"/>
            <w:vAlign w:val="center"/>
          </w:tcPr>
          <w:p w14:paraId="2E1DD727" w14:textId="021F9F9A" w:rsidR="0096788C" w:rsidRPr="003A0902" w:rsidRDefault="0096788C" w:rsidP="003C3712">
            <w:pPr>
              <w:tabs>
                <w:tab w:val="left" w:pos="0"/>
                <w:tab w:val="left" w:pos="1134"/>
              </w:tabs>
              <w:spacing w:after="60"/>
              <w:jc w:val="center"/>
              <w:rPr>
                <w:sz w:val="28"/>
                <w:szCs w:val="28"/>
                <w:lang w:val="uk-UA"/>
              </w:rPr>
            </w:pPr>
            <w:r w:rsidRPr="003A0902">
              <w:rPr>
                <w:sz w:val="28"/>
                <w:szCs w:val="28"/>
                <w:lang w:val="uk-UA"/>
              </w:rPr>
              <w:t>Я</w:t>
            </w:r>
            <w:r w:rsidR="00CD2975" w:rsidRPr="003A0902">
              <w:rPr>
                <w:sz w:val="28"/>
                <w:szCs w:val="28"/>
                <w:lang w:val="uk-UA"/>
              </w:rPr>
              <w:t>рослав</w:t>
            </w:r>
            <w:r w:rsidRPr="003A0902">
              <w:rPr>
                <w:sz w:val="28"/>
                <w:szCs w:val="28"/>
                <w:lang w:val="uk-UA"/>
              </w:rPr>
              <w:t xml:space="preserve"> </w:t>
            </w:r>
            <w:r w:rsidR="00CD2975" w:rsidRPr="003A0902">
              <w:rPr>
                <w:sz w:val="28"/>
                <w:szCs w:val="28"/>
                <w:lang w:val="uk-UA"/>
              </w:rPr>
              <w:t>ЗЕЛЕНЮК</w:t>
            </w:r>
          </w:p>
        </w:tc>
      </w:tr>
    </w:tbl>
    <w:p w14:paraId="54407178" w14:textId="773C31ED" w:rsidR="00806400" w:rsidRPr="003A0902" w:rsidRDefault="00806400" w:rsidP="00864349">
      <w:pPr>
        <w:tabs>
          <w:tab w:val="left" w:pos="0"/>
          <w:tab w:val="left" w:pos="1134"/>
        </w:tabs>
        <w:spacing w:after="60"/>
        <w:jc w:val="both"/>
        <w:rPr>
          <w:sz w:val="28"/>
          <w:szCs w:val="28"/>
          <w:lang w:val="uk-UA"/>
        </w:rPr>
      </w:pPr>
    </w:p>
    <w:sectPr w:rsidR="00806400" w:rsidRPr="003A0902" w:rsidSect="00DA2649">
      <w:headerReference w:type="default" r:id="rId8"/>
      <w:pgSz w:w="11906" w:h="16838" w:code="9"/>
      <w:pgMar w:top="1134" w:right="567"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291DE7" w14:textId="77777777" w:rsidR="00D038D8" w:rsidRDefault="00D038D8" w:rsidP="00F24F25">
      <w:r>
        <w:separator/>
      </w:r>
    </w:p>
  </w:endnote>
  <w:endnote w:type="continuationSeparator" w:id="0">
    <w:p w14:paraId="0ACE0C9D" w14:textId="77777777" w:rsidR="00D038D8" w:rsidRDefault="00D038D8" w:rsidP="00F24F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NewRomanPS-BoldMT">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789AD1" w14:textId="77777777" w:rsidR="00D038D8" w:rsidRDefault="00D038D8" w:rsidP="00F24F25">
      <w:r>
        <w:separator/>
      </w:r>
    </w:p>
  </w:footnote>
  <w:footnote w:type="continuationSeparator" w:id="0">
    <w:p w14:paraId="50D9407D" w14:textId="77777777" w:rsidR="00D038D8" w:rsidRDefault="00D038D8" w:rsidP="00F24F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15656244"/>
      <w:docPartObj>
        <w:docPartGallery w:val="Page Numbers (Top of Page)"/>
        <w:docPartUnique/>
      </w:docPartObj>
    </w:sdtPr>
    <w:sdtEndPr/>
    <w:sdtContent>
      <w:p w14:paraId="0F3DFC1B" w14:textId="00932533" w:rsidR="006F04B8" w:rsidRDefault="006F04B8">
        <w:pPr>
          <w:pStyle w:val="a5"/>
          <w:jc w:val="center"/>
        </w:pPr>
        <w:r>
          <w:fldChar w:fldCharType="begin"/>
        </w:r>
        <w:r>
          <w:instrText>PAGE   \* MERGEFORMAT</w:instrText>
        </w:r>
        <w:r>
          <w:fldChar w:fldCharType="separate"/>
        </w:r>
        <w:r w:rsidR="008E129A" w:rsidRPr="008E129A">
          <w:rPr>
            <w:noProof/>
            <w:lang w:val="uk-UA"/>
          </w:rPr>
          <w:t>6</w:t>
        </w:r>
        <w:r>
          <w:fldChar w:fldCharType="end"/>
        </w:r>
      </w:p>
    </w:sdtContent>
  </w:sdt>
  <w:p w14:paraId="57FD6416" w14:textId="77777777" w:rsidR="006F04B8" w:rsidRDefault="006F04B8">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32BF1"/>
    <w:multiLevelType w:val="hybridMultilevel"/>
    <w:tmpl w:val="731C6E8A"/>
    <w:lvl w:ilvl="0" w:tplc="3E2EE3FA">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 w15:restartNumberingAfterBreak="0">
    <w:nsid w:val="05930101"/>
    <w:multiLevelType w:val="hybridMultilevel"/>
    <w:tmpl w:val="A802BE48"/>
    <w:lvl w:ilvl="0" w:tplc="0DA61B9C">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15:restartNumberingAfterBreak="0">
    <w:nsid w:val="0A255A65"/>
    <w:multiLevelType w:val="hybridMultilevel"/>
    <w:tmpl w:val="79D69BB4"/>
    <w:lvl w:ilvl="0" w:tplc="69D8DF84">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 w15:restartNumberingAfterBreak="0">
    <w:nsid w:val="0BF274EB"/>
    <w:multiLevelType w:val="hybridMultilevel"/>
    <w:tmpl w:val="A850B270"/>
    <w:lvl w:ilvl="0" w:tplc="04190011">
      <w:start w:val="1"/>
      <w:numFmt w:val="decimal"/>
      <w:lvlText w:val="%1)"/>
      <w:lvlJc w:val="left"/>
      <w:pPr>
        <w:ind w:left="720" w:hanging="360"/>
      </w:pPr>
      <w:rPr>
        <w:rFonts w:hint="default"/>
        <w:b w:val="0"/>
        <w:color w:val="000000"/>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0C93116F"/>
    <w:multiLevelType w:val="hybridMultilevel"/>
    <w:tmpl w:val="99608CD4"/>
    <w:lvl w:ilvl="0" w:tplc="430A2994">
      <w:start w:val="1"/>
      <w:numFmt w:val="decimal"/>
      <w:suff w:val="space"/>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175D0398"/>
    <w:multiLevelType w:val="hybridMultilevel"/>
    <w:tmpl w:val="58424988"/>
    <w:lvl w:ilvl="0" w:tplc="6FA46238">
      <w:start w:val="1"/>
      <w:numFmt w:val="decimal"/>
      <w:suff w:val="space"/>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15:restartNumberingAfterBreak="0">
    <w:nsid w:val="23720F23"/>
    <w:multiLevelType w:val="hybridMultilevel"/>
    <w:tmpl w:val="12BC27BA"/>
    <w:lvl w:ilvl="0" w:tplc="7C7647D4">
      <w:start w:val="1"/>
      <w:numFmt w:val="decimal"/>
      <w:suff w:val="space"/>
      <w:lvlText w:val="%1)"/>
      <w:lvlJc w:val="left"/>
      <w:pPr>
        <w:ind w:left="106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7" w15:restartNumberingAfterBreak="0">
    <w:nsid w:val="2F2E459C"/>
    <w:multiLevelType w:val="hybridMultilevel"/>
    <w:tmpl w:val="C570F100"/>
    <w:lvl w:ilvl="0" w:tplc="FDE61068">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8" w15:restartNumberingAfterBreak="0">
    <w:nsid w:val="318F7725"/>
    <w:multiLevelType w:val="hybridMultilevel"/>
    <w:tmpl w:val="ED544D20"/>
    <w:lvl w:ilvl="0" w:tplc="E70C4150">
      <w:start w:val="1"/>
      <w:numFmt w:val="decimal"/>
      <w:suff w:val="space"/>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9" w15:restartNumberingAfterBreak="0">
    <w:nsid w:val="32F7673D"/>
    <w:multiLevelType w:val="hybridMultilevel"/>
    <w:tmpl w:val="F3C20202"/>
    <w:lvl w:ilvl="0" w:tplc="F7C8430E">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0" w15:restartNumberingAfterBreak="0">
    <w:nsid w:val="332F4A13"/>
    <w:multiLevelType w:val="hybridMultilevel"/>
    <w:tmpl w:val="F844F632"/>
    <w:lvl w:ilvl="0" w:tplc="F4A28F18">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1" w15:restartNumberingAfterBreak="0">
    <w:nsid w:val="369F2A0B"/>
    <w:multiLevelType w:val="hybridMultilevel"/>
    <w:tmpl w:val="2E68A504"/>
    <w:lvl w:ilvl="0" w:tplc="C18E08FE">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38A5512B"/>
    <w:multiLevelType w:val="hybridMultilevel"/>
    <w:tmpl w:val="2DEC4168"/>
    <w:lvl w:ilvl="0" w:tplc="0419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3F026575"/>
    <w:multiLevelType w:val="hybridMultilevel"/>
    <w:tmpl w:val="E6B8B9AC"/>
    <w:lvl w:ilvl="0" w:tplc="95964484">
      <w:numFmt w:val="bullet"/>
      <w:suff w:val="space"/>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14" w15:restartNumberingAfterBreak="0">
    <w:nsid w:val="413D0F6A"/>
    <w:multiLevelType w:val="hybridMultilevel"/>
    <w:tmpl w:val="64DCE324"/>
    <w:lvl w:ilvl="0" w:tplc="7FB22CEA">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5" w15:restartNumberingAfterBreak="0">
    <w:nsid w:val="43705358"/>
    <w:multiLevelType w:val="hybridMultilevel"/>
    <w:tmpl w:val="F71ED882"/>
    <w:lvl w:ilvl="0" w:tplc="B2C4ACE2">
      <w:start w:val="1"/>
      <w:numFmt w:val="decimal"/>
      <w:suff w:val="space"/>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6" w15:restartNumberingAfterBreak="0">
    <w:nsid w:val="49074CFD"/>
    <w:multiLevelType w:val="hybridMultilevel"/>
    <w:tmpl w:val="A802BE48"/>
    <w:lvl w:ilvl="0" w:tplc="0DA61B9C">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7" w15:restartNumberingAfterBreak="0">
    <w:nsid w:val="49F458A3"/>
    <w:multiLevelType w:val="hybridMultilevel"/>
    <w:tmpl w:val="AE72B7E0"/>
    <w:lvl w:ilvl="0" w:tplc="70F2500E">
      <w:start w:val="1"/>
      <w:numFmt w:val="decimal"/>
      <w:lvlText w:val="%1."/>
      <w:lvlJc w:val="left"/>
      <w:pPr>
        <w:ind w:left="810"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18" w15:restartNumberingAfterBreak="0">
    <w:nsid w:val="4AE2048F"/>
    <w:multiLevelType w:val="hybridMultilevel"/>
    <w:tmpl w:val="401E32D6"/>
    <w:lvl w:ilvl="0" w:tplc="617EA358">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9" w15:restartNumberingAfterBreak="0">
    <w:nsid w:val="4ED33A89"/>
    <w:multiLevelType w:val="hybridMultilevel"/>
    <w:tmpl w:val="BCACB84E"/>
    <w:lvl w:ilvl="0" w:tplc="C18E08FE">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15:restartNumberingAfterBreak="0">
    <w:nsid w:val="50E93D71"/>
    <w:multiLevelType w:val="hybridMultilevel"/>
    <w:tmpl w:val="1ADA6284"/>
    <w:lvl w:ilvl="0" w:tplc="5E568DD8">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1" w15:restartNumberingAfterBreak="0">
    <w:nsid w:val="51823E18"/>
    <w:multiLevelType w:val="hybridMultilevel"/>
    <w:tmpl w:val="55C87322"/>
    <w:lvl w:ilvl="0" w:tplc="E20452EA">
      <w:start w:val="1"/>
      <w:numFmt w:val="decimal"/>
      <w:suff w:val="space"/>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2" w15:restartNumberingAfterBreak="0">
    <w:nsid w:val="51917053"/>
    <w:multiLevelType w:val="hybridMultilevel"/>
    <w:tmpl w:val="E0744DE8"/>
    <w:lvl w:ilvl="0" w:tplc="B32E79EC">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3" w15:restartNumberingAfterBreak="0">
    <w:nsid w:val="52D86BBB"/>
    <w:multiLevelType w:val="hybridMultilevel"/>
    <w:tmpl w:val="E12ACE4E"/>
    <w:lvl w:ilvl="0" w:tplc="032E6804">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4" w15:restartNumberingAfterBreak="0">
    <w:nsid w:val="56000207"/>
    <w:multiLevelType w:val="hybridMultilevel"/>
    <w:tmpl w:val="CEAC4720"/>
    <w:lvl w:ilvl="0" w:tplc="841CCDBA">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5" w15:restartNumberingAfterBreak="0">
    <w:nsid w:val="5DFB2EE8"/>
    <w:multiLevelType w:val="hybridMultilevel"/>
    <w:tmpl w:val="A850B270"/>
    <w:lvl w:ilvl="0" w:tplc="04190011">
      <w:start w:val="1"/>
      <w:numFmt w:val="decimal"/>
      <w:lvlText w:val="%1)"/>
      <w:lvlJc w:val="left"/>
      <w:pPr>
        <w:ind w:left="720" w:hanging="360"/>
      </w:pPr>
      <w:rPr>
        <w:rFonts w:hint="default"/>
        <w:b w:val="0"/>
        <w:color w:val="000000"/>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67BC7560"/>
    <w:multiLevelType w:val="hybridMultilevel"/>
    <w:tmpl w:val="A26209D2"/>
    <w:lvl w:ilvl="0" w:tplc="306AE180">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7" w15:restartNumberingAfterBreak="0">
    <w:nsid w:val="6F2F3D6F"/>
    <w:multiLevelType w:val="hybridMultilevel"/>
    <w:tmpl w:val="A802BE48"/>
    <w:lvl w:ilvl="0" w:tplc="0DA61B9C">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8" w15:restartNumberingAfterBreak="0">
    <w:nsid w:val="72DA713F"/>
    <w:multiLevelType w:val="hybridMultilevel"/>
    <w:tmpl w:val="EF705DC4"/>
    <w:lvl w:ilvl="0" w:tplc="1090B396">
      <w:start w:val="1"/>
      <w:numFmt w:val="decimal"/>
      <w:suff w:val="space"/>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num w:numId="1">
    <w:abstractNumId w:val="3"/>
  </w:num>
  <w:num w:numId="2">
    <w:abstractNumId w:val="17"/>
  </w:num>
  <w:num w:numId="3">
    <w:abstractNumId w:val="12"/>
  </w:num>
  <w:num w:numId="4">
    <w:abstractNumId w:val="25"/>
  </w:num>
  <w:num w:numId="5">
    <w:abstractNumId w:val="11"/>
  </w:num>
  <w:num w:numId="6">
    <w:abstractNumId w:val="19"/>
  </w:num>
  <w:num w:numId="7">
    <w:abstractNumId w:val="4"/>
  </w:num>
  <w:num w:numId="8">
    <w:abstractNumId w:val="15"/>
  </w:num>
  <w:num w:numId="9">
    <w:abstractNumId w:val="27"/>
  </w:num>
  <w:num w:numId="10">
    <w:abstractNumId w:val="1"/>
  </w:num>
  <w:num w:numId="11">
    <w:abstractNumId w:val="18"/>
  </w:num>
  <w:num w:numId="12">
    <w:abstractNumId w:val="5"/>
  </w:num>
  <w:num w:numId="13">
    <w:abstractNumId w:val="6"/>
  </w:num>
  <w:num w:numId="14">
    <w:abstractNumId w:val="9"/>
  </w:num>
  <w:num w:numId="15">
    <w:abstractNumId w:val="16"/>
  </w:num>
  <w:num w:numId="16">
    <w:abstractNumId w:val="14"/>
  </w:num>
  <w:num w:numId="17">
    <w:abstractNumId w:val="24"/>
  </w:num>
  <w:num w:numId="18">
    <w:abstractNumId w:val="26"/>
  </w:num>
  <w:num w:numId="19">
    <w:abstractNumId w:val="22"/>
  </w:num>
  <w:num w:numId="20">
    <w:abstractNumId w:val="2"/>
  </w:num>
  <w:num w:numId="21">
    <w:abstractNumId w:val="20"/>
  </w:num>
  <w:num w:numId="22">
    <w:abstractNumId w:val="10"/>
  </w:num>
  <w:num w:numId="23">
    <w:abstractNumId w:val="28"/>
  </w:num>
  <w:num w:numId="24">
    <w:abstractNumId w:val="8"/>
  </w:num>
  <w:num w:numId="25">
    <w:abstractNumId w:val="23"/>
  </w:num>
  <w:num w:numId="26">
    <w:abstractNumId w:val="13"/>
  </w:num>
  <w:num w:numId="27">
    <w:abstractNumId w:val="0"/>
  </w:num>
  <w:num w:numId="28">
    <w:abstractNumId w:val="7"/>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C13"/>
    <w:rsid w:val="00004227"/>
    <w:rsid w:val="00005443"/>
    <w:rsid w:val="00005512"/>
    <w:rsid w:val="0000621F"/>
    <w:rsid w:val="00007532"/>
    <w:rsid w:val="000108D4"/>
    <w:rsid w:val="00013C06"/>
    <w:rsid w:val="000149FB"/>
    <w:rsid w:val="0002121F"/>
    <w:rsid w:val="00022AA5"/>
    <w:rsid w:val="00026466"/>
    <w:rsid w:val="00030138"/>
    <w:rsid w:val="00031FCD"/>
    <w:rsid w:val="000332E7"/>
    <w:rsid w:val="0003399D"/>
    <w:rsid w:val="00035BE4"/>
    <w:rsid w:val="00037EED"/>
    <w:rsid w:val="00041E6C"/>
    <w:rsid w:val="0004278D"/>
    <w:rsid w:val="00044059"/>
    <w:rsid w:val="000446F7"/>
    <w:rsid w:val="00044CDE"/>
    <w:rsid w:val="000527B5"/>
    <w:rsid w:val="00054EDD"/>
    <w:rsid w:val="00055D88"/>
    <w:rsid w:val="000624D1"/>
    <w:rsid w:val="00071A88"/>
    <w:rsid w:val="00094A68"/>
    <w:rsid w:val="00095BDE"/>
    <w:rsid w:val="000966F2"/>
    <w:rsid w:val="000A2448"/>
    <w:rsid w:val="000A29FC"/>
    <w:rsid w:val="000A2E80"/>
    <w:rsid w:val="000B1508"/>
    <w:rsid w:val="000B522C"/>
    <w:rsid w:val="000B5B6F"/>
    <w:rsid w:val="000B5F69"/>
    <w:rsid w:val="000B71A1"/>
    <w:rsid w:val="000C2C52"/>
    <w:rsid w:val="000C3F8C"/>
    <w:rsid w:val="000C562C"/>
    <w:rsid w:val="000C60DC"/>
    <w:rsid w:val="000D191B"/>
    <w:rsid w:val="000D377E"/>
    <w:rsid w:val="000D4481"/>
    <w:rsid w:val="000E40BD"/>
    <w:rsid w:val="000E507A"/>
    <w:rsid w:val="000E5139"/>
    <w:rsid w:val="000E5856"/>
    <w:rsid w:val="000F36F9"/>
    <w:rsid w:val="000F4D62"/>
    <w:rsid w:val="000F7E97"/>
    <w:rsid w:val="000F7F3E"/>
    <w:rsid w:val="0010015C"/>
    <w:rsid w:val="00101694"/>
    <w:rsid w:val="00104875"/>
    <w:rsid w:val="001075EC"/>
    <w:rsid w:val="001113FF"/>
    <w:rsid w:val="0011242C"/>
    <w:rsid w:val="00114D25"/>
    <w:rsid w:val="00116C27"/>
    <w:rsid w:val="0013223E"/>
    <w:rsid w:val="00133BC0"/>
    <w:rsid w:val="001416C4"/>
    <w:rsid w:val="00143C2A"/>
    <w:rsid w:val="00147655"/>
    <w:rsid w:val="001505D9"/>
    <w:rsid w:val="0015279D"/>
    <w:rsid w:val="0015355F"/>
    <w:rsid w:val="00153EA0"/>
    <w:rsid w:val="001551F4"/>
    <w:rsid w:val="001604A8"/>
    <w:rsid w:val="001663B4"/>
    <w:rsid w:val="00171C12"/>
    <w:rsid w:val="00173103"/>
    <w:rsid w:val="00173A89"/>
    <w:rsid w:val="0017503A"/>
    <w:rsid w:val="00180EE5"/>
    <w:rsid w:val="0018304A"/>
    <w:rsid w:val="00184E58"/>
    <w:rsid w:val="001858CC"/>
    <w:rsid w:val="00186C13"/>
    <w:rsid w:val="001900BF"/>
    <w:rsid w:val="001944CC"/>
    <w:rsid w:val="0019693C"/>
    <w:rsid w:val="001A29D6"/>
    <w:rsid w:val="001A4914"/>
    <w:rsid w:val="001A4B15"/>
    <w:rsid w:val="001A5B52"/>
    <w:rsid w:val="001A5E96"/>
    <w:rsid w:val="001B01DD"/>
    <w:rsid w:val="001B1A44"/>
    <w:rsid w:val="001B4757"/>
    <w:rsid w:val="001B50B1"/>
    <w:rsid w:val="001C0EDD"/>
    <w:rsid w:val="001C23DB"/>
    <w:rsid w:val="001C7200"/>
    <w:rsid w:val="001D0781"/>
    <w:rsid w:val="001D0899"/>
    <w:rsid w:val="001D148F"/>
    <w:rsid w:val="001D1B92"/>
    <w:rsid w:val="001D5D52"/>
    <w:rsid w:val="001E38FB"/>
    <w:rsid w:val="001E5B3D"/>
    <w:rsid w:val="001F27B9"/>
    <w:rsid w:val="001F4121"/>
    <w:rsid w:val="001F4528"/>
    <w:rsid w:val="001F4AFE"/>
    <w:rsid w:val="001F7231"/>
    <w:rsid w:val="00200BDE"/>
    <w:rsid w:val="0020256B"/>
    <w:rsid w:val="00203504"/>
    <w:rsid w:val="00206F52"/>
    <w:rsid w:val="00210803"/>
    <w:rsid w:val="00216C64"/>
    <w:rsid w:val="00223ABC"/>
    <w:rsid w:val="002244EE"/>
    <w:rsid w:val="00226852"/>
    <w:rsid w:val="00227301"/>
    <w:rsid w:val="00233404"/>
    <w:rsid w:val="00233700"/>
    <w:rsid w:val="00235D04"/>
    <w:rsid w:val="00241FE5"/>
    <w:rsid w:val="00243161"/>
    <w:rsid w:val="00243668"/>
    <w:rsid w:val="00247BD4"/>
    <w:rsid w:val="0025033B"/>
    <w:rsid w:val="002561B9"/>
    <w:rsid w:val="00257F5B"/>
    <w:rsid w:val="002605A8"/>
    <w:rsid w:val="002654AC"/>
    <w:rsid w:val="00273758"/>
    <w:rsid w:val="00275E1B"/>
    <w:rsid w:val="00281F78"/>
    <w:rsid w:val="002826A7"/>
    <w:rsid w:val="00286374"/>
    <w:rsid w:val="002864F9"/>
    <w:rsid w:val="002A15A3"/>
    <w:rsid w:val="002A1785"/>
    <w:rsid w:val="002A2727"/>
    <w:rsid w:val="002A2CF8"/>
    <w:rsid w:val="002A2F2A"/>
    <w:rsid w:val="002A4D5C"/>
    <w:rsid w:val="002A6D92"/>
    <w:rsid w:val="002B1067"/>
    <w:rsid w:val="002B1DD4"/>
    <w:rsid w:val="002B5BEA"/>
    <w:rsid w:val="002B6608"/>
    <w:rsid w:val="002B7048"/>
    <w:rsid w:val="002C19D2"/>
    <w:rsid w:val="002C58E9"/>
    <w:rsid w:val="002C78E0"/>
    <w:rsid w:val="002D468C"/>
    <w:rsid w:val="002D5289"/>
    <w:rsid w:val="002D682E"/>
    <w:rsid w:val="002E31FE"/>
    <w:rsid w:val="002E5E37"/>
    <w:rsid w:val="002E6928"/>
    <w:rsid w:val="002E6C5D"/>
    <w:rsid w:val="002F0595"/>
    <w:rsid w:val="002F3F8B"/>
    <w:rsid w:val="002F411C"/>
    <w:rsid w:val="002F4DE8"/>
    <w:rsid w:val="00301659"/>
    <w:rsid w:val="00301D99"/>
    <w:rsid w:val="0031718E"/>
    <w:rsid w:val="0031794B"/>
    <w:rsid w:val="003218BD"/>
    <w:rsid w:val="00321A2B"/>
    <w:rsid w:val="00322072"/>
    <w:rsid w:val="003227F2"/>
    <w:rsid w:val="003235C3"/>
    <w:rsid w:val="0032478C"/>
    <w:rsid w:val="003316B4"/>
    <w:rsid w:val="00333C25"/>
    <w:rsid w:val="00340225"/>
    <w:rsid w:val="00343285"/>
    <w:rsid w:val="0034448B"/>
    <w:rsid w:val="00354549"/>
    <w:rsid w:val="00355A47"/>
    <w:rsid w:val="003605CE"/>
    <w:rsid w:val="003611F7"/>
    <w:rsid w:val="003616CD"/>
    <w:rsid w:val="00362B29"/>
    <w:rsid w:val="00373D62"/>
    <w:rsid w:val="003748B4"/>
    <w:rsid w:val="00375735"/>
    <w:rsid w:val="0037639F"/>
    <w:rsid w:val="00376A2E"/>
    <w:rsid w:val="0037797A"/>
    <w:rsid w:val="00377E6A"/>
    <w:rsid w:val="00382706"/>
    <w:rsid w:val="00383B7F"/>
    <w:rsid w:val="00386454"/>
    <w:rsid w:val="003879B8"/>
    <w:rsid w:val="00390C66"/>
    <w:rsid w:val="003956B7"/>
    <w:rsid w:val="003A0174"/>
    <w:rsid w:val="003A0902"/>
    <w:rsid w:val="003A09F2"/>
    <w:rsid w:val="003A226F"/>
    <w:rsid w:val="003A50CC"/>
    <w:rsid w:val="003A5CDF"/>
    <w:rsid w:val="003A6EA3"/>
    <w:rsid w:val="003B0ADC"/>
    <w:rsid w:val="003B0C93"/>
    <w:rsid w:val="003B3A25"/>
    <w:rsid w:val="003B4CA9"/>
    <w:rsid w:val="003B65AF"/>
    <w:rsid w:val="003B7625"/>
    <w:rsid w:val="003C139B"/>
    <w:rsid w:val="003C15CB"/>
    <w:rsid w:val="003C2973"/>
    <w:rsid w:val="003C3712"/>
    <w:rsid w:val="003C52D6"/>
    <w:rsid w:val="003C688E"/>
    <w:rsid w:val="003D011C"/>
    <w:rsid w:val="003D20A7"/>
    <w:rsid w:val="003D4405"/>
    <w:rsid w:val="003D50F1"/>
    <w:rsid w:val="003D7AC9"/>
    <w:rsid w:val="003E0514"/>
    <w:rsid w:val="003E1F43"/>
    <w:rsid w:val="003E3831"/>
    <w:rsid w:val="003E5769"/>
    <w:rsid w:val="003E5F7B"/>
    <w:rsid w:val="003E778E"/>
    <w:rsid w:val="003F08EE"/>
    <w:rsid w:val="003F398F"/>
    <w:rsid w:val="003F4BDD"/>
    <w:rsid w:val="003F52C4"/>
    <w:rsid w:val="003F7288"/>
    <w:rsid w:val="003F7AF1"/>
    <w:rsid w:val="00400BBE"/>
    <w:rsid w:val="00407F89"/>
    <w:rsid w:val="00410079"/>
    <w:rsid w:val="0041124A"/>
    <w:rsid w:val="004122B1"/>
    <w:rsid w:val="00415913"/>
    <w:rsid w:val="0041663D"/>
    <w:rsid w:val="004306B2"/>
    <w:rsid w:val="004328AC"/>
    <w:rsid w:val="00433243"/>
    <w:rsid w:val="00433D51"/>
    <w:rsid w:val="00435F33"/>
    <w:rsid w:val="00440CEC"/>
    <w:rsid w:val="0044579D"/>
    <w:rsid w:val="00450EE9"/>
    <w:rsid w:val="00452740"/>
    <w:rsid w:val="004560D8"/>
    <w:rsid w:val="00461874"/>
    <w:rsid w:val="00462A17"/>
    <w:rsid w:val="00465A3C"/>
    <w:rsid w:val="00470BD7"/>
    <w:rsid w:val="00471378"/>
    <w:rsid w:val="00475216"/>
    <w:rsid w:val="004763DB"/>
    <w:rsid w:val="00476900"/>
    <w:rsid w:val="004839E8"/>
    <w:rsid w:val="00484D87"/>
    <w:rsid w:val="00485440"/>
    <w:rsid w:val="004927B0"/>
    <w:rsid w:val="00493768"/>
    <w:rsid w:val="00493B1D"/>
    <w:rsid w:val="004968A3"/>
    <w:rsid w:val="004B24D6"/>
    <w:rsid w:val="004B5E77"/>
    <w:rsid w:val="004B5F1E"/>
    <w:rsid w:val="004B6924"/>
    <w:rsid w:val="004B7F26"/>
    <w:rsid w:val="004C14E5"/>
    <w:rsid w:val="004C17FE"/>
    <w:rsid w:val="004C284A"/>
    <w:rsid w:val="004C7205"/>
    <w:rsid w:val="004D0269"/>
    <w:rsid w:val="004D2B73"/>
    <w:rsid w:val="004D4B67"/>
    <w:rsid w:val="004D560E"/>
    <w:rsid w:val="004D72CB"/>
    <w:rsid w:val="004D7AEC"/>
    <w:rsid w:val="004E1050"/>
    <w:rsid w:val="004E19A9"/>
    <w:rsid w:val="004E6A9E"/>
    <w:rsid w:val="004E71C1"/>
    <w:rsid w:val="004E745F"/>
    <w:rsid w:val="004F058C"/>
    <w:rsid w:val="004F079E"/>
    <w:rsid w:val="004F34B9"/>
    <w:rsid w:val="004F6446"/>
    <w:rsid w:val="00500B66"/>
    <w:rsid w:val="00504A1A"/>
    <w:rsid w:val="00505F52"/>
    <w:rsid w:val="00506CB4"/>
    <w:rsid w:val="00510370"/>
    <w:rsid w:val="00515765"/>
    <w:rsid w:val="005200AF"/>
    <w:rsid w:val="00522C0C"/>
    <w:rsid w:val="00524B90"/>
    <w:rsid w:val="00525610"/>
    <w:rsid w:val="005268F2"/>
    <w:rsid w:val="005272AC"/>
    <w:rsid w:val="00527395"/>
    <w:rsid w:val="0053222F"/>
    <w:rsid w:val="00533235"/>
    <w:rsid w:val="005363E8"/>
    <w:rsid w:val="00542DB7"/>
    <w:rsid w:val="005434BA"/>
    <w:rsid w:val="005436EA"/>
    <w:rsid w:val="005471C2"/>
    <w:rsid w:val="00550B43"/>
    <w:rsid w:val="00552628"/>
    <w:rsid w:val="00553AB4"/>
    <w:rsid w:val="00555F19"/>
    <w:rsid w:val="005567C1"/>
    <w:rsid w:val="00561B54"/>
    <w:rsid w:val="005626DD"/>
    <w:rsid w:val="005630B5"/>
    <w:rsid w:val="00563B79"/>
    <w:rsid w:val="005654AF"/>
    <w:rsid w:val="00567C2A"/>
    <w:rsid w:val="0057298D"/>
    <w:rsid w:val="00573BE0"/>
    <w:rsid w:val="005746AD"/>
    <w:rsid w:val="00575AFC"/>
    <w:rsid w:val="00585454"/>
    <w:rsid w:val="0059157C"/>
    <w:rsid w:val="00593169"/>
    <w:rsid w:val="005937CA"/>
    <w:rsid w:val="005939F1"/>
    <w:rsid w:val="0059450B"/>
    <w:rsid w:val="00596A0E"/>
    <w:rsid w:val="005A4170"/>
    <w:rsid w:val="005A5F42"/>
    <w:rsid w:val="005B2F1F"/>
    <w:rsid w:val="005B4840"/>
    <w:rsid w:val="005C2250"/>
    <w:rsid w:val="005C2C52"/>
    <w:rsid w:val="005C2D77"/>
    <w:rsid w:val="005C2EE0"/>
    <w:rsid w:val="005C3EAE"/>
    <w:rsid w:val="005C6409"/>
    <w:rsid w:val="005C7CCC"/>
    <w:rsid w:val="005D1A51"/>
    <w:rsid w:val="005D45A8"/>
    <w:rsid w:val="005E1C17"/>
    <w:rsid w:val="005E2305"/>
    <w:rsid w:val="005E55D6"/>
    <w:rsid w:val="005E5673"/>
    <w:rsid w:val="005F0486"/>
    <w:rsid w:val="005F2398"/>
    <w:rsid w:val="005F4B96"/>
    <w:rsid w:val="00601536"/>
    <w:rsid w:val="00603258"/>
    <w:rsid w:val="00605DAC"/>
    <w:rsid w:val="00611224"/>
    <w:rsid w:val="00613225"/>
    <w:rsid w:val="006149BD"/>
    <w:rsid w:val="00614AA9"/>
    <w:rsid w:val="006169F2"/>
    <w:rsid w:val="0062175E"/>
    <w:rsid w:val="006224B4"/>
    <w:rsid w:val="00622FED"/>
    <w:rsid w:val="00624D26"/>
    <w:rsid w:val="00630EF0"/>
    <w:rsid w:val="00633CC9"/>
    <w:rsid w:val="0063557B"/>
    <w:rsid w:val="00640860"/>
    <w:rsid w:val="006414E9"/>
    <w:rsid w:val="00642EE5"/>
    <w:rsid w:val="00645197"/>
    <w:rsid w:val="006544B1"/>
    <w:rsid w:val="00655BB9"/>
    <w:rsid w:val="006619E6"/>
    <w:rsid w:val="00661D53"/>
    <w:rsid w:val="00661EE8"/>
    <w:rsid w:val="00662C48"/>
    <w:rsid w:val="00662F1D"/>
    <w:rsid w:val="00663E06"/>
    <w:rsid w:val="00664F54"/>
    <w:rsid w:val="006660A2"/>
    <w:rsid w:val="00666BEF"/>
    <w:rsid w:val="00667123"/>
    <w:rsid w:val="00672898"/>
    <w:rsid w:val="006750CC"/>
    <w:rsid w:val="00680F3F"/>
    <w:rsid w:val="00687D79"/>
    <w:rsid w:val="0069364D"/>
    <w:rsid w:val="006A0305"/>
    <w:rsid w:val="006B1828"/>
    <w:rsid w:val="006B21B5"/>
    <w:rsid w:val="006B2EAA"/>
    <w:rsid w:val="006B2F27"/>
    <w:rsid w:val="006B4347"/>
    <w:rsid w:val="006B4B6A"/>
    <w:rsid w:val="006B61BD"/>
    <w:rsid w:val="006B638E"/>
    <w:rsid w:val="006B6C72"/>
    <w:rsid w:val="006C32BB"/>
    <w:rsid w:val="006C3C50"/>
    <w:rsid w:val="006C6F10"/>
    <w:rsid w:val="006C70C9"/>
    <w:rsid w:val="006D1F32"/>
    <w:rsid w:val="006D28DC"/>
    <w:rsid w:val="006D3AC0"/>
    <w:rsid w:val="006E4307"/>
    <w:rsid w:val="006E4676"/>
    <w:rsid w:val="006E6BD9"/>
    <w:rsid w:val="006F04B8"/>
    <w:rsid w:val="006F0A0F"/>
    <w:rsid w:val="007073AE"/>
    <w:rsid w:val="00720A0B"/>
    <w:rsid w:val="00721F68"/>
    <w:rsid w:val="00722B83"/>
    <w:rsid w:val="007265F4"/>
    <w:rsid w:val="00733BA4"/>
    <w:rsid w:val="00736B9A"/>
    <w:rsid w:val="00736BC1"/>
    <w:rsid w:val="00737FB6"/>
    <w:rsid w:val="00746680"/>
    <w:rsid w:val="0075005E"/>
    <w:rsid w:val="00750E7E"/>
    <w:rsid w:val="00750FE8"/>
    <w:rsid w:val="007542EB"/>
    <w:rsid w:val="00761E19"/>
    <w:rsid w:val="00763B25"/>
    <w:rsid w:val="00764117"/>
    <w:rsid w:val="007659FA"/>
    <w:rsid w:val="00765D30"/>
    <w:rsid w:val="00767256"/>
    <w:rsid w:val="00767357"/>
    <w:rsid w:val="007713A8"/>
    <w:rsid w:val="00772F2D"/>
    <w:rsid w:val="007769A1"/>
    <w:rsid w:val="00780988"/>
    <w:rsid w:val="007826E1"/>
    <w:rsid w:val="00782E82"/>
    <w:rsid w:val="007834A5"/>
    <w:rsid w:val="007851A1"/>
    <w:rsid w:val="00785A2D"/>
    <w:rsid w:val="0079014B"/>
    <w:rsid w:val="00791E98"/>
    <w:rsid w:val="00793E57"/>
    <w:rsid w:val="007A05D7"/>
    <w:rsid w:val="007A074E"/>
    <w:rsid w:val="007A437F"/>
    <w:rsid w:val="007A5827"/>
    <w:rsid w:val="007A64D7"/>
    <w:rsid w:val="007B02D2"/>
    <w:rsid w:val="007B052C"/>
    <w:rsid w:val="007B26A8"/>
    <w:rsid w:val="007B2850"/>
    <w:rsid w:val="007C0343"/>
    <w:rsid w:val="007C062E"/>
    <w:rsid w:val="007C0BAE"/>
    <w:rsid w:val="007C6F51"/>
    <w:rsid w:val="007D55FA"/>
    <w:rsid w:val="007E0CB6"/>
    <w:rsid w:val="007E592C"/>
    <w:rsid w:val="007E5B3C"/>
    <w:rsid w:val="007F24EA"/>
    <w:rsid w:val="007F56EB"/>
    <w:rsid w:val="007F5B86"/>
    <w:rsid w:val="007F74FA"/>
    <w:rsid w:val="007F76EE"/>
    <w:rsid w:val="00800B9B"/>
    <w:rsid w:val="00801A3E"/>
    <w:rsid w:val="00801FAA"/>
    <w:rsid w:val="00803034"/>
    <w:rsid w:val="00806400"/>
    <w:rsid w:val="00807E39"/>
    <w:rsid w:val="00811B86"/>
    <w:rsid w:val="008146CA"/>
    <w:rsid w:val="00814B9F"/>
    <w:rsid w:val="00815676"/>
    <w:rsid w:val="00815BF1"/>
    <w:rsid w:val="00826868"/>
    <w:rsid w:val="00833ED9"/>
    <w:rsid w:val="00834251"/>
    <w:rsid w:val="008347BE"/>
    <w:rsid w:val="00835898"/>
    <w:rsid w:val="00836E81"/>
    <w:rsid w:val="00837D85"/>
    <w:rsid w:val="00845F07"/>
    <w:rsid w:val="00847A28"/>
    <w:rsid w:val="00853105"/>
    <w:rsid w:val="00853D4A"/>
    <w:rsid w:val="00855136"/>
    <w:rsid w:val="00864349"/>
    <w:rsid w:val="00864A90"/>
    <w:rsid w:val="00873C36"/>
    <w:rsid w:val="008748BE"/>
    <w:rsid w:val="008753E4"/>
    <w:rsid w:val="00875B33"/>
    <w:rsid w:val="008778CC"/>
    <w:rsid w:val="008803A3"/>
    <w:rsid w:val="008811CF"/>
    <w:rsid w:val="00883930"/>
    <w:rsid w:val="00883A41"/>
    <w:rsid w:val="00883EFC"/>
    <w:rsid w:val="00886324"/>
    <w:rsid w:val="00886B71"/>
    <w:rsid w:val="00893C6E"/>
    <w:rsid w:val="008940EE"/>
    <w:rsid w:val="00895E0C"/>
    <w:rsid w:val="0089686B"/>
    <w:rsid w:val="008A3A97"/>
    <w:rsid w:val="008A5947"/>
    <w:rsid w:val="008A5BAD"/>
    <w:rsid w:val="008B006C"/>
    <w:rsid w:val="008B10C6"/>
    <w:rsid w:val="008B36D9"/>
    <w:rsid w:val="008B55D4"/>
    <w:rsid w:val="008B5910"/>
    <w:rsid w:val="008B6F1A"/>
    <w:rsid w:val="008C0A27"/>
    <w:rsid w:val="008C0C6A"/>
    <w:rsid w:val="008C32EC"/>
    <w:rsid w:val="008C3BED"/>
    <w:rsid w:val="008C5DA5"/>
    <w:rsid w:val="008C7E87"/>
    <w:rsid w:val="008D0749"/>
    <w:rsid w:val="008D3C7D"/>
    <w:rsid w:val="008D3EFB"/>
    <w:rsid w:val="008E129A"/>
    <w:rsid w:val="008E1AC9"/>
    <w:rsid w:val="008F2C09"/>
    <w:rsid w:val="008F5249"/>
    <w:rsid w:val="008F635D"/>
    <w:rsid w:val="00900595"/>
    <w:rsid w:val="00902024"/>
    <w:rsid w:val="00902876"/>
    <w:rsid w:val="0090318D"/>
    <w:rsid w:val="009146E2"/>
    <w:rsid w:val="009154F9"/>
    <w:rsid w:val="00915985"/>
    <w:rsid w:val="00915D68"/>
    <w:rsid w:val="0092282E"/>
    <w:rsid w:val="00924336"/>
    <w:rsid w:val="0092666A"/>
    <w:rsid w:val="00932C10"/>
    <w:rsid w:val="009343F7"/>
    <w:rsid w:val="0093709A"/>
    <w:rsid w:val="00941630"/>
    <w:rsid w:val="00950B87"/>
    <w:rsid w:val="00952D8B"/>
    <w:rsid w:val="00954C33"/>
    <w:rsid w:val="00954DA1"/>
    <w:rsid w:val="00961578"/>
    <w:rsid w:val="00966F40"/>
    <w:rsid w:val="0096788C"/>
    <w:rsid w:val="00975784"/>
    <w:rsid w:val="00976295"/>
    <w:rsid w:val="009767A8"/>
    <w:rsid w:val="00983C0E"/>
    <w:rsid w:val="00984975"/>
    <w:rsid w:val="00987CF3"/>
    <w:rsid w:val="00987D9B"/>
    <w:rsid w:val="00990939"/>
    <w:rsid w:val="00991CF2"/>
    <w:rsid w:val="00992316"/>
    <w:rsid w:val="00995A23"/>
    <w:rsid w:val="009A2F08"/>
    <w:rsid w:val="009A30E1"/>
    <w:rsid w:val="009B1760"/>
    <w:rsid w:val="009B5402"/>
    <w:rsid w:val="009C1A80"/>
    <w:rsid w:val="009C3E81"/>
    <w:rsid w:val="009C6362"/>
    <w:rsid w:val="009D03E8"/>
    <w:rsid w:val="009D6398"/>
    <w:rsid w:val="009D6857"/>
    <w:rsid w:val="009E380E"/>
    <w:rsid w:val="009E57BF"/>
    <w:rsid w:val="009E5A6E"/>
    <w:rsid w:val="009F054A"/>
    <w:rsid w:val="009F0A4E"/>
    <w:rsid w:val="009F192D"/>
    <w:rsid w:val="009F2377"/>
    <w:rsid w:val="009F404B"/>
    <w:rsid w:val="009F5AD8"/>
    <w:rsid w:val="009F6E97"/>
    <w:rsid w:val="00A04301"/>
    <w:rsid w:val="00A108CC"/>
    <w:rsid w:val="00A25758"/>
    <w:rsid w:val="00A31615"/>
    <w:rsid w:val="00A34119"/>
    <w:rsid w:val="00A34701"/>
    <w:rsid w:val="00A349D7"/>
    <w:rsid w:val="00A35A83"/>
    <w:rsid w:val="00A35C92"/>
    <w:rsid w:val="00A361C9"/>
    <w:rsid w:val="00A4556D"/>
    <w:rsid w:val="00A542E0"/>
    <w:rsid w:val="00A55EFD"/>
    <w:rsid w:val="00A57EDE"/>
    <w:rsid w:val="00A61D40"/>
    <w:rsid w:val="00A61DC0"/>
    <w:rsid w:val="00A6308C"/>
    <w:rsid w:val="00A634D0"/>
    <w:rsid w:val="00A64874"/>
    <w:rsid w:val="00A65BEC"/>
    <w:rsid w:val="00A6691D"/>
    <w:rsid w:val="00A67577"/>
    <w:rsid w:val="00A74CD0"/>
    <w:rsid w:val="00A756F8"/>
    <w:rsid w:val="00A769D5"/>
    <w:rsid w:val="00A80081"/>
    <w:rsid w:val="00A81120"/>
    <w:rsid w:val="00A83428"/>
    <w:rsid w:val="00A852AE"/>
    <w:rsid w:val="00A8665F"/>
    <w:rsid w:val="00A879C6"/>
    <w:rsid w:val="00A87E85"/>
    <w:rsid w:val="00A905B2"/>
    <w:rsid w:val="00A91C02"/>
    <w:rsid w:val="00A91ED7"/>
    <w:rsid w:val="00A94D0B"/>
    <w:rsid w:val="00AA4A26"/>
    <w:rsid w:val="00AA57E0"/>
    <w:rsid w:val="00AA6C3F"/>
    <w:rsid w:val="00AB0272"/>
    <w:rsid w:val="00AB10CA"/>
    <w:rsid w:val="00AB36FE"/>
    <w:rsid w:val="00AC49BF"/>
    <w:rsid w:val="00AD1952"/>
    <w:rsid w:val="00AD44BF"/>
    <w:rsid w:val="00AD50C6"/>
    <w:rsid w:val="00AE1BCE"/>
    <w:rsid w:val="00AE2848"/>
    <w:rsid w:val="00AE46C7"/>
    <w:rsid w:val="00AE76FA"/>
    <w:rsid w:val="00B03814"/>
    <w:rsid w:val="00B04F72"/>
    <w:rsid w:val="00B11049"/>
    <w:rsid w:val="00B120D5"/>
    <w:rsid w:val="00B13EE3"/>
    <w:rsid w:val="00B22807"/>
    <w:rsid w:val="00B33839"/>
    <w:rsid w:val="00B3448F"/>
    <w:rsid w:val="00B36D38"/>
    <w:rsid w:val="00B371AE"/>
    <w:rsid w:val="00B414F2"/>
    <w:rsid w:val="00B41515"/>
    <w:rsid w:val="00B42295"/>
    <w:rsid w:val="00B42D5B"/>
    <w:rsid w:val="00B4336B"/>
    <w:rsid w:val="00B436DE"/>
    <w:rsid w:val="00B442FA"/>
    <w:rsid w:val="00B57521"/>
    <w:rsid w:val="00B63341"/>
    <w:rsid w:val="00B6361A"/>
    <w:rsid w:val="00B711B6"/>
    <w:rsid w:val="00B73488"/>
    <w:rsid w:val="00B75661"/>
    <w:rsid w:val="00B7798F"/>
    <w:rsid w:val="00B83D46"/>
    <w:rsid w:val="00B83E5F"/>
    <w:rsid w:val="00B849B0"/>
    <w:rsid w:val="00B92C45"/>
    <w:rsid w:val="00B94242"/>
    <w:rsid w:val="00B973DF"/>
    <w:rsid w:val="00BA6ABF"/>
    <w:rsid w:val="00BA6F8A"/>
    <w:rsid w:val="00BB0592"/>
    <w:rsid w:val="00BB097D"/>
    <w:rsid w:val="00BB24E5"/>
    <w:rsid w:val="00BB2517"/>
    <w:rsid w:val="00BB53D0"/>
    <w:rsid w:val="00BC5305"/>
    <w:rsid w:val="00BC54E2"/>
    <w:rsid w:val="00BC7543"/>
    <w:rsid w:val="00BD13E5"/>
    <w:rsid w:val="00BD1671"/>
    <w:rsid w:val="00BD3EB8"/>
    <w:rsid w:val="00BD4C60"/>
    <w:rsid w:val="00BD4FA7"/>
    <w:rsid w:val="00BD5CA4"/>
    <w:rsid w:val="00BD7676"/>
    <w:rsid w:val="00BD7F4B"/>
    <w:rsid w:val="00BE65DE"/>
    <w:rsid w:val="00BE7C77"/>
    <w:rsid w:val="00BF10B9"/>
    <w:rsid w:val="00BF1ABF"/>
    <w:rsid w:val="00BF2B5E"/>
    <w:rsid w:val="00BF2FC6"/>
    <w:rsid w:val="00BF555E"/>
    <w:rsid w:val="00BF5BA4"/>
    <w:rsid w:val="00C05779"/>
    <w:rsid w:val="00C07F7D"/>
    <w:rsid w:val="00C13B02"/>
    <w:rsid w:val="00C13D61"/>
    <w:rsid w:val="00C31273"/>
    <w:rsid w:val="00C323F3"/>
    <w:rsid w:val="00C32584"/>
    <w:rsid w:val="00C32739"/>
    <w:rsid w:val="00C35159"/>
    <w:rsid w:val="00C36CEF"/>
    <w:rsid w:val="00C427F8"/>
    <w:rsid w:val="00C45EE1"/>
    <w:rsid w:val="00C47B13"/>
    <w:rsid w:val="00C503D6"/>
    <w:rsid w:val="00C50A53"/>
    <w:rsid w:val="00C51A1D"/>
    <w:rsid w:val="00C525B7"/>
    <w:rsid w:val="00C53EEF"/>
    <w:rsid w:val="00C5584A"/>
    <w:rsid w:val="00C61276"/>
    <w:rsid w:val="00C6322D"/>
    <w:rsid w:val="00C713F7"/>
    <w:rsid w:val="00C75136"/>
    <w:rsid w:val="00C75C6B"/>
    <w:rsid w:val="00C820D7"/>
    <w:rsid w:val="00C82ABB"/>
    <w:rsid w:val="00C82C09"/>
    <w:rsid w:val="00C8629F"/>
    <w:rsid w:val="00C871C4"/>
    <w:rsid w:val="00C958CC"/>
    <w:rsid w:val="00C9624E"/>
    <w:rsid w:val="00C97D0F"/>
    <w:rsid w:val="00CA0B1F"/>
    <w:rsid w:val="00CA1BB9"/>
    <w:rsid w:val="00CA5E03"/>
    <w:rsid w:val="00CB7939"/>
    <w:rsid w:val="00CC0924"/>
    <w:rsid w:val="00CC3356"/>
    <w:rsid w:val="00CD017B"/>
    <w:rsid w:val="00CD107F"/>
    <w:rsid w:val="00CD1BFC"/>
    <w:rsid w:val="00CD2975"/>
    <w:rsid w:val="00CD56BE"/>
    <w:rsid w:val="00CD61FC"/>
    <w:rsid w:val="00CD6DCF"/>
    <w:rsid w:val="00CE06DE"/>
    <w:rsid w:val="00CE6E52"/>
    <w:rsid w:val="00CF34E2"/>
    <w:rsid w:val="00D02EB5"/>
    <w:rsid w:val="00D038D8"/>
    <w:rsid w:val="00D03D9E"/>
    <w:rsid w:val="00D071BD"/>
    <w:rsid w:val="00D076AE"/>
    <w:rsid w:val="00D11081"/>
    <w:rsid w:val="00D11E97"/>
    <w:rsid w:val="00D13E18"/>
    <w:rsid w:val="00D148E2"/>
    <w:rsid w:val="00D175D1"/>
    <w:rsid w:val="00D2007D"/>
    <w:rsid w:val="00D2289B"/>
    <w:rsid w:val="00D23BC4"/>
    <w:rsid w:val="00D24C81"/>
    <w:rsid w:val="00D3196E"/>
    <w:rsid w:val="00D32790"/>
    <w:rsid w:val="00D335F1"/>
    <w:rsid w:val="00D4062B"/>
    <w:rsid w:val="00D43A31"/>
    <w:rsid w:val="00D4580F"/>
    <w:rsid w:val="00D47BAA"/>
    <w:rsid w:val="00D525A3"/>
    <w:rsid w:val="00D562BA"/>
    <w:rsid w:val="00D56BA4"/>
    <w:rsid w:val="00D56EFA"/>
    <w:rsid w:val="00D609A7"/>
    <w:rsid w:val="00D611AC"/>
    <w:rsid w:val="00D65D3E"/>
    <w:rsid w:val="00D777E8"/>
    <w:rsid w:val="00D8238B"/>
    <w:rsid w:val="00D83BBE"/>
    <w:rsid w:val="00D867DE"/>
    <w:rsid w:val="00D920A9"/>
    <w:rsid w:val="00D96637"/>
    <w:rsid w:val="00DA052B"/>
    <w:rsid w:val="00DA17D3"/>
    <w:rsid w:val="00DA2649"/>
    <w:rsid w:val="00DA289D"/>
    <w:rsid w:val="00DA537A"/>
    <w:rsid w:val="00DA7389"/>
    <w:rsid w:val="00DB36B5"/>
    <w:rsid w:val="00DB68CB"/>
    <w:rsid w:val="00DB6AE3"/>
    <w:rsid w:val="00DB7FD7"/>
    <w:rsid w:val="00DC0B0D"/>
    <w:rsid w:val="00DC1A7C"/>
    <w:rsid w:val="00DC36F8"/>
    <w:rsid w:val="00DC69D7"/>
    <w:rsid w:val="00DC71A3"/>
    <w:rsid w:val="00DC7AF9"/>
    <w:rsid w:val="00DD594D"/>
    <w:rsid w:val="00DD642B"/>
    <w:rsid w:val="00DE588E"/>
    <w:rsid w:val="00DE709C"/>
    <w:rsid w:val="00DE7A89"/>
    <w:rsid w:val="00DE7BA7"/>
    <w:rsid w:val="00DF0C4F"/>
    <w:rsid w:val="00DF348D"/>
    <w:rsid w:val="00E053A7"/>
    <w:rsid w:val="00E057C4"/>
    <w:rsid w:val="00E062DD"/>
    <w:rsid w:val="00E10336"/>
    <w:rsid w:val="00E126DB"/>
    <w:rsid w:val="00E13D5E"/>
    <w:rsid w:val="00E20401"/>
    <w:rsid w:val="00E23586"/>
    <w:rsid w:val="00E23F4E"/>
    <w:rsid w:val="00E2583B"/>
    <w:rsid w:val="00E25D90"/>
    <w:rsid w:val="00E32515"/>
    <w:rsid w:val="00E33E32"/>
    <w:rsid w:val="00E34516"/>
    <w:rsid w:val="00E464FF"/>
    <w:rsid w:val="00E47CDA"/>
    <w:rsid w:val="00E50534"/>
    <w:rsid w:val="00E514F2"/>
    <w:rsid w:val="00E52334"/>
    <w:rsid w:val="00E52E54"/>
    <w:rsid w:val="00E62D6B"/>
    <w:rsid w:val="00E70F66"/>
    <w:rsid w:val="00E838D8"/>
    <w:rsid w:val="00E85E25"/>
    <w:rsid w:val="00E86585"/>
    <w:rsid w:val="00E86D77"/>
    <w:rsid w:val="00E876AF"/>
    <w:rsid w:val="00E902D3"/>
    <w:rsid w:val="00E93676"/>
    <w:rsid w:val="00E95127"/>
    <w:rsid w:val="00EA6A5B"/>
    <w:rsid w:val="00EB01A9"/>
    <w:rsid w:val="00EB2E5A"/>
    <w:rsid w:val="00EB3277"/>
    <w:rsid w:val="00EB36C0"/>
    <w:rsid w:val="00EC0ACB"/>
    <w:rsid w:val="00EC1640"/>
    <w:rsid w:val="00EC3CD5"/>
    <w:rsid w:val="00EC4325"/>
    <w:rsid w:val="00EC6833"/>
    <w:rsid w:val="00ED1B89"/>
    <w:rsid w:val="00ED23C8"/>
    <w:rsid w:val="00ED375E"/>
    <w:rsid w:val="00ED4322"/>
    <w:rsid w:val="00ED5D25"/>
    <w:rsid w:val="00ED6D52"/>
    <w:rsid w:val="00ED7120"/>
    <w:rsid w:val="00EE0DA9"/>
    <w:rsid w:val="00EE3B8B"/>
    <w:rsid w:val="00EE6071"/>
    <w:rsid w:val="00EE7D29"/>
    <w:rsid w:val="00EF3245"/>
    <w:rsid w:val="00EF3BE1"/>
    <w:rsid w:val="00EF3FEC"/>
    <w:rsid w:val="00EF442E"/>
    <w:rsid w:val="00EF4AD2"/>
    <w:rsid w:val="00EF6684"/>
    <w:rsid w:val="00EF70BC"/>
    <w:rsid w:val="00EF7F17"/>
    <w:rsid w:val="00F018FB"/>
    <w:rsid w:val="00F0210D"/>
    <w:rsid w:val="00F05184"/>
    <w:rsid w:val="00F05A48"/>
    <w:rsid w:val="00F1048E"/>
    <w:rsid w:val="00F118C2"/>
    <w:rsid w:val="00F1329B"/>
    <w:rsid w:val="00F16324"/>
    <w:rsid w:val="00F2179F"/>
    <w:rsid w:val="00F23BC5"/>
    <w:rsid w:val="00F248DF"/>
    <w:rsid w:val="00F24F25"/>
    <w:rsid w:val="00F335FD"/>
    <w:rsid w:val="00F37A35"/>
    <w:rsid w:val="00F40A01"/>
    <w:rsid w:val="00F4103A"/>
    <w:rsid w:val="00F41EED"/>
    <w:rsid w:val="00F51BAC"/>
    <w:rsid w:val="00F52120"/>
    <w:rsid w:val="00F54DED"/>
    <w:rsid w:val="00F6259A"/>
    <w:rsid w:val="00F70B42"/>
    <w:rsid w:val="00F76558"/>
    <w:rsid w:val="00F8513D"/>
    <w:rsid w:val="00F91041"/>
    <w:rsid w:val="00F91707"/>
    <w:rsid w:val="00F932D3"/>
    <w:rsid w:val="00FA1F54"/>
    <w:rsid w:val="00FB1688"/>
    <w:rsid w:val="00FB1AC9"/>
    <w:rsid w:val="00FB6F02"/>
    <w:rsid w:val="00FB7878"/>
    <w:rsid w:val="00FC0275"/>
    <w:rsid w:val="00FD1E52"/>
    <w:rsid w:val="00FD4326"/>
    <w:rsid w:val="00FD4D49"/>
    <w:rsid w:val="00FD588C"/>
    <w:rsid w:val="00FE0BE5"/>
    <w:rsid w:val="00FE2787"/>
    <w:rsid w:val="00FE305E"/>
    <w:rsid w:val="00FE350A"/>
    <w:rsid w:val="00FE4D62"/>
    <w:rsid w:val="00FE60D4"/>
    <w:rsid w:val="00FE7D1F"/>
    <w:rsid w:val="00FF3AB1"/>
    <w:rsid w:val="00FF617C"/>
    <w:rsid w:val="00FF62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F9B6F"/>
  <w15:docId w15:val="{3C9C54D2-4041-4146-A1EF-562F41ADE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47A2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22AA5"/>
    <w:pPr>
      <w:keepNext/>
      <w:keepLines/>
      <w:spacing w:before="480"/>
      <w:jc w:val="center"/>
      <w:outlineLvl w:val="0"/>
    </w:pPr>
    <w:rPr>
      <w:rFonts w:eastAsiaTheme="majorEastAsia" w:cstheme="majorBidi"/>
      <w:b/>
      <w:bCs/>
      <w:color w:val="000000" w:themeColor="text1"/>
      <w:sz w:val="28"/>
      <w:szCs w:val="28"/>
      <w:lang w:val="en-US" w:eastAsia="en-US"/>
    </w:rPr>
  </w:style>
  <w:style w:type="paragraph" w:styleId="2">
    <w:name w:val="heading 2"/>
    <w:basedOn w:val="a"/>
    <w:next w:val="a"/>
    <w:link w:val="20"/>
    <w:uiPriority w:val="9"/>
    <w:semiHidden/>
    <w:unhideWhenUsed/>
    <w:qFormat/>
    <w:rsid w:val="00806400"/>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link w:val="30"/>
    <w:qFormat/>
    <w:rsid w:val="00022AA5"/>
    <w:pPr>
      <w:spacing w:before="100" w:beforeAutospacing="1" w:after="100" w:afterAutospacing="1"/>
      <w:outlineLvl w:val="2"/>
    </w:pPr>
    <w:rPr>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7A28"/>
    <w:pPr>
      <w:ind w:left="720"/>
      <w:contextualSpacing/>
    </w:pPr>
  </w:style>
  <w:style w:type="paragraph" w:customStyle="1" w:styleId="rvps4">
    <w:name w:val="rvps4"/>
    <w:basedOn w:val="a"/>
    <w:rsid w:val="00847A28"/>
    <w:pPr>
      <w:spacing w:before="100" w:beforeAutospacing="1" w:after="100" w:afterAutospacing="1"/>
    </w:pPr>
    <w:rPr>
      <w:lang w:val="uk-UA" w:eastAsia="uk-UA"/>
    </w:rPr>
  </w:style>
  <w:style w:type="paragraph" w:customStyle="1" w:styleId="rvps1">
    <w:name w:val="rvps1"/>
    <w:basedOn w:val="a"/>
    <w:rsid w:val="00847A28"/>
    <w:pPr>
      <w:spacing w:before="100" w:beforeAutospacing="1" w:after="100" w:afterAutospacing="1"/>
    </w:pPr>
    <w:rPr>
      <w:lang w:val="uk-UA" w:eastAsia="uk-UA"/>
    </w:rPr>
  </w:style>
  <w:style w:type="character" w:customStyle="1" w:styleId="rvts15">
    <w:name w:val="rvts15"/>
    <w:basedOn w:val="a0"/>
    <w:rsid w:val="00847A28"/>
  </w:style>
  <w:style w:type="character" w:customStyle="1" w:styleId="rvts23">
    <w:name w:val="rvts23"/>
    <w:basedOn w:val="a0"/>
    <w:rsid w:val="00847A28"/>
  </w:style>
  <w:style w:type="paragraph" w:customStyle="1" w:styleId="rvps7">
    <w:name w:val="rvps7"/>
    <w:basedOn w:val="a"/>
    <w:rsid w:val="00847A28"/>
    <w:pPr>
      <w:spacing w:before="100" w:beforeAutospacing="1" w:after="100" w:afterAutospacing="1"/>
    </w:pPr>
    <w:rPr>
      <w:lang w:val="uk-UA" w:eastAsia="uk-UA"/>
    </w:rPr>
  </w:style>
  <w:style w:type="character" w:customStyle="1" w:styleId="rvts9">
    <w:name w:val="rvts9"/>
    <w:basedOn w:val="a0"/>
    <w:rsid w:val="00847A28"/>
  </w:style>
  <w:style w:type="paragraph" w:customStyle="1" w:styleId="rvps6">
    <w:name w:val="rvps6"/>
    <w:basedOn w:val="a"/>
    <w:rsid w:val="00847A28"/>
    <w:pPr>
      <w:spacing w:before="100" w:beforeAutospacing="1" w:after="100" w:afterAutospacing="1"/>
    </w:pPr>
    <w:rPr>
      <w:lang w:val="uk-UA" w:eastAsia="uk-UA"/>
    </w:rPr>
  </w:style>
  <w:style w:type="paragraph" w:customStyle="1" w:styleId="rvps2">
    <w:name w:val="rvps2"/>
    <w:basedOn w:val="a"/>
    <w:link w:val="rvps2Char"/>
    <w:qFormat/>
    <w:rsid w:val="00847A28"/>
    <w:pPr>
      <w:spacing w:before="100" w:beforeAutospacing="1" w:after="100" w:afterAutospacing="1"/>
    </w:pPr>
    <w:rPr>
      <w:lang w:val="uk-UA" w:eastAsia="uk-UA"/>
    </w:rPr>
  </w:style>
  <w:style w:type="character" w:styleId="a4">
    <w:name w:val="Hyperlink"/>
    <w:basedOn w:val="a0"/>
    <w:unhideWhenUsed/>
    <w:rsid w:val="00847A28"/>
    <w:rPr>
      <w:color w:val="0000FF"/>
      <w:u w:val="single"/>
    </w:rPr>
  </w:style>
  <w:style w:type="character" w:customStyle="1" w:styleId="rvts52">
    <w:name w:val="rvts52"/>
    <w:basedOn w:val="a0"/>
    <w:rsid w:val="00847A28"/>
  </w:style>
  <w:style w:type="character" w:customStyle="1" w:styleId="rvts44">
    <w:name w:val="rvts44"/>
    <w:basedOn w:val="a0"/>
    <w:rsid w:val="00847A28"/>
  </w:style>
  <w:style w:type="paragraph" w:customStyle="1" w:styleId="rvps15">
    <w:name w:val="rvps15"/>
    <w:basedOn w:val="a"/>
    <w:rsid w:val="00847A28"/>
    <w:pPr>
      <w:spacing w:before="100" w:beforeAutospacing="1" w:after="100" w:afterAutospacing="1"/>
    </w:pPr>
    <w:rPr>
      <w:lang w:val="uk-UA" w:eastAsia="uk-UA"/>
    </w:rPr>
  </w:style>
  <w:style w:type="character" w:customStyle="1" w:styleId="fontstyle01">
    <w:name w:val="fontstyle01"/>
    <w:basedOn w:val="a0"/>
    <w:rsid w:val="00171C12"/>
    <w:rPr>
      <w:rFonts w:ascii="TimesNewRomanPS-BoldMT" w:hAnsi="TimesNewRomanPS-BoldMT" w:hint="default"/>
      <w:b/>
      <w:bCs/>
      <w:i w:val="0"/>
      <w:iCs w:val="0"/>
      <w:color w:val="000000"/>
      <w:sz w:val="28"/>
      <w:szCs w:val="28"/>
    </w:rPr>
  </w:style>
  <w:style w:type="paragraph" w:styleId="a5">
    <w:name w:val="header"/>
    <w:basedOn w:val="a"/>
    <w:link w:val="a6"/>
    <w:uiPriority w:val="99"/>
    <w:unhideWhenUsed/>
    <w:rsid w:val="00F24F25"/>
    <w:pPr>
      <w:tabs>
        <w:tab w:val="center" w:pos="4677"/>
        <w:tab w:val="right" w:pos="9355"/>
      </w:tabs>
    </w:pPr>
  </w:style>
  <w:style w:type="character" w:customStyle="1" w:styleId="a6">
    <w:name w:val="Верхній колонтитул Знак"/>
    <w:basedOn w:val="a0"/>
    <w:link w:val="a5"/>
    <w:uiPriority w:val="99"/>
    <w:rsid w:val="00F24F25"/>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4F25"/>
    <w:pPr>
      <w:tabs>
        <w:tab w:val="center" w:pos="4677"/>
        <w:tab w:val="right" w:pos="9355"/>
      </w:tabs>
    </w:pPr>
  </w:style>
  <w:style w:type="character" w:customStyle="1" w:styleId="a8">
    <w:name w:val="Нижній колонтитул Знак"/>
    <w:basedOn w:val="a0"/>
    <w:link w:val="a7"/>
    <w:uiPriority w:val="99"/>
    <w:rsid w:val="00F24F25"/>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022AA5"/>
    <w:rPr>
      <w:rFonts w:ascii="Times New Roman" w:eastAsiaTheme="majorEastAsia" w:hAnsi="Times New Roman" w:cstheme="majorBidi"/>
      <w:b/>
      <w:bCs/>
      <w:color w:val="000000" w:themeColor="text1"/>
      <w:sz w:val="28"/>
      <w:szCs w:val="28"/>
      <w:lang w:val="en-US"/>
    </w:rPr>
  </w:style>
  <w:style w:type="character" w:customStyle="1" w:styleId="30">
    <w:name w:val="Заголовок 3 Знак"/>
    <w:basedOn w:val="a0"/>
    <w:link w:val="3"/>
    <w:rsid w:val="00022AA5"/>
    <w:rPr>
      <w:rFonts w:ascii="Times New Roman" w:eastAsia="Times New Roman" w:hAnsi="Times New Roman" w:cs="Times New Roman"/>
      <w:b/>
      <w:bCs/>
      <w:sz w:val="27"/>
      <w:szCs w:val="27"/>
      <w:lang w:val="uk-UA" w:eastAsia="uk-UA"/>
    </w:rPr>
  </w:style>
  <w:style w:type="character" w:customStyle="1" w:styleId="rvts0">
    <w:name w:val="rvts0"/>
    <w:rsid w:val="00022AA5"/>
    <w:rPr>
      <w:rFonts w:cs="Times New Roman"/>
    </w:rPr>
  </w:style>
  <w:style w:type="paragraph" w:styleId="a9">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a"/>
    <w:uiPriority w:val="99"/>
    <w:rsid w:val="00C8629F"/>
    <w:pPr>
      <w:spacing w:before="100" w:beforeAutospacing="1" w:after="100" w:afterAutospacing="1"/>
    </w:pPr>
    <w:rPr>
      <w:sz w:val="20"/>
      <w:szCs w:val="20"/>
    </w:rPr>
  </w:style>
  <w:style w:type="character" w:customStyle="1" w:styleId="aa">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basedOn w:val="a0"/>
    <w:link w:val="a9"/>
    <w:rsid w:val="00C8629F"/>
    <w:rPr>
      <w:rFonts w:ascii="Times New Roman" w:eastAsia="Times New Roman" w:hAnsi="Times New Roman" w:cs="Times New Roman"/>
      <w:sz w:val="20"/>
      <w:szCs w:val="20"/>
      <w:lang w:eastAsia="ru-RU"/>
    </w:rPr>
  </w:style>
  <w:style w:type="paragraph" w:styleId="ab">
    <w:name w:val="Balloon Text"/>
    <w:basedOn w:val="a"/>
    <w:link w:val="ac"/>
    <w:uiPriority w:val="99"/>
    <w:semiHidden/>
    <w:unhideWhenUsed/>
    <w:rsid w:val="00EB2E5A"/>
    <w:rPr>
      <w:rFonts w:ascii="Segoe UI" w:hAnsi="Segoe UI" w:cs="Segoe UI"/>
      <w:sz w:val="18"/>
      <w:szCs w:val="18"/>
    </w:rPr>
  </w:style>
  <w:style w:type="character" w:customStyle="1" w:styleId="ac">
    <w:name w:val="Текст у виносці Знак"/>
    <w:basedOn w:val="a0"/>
    <w:link w:val="ab"/>
    <w:uiPriority w:val="99"/>
    <w:semiHidden/>
    <w:rsid w:val="00EB2E5A"/>
    <w:rPr>
      <w:rFonts w:ascii="Segoe UI" w:eastAsia="Times New Roman" w:hAnsi="Segoe UI" w:cs="Segoe UI"/>
      <w:sz w:val="18"/>
      <w:szCs w:val="18"/>
      <w:lang w:eastAsia="ru-RU"/>
    </w:rPr>
  </w:style>
  <w:style w:type="paragraph" w:customStyle="1" w:styleId="11">
    <w:name w:val="Абзац списку1"/>
    <w:basedOn w:val="a"/>
    <w:rsid w:val="00044059"/>
    <w:pPr>
      <w:ind w:left="720"/>
      <w:contextualSpacing/>
    </w:pPr>
    <w:rPr>
      <w:rFonts w:ascii="Calibri" w:hAnsi="Calibri"/>
      <w:sz w:val="22"/>
      <w:szCs w:val="22"/>
      <w:lang w:val="uk-UA" w:eastAsia="en-US"/>
    </w:rPr>
  </w:style>
  <w:style w:type="character" w:customStyle="1" w:styleId="rvts40">
    <w:name w:val="rvts40"/>
    <w:qFormat/>
    <w:rsid w:val="003B0C93"/>
  </w:style>
  <w:style w:type="paragraph" w:customStyle="1" w:styleId="rvps12">
    <w:name w:val="rvps12"/>
    <w:basedOn w:val="a"/>
    <w:qFormat/>
    <w:rsid w:val="003B0C93"/>
    <w:pPr>
      <w:spacing w:before="100" w:after="100"/>
    </w:pPr>
    <w:rPr>
      <w:lang w:val="uk-UA" w:eastAsia="uk-UA"/>
    </w:rPr>
  </w:style>
  <w:style w:type="table" w:styleId="ad">
    <w:name w:val="Table Grid"/>
    <w:basedOn w:val="a1"/>
    <w:uiPriority w:val="39"/>
    <w:rsid w:val="009678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806400"/>
    <w:rPr>
      <w:rFonts w:asciiTheme="majorHAnsi" w:eastAsiaTheme="majorEastAsia" w:hAnsiTheme="majorHAnsi" w:cstheme="majorBidi"/>
      <w:color w:val="365F91" w:themeColor="accent1" w:themeShade="BF"/>
      <w:sz w:val="26"/>
      <w:szCs w:val="26"/>
      <w:lang w:eastAsia="ru-RU"/>
    </w:rPr>
  </w:style>
  <w:style w:type="character" w:customStyle="1" w:styleId="rvps2Char">
    <w:name w:val="rvps2 Char"/>
    <w:basedOn w:val="a0"/>
    <w:link w:val="rvps2"/>
    <w:rsid w:val="00806400"/>
    <w:rPr>
      <w:rFonts w:ascii="Times New Roman" w:eastAsia="Times New Roman" w:hAnsi="Times New Roman" w:cs="Times New Roman"/>
      <w:sz w:val="24"/>
      <w:szCs w:val="24"/>
      <w:lang w:val="uk-UA" w:eastAsia="uk-UA"/>
    </w:rPr>
  </w:style>
  <w:style w:type="character" w:styleId="ae">
    <w:name w:val="annotation reference"/>
    <w:basedOn w:val="a0"/>
    <w:uiPriority w:val="99"/>
    <w:semiHidden/>
    <w:unhideWhenUsed/>
    <w:rsid w:val="00A769D5"/>
    <w:rPr>
      <w:sz w:val="16"/>
      <w:szCs w:val="16"/>
    </w:rPr>
  </w:style>
  <w:style w:type="paragraph" w:styleId="af">
    <w:name w:val="annotation text"/>
    <w:basedOn w:val="a"/>
    <w:link w:val="af0"/>
    <w:uiPriority w:val="99"/>
    <w:unhideWhenUsed/>
    <w:rsid w:val="00A769D5"/>
    <w:rPr>
      <w:sz w:val="20"/>
      <w:szCs w:val="20"/>
    </w:rPr>
  </w:style>
  <w:style w:type="character" w:customStyle="1" w:styleId="af0">
    <w:name w:val="Текст примітки Знак"/>
    <w:basedOn w:val="a0"/>
    <w:link w:val="af"/>
    <w:uiPriority w:val="99"/>
    <w:rsid w:val="00A769D5"/>
    <w:rPr>
      <w:rFonts w:ascii="Times New Roman" w:eastAsia="Times New Roman" w:hAnsi="Times New Roman" w:cs="Times New Roman"/>
      <w:sz w:val="20"/>
      <w:szCs w:val="20"/>
      <w:lang w:eastAsia="ru-RU"/>
    </w:rPr>
  </w:style>
  <w:style w:type="paragraph" w:styleId="af1">
    <w:name w:val="annotation subject"/>
    <w:basedOn w:val="af"/>
    <w:next w:val="af"/>
    <w:link w:val="af2"/>
    <w:uiPriority w:val="99"/>
    <w:semiHidden/>
    <w:unhideWhenUsed/>
    <w:rsid w:val="00A769D5"/>
    <w:rPr>
      <w:b/>
      <w:bCs/>
    </w:rPr>
  </w:style>
  <w:style w:type="character" w:customStyle="1" w:styleId="af2">
    <w:name w:val="Тема примітки Знак"/>
    <w:basedOn w:val="af0"/>
    <w:link w:val="af1"/>
    <w:uiPriority w:val="99"/>
    <w:semiHidden/>
    <w:rsid w:val="00A769D5"/>
    <w:rPr>
      <w:rFonts w:ascii="Times New Roman" w:eastAsia="Times New Roman" w:hAnsi="Times New Roman" w:cs="Times New Roman"/>
      <w:b/>
      <w:bCs/>
      <w:sz w:val="20"/>
      <w:szCs w:val="20"/>
      <w:lang w:eastAsia="ru-RU"/>
    </w:rPr>
  </w:style>
  <w:style w:type="paragraph" w:styleId="af3">
    <w:name w:val="Revision"/>
    <w:hidden/>
    <w:uiPriority w:val="99"/>
    <w:semiHidden/>
    <w:rsid w:val="001A4B15"/>
    <w:pPr>
      <w:spacing w:after="0" w:line="240" w:lineRule="auto"/>
    </w:pPr>
    <w:rPr>
      <w:rFonts w:ascii="Times New Roman" w:eastAsia="Times New Roman" w:hAnsi="Times New Roman" w:cs="Times New Roman"/>
      <w:sz w:val="24"/>
      <w:szCs w:val="24"/>
      <w:lang w:eastAsia="ru-RU"/>
    </w:rPr>
  </w:style>
  <w:style w:type="table" w:customStyle="1" w:styleId="12">
    <w:name w:val="Сітка таблиці1"/>
    <w:basedOn w:val="a1"/>
    <w:next w:val="ad"/>
    <w:rsid w:val="005F2398"/>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8809263">
      <w:bodyDiv w:val="1"/>
      <w:marLeft w:val="0"/>
      <w:marRight w:val="0"/>
      <w:marTop w:val="0"/>
      <w:marBottom w:val="0"/>
      <w:divBdr>
        <w:top w:val="none" w:sz="0" w:space="0" w:color="auto"/>
        <w:left w:val="none" w:sz="0" w:space="0" w:color="auto"/>
        <w:bottom w:val="none" w:sz="0" w:space="0" w:color="auto"/>
        <w:right w:val="none" w:sz="0" w:space="0" w:color="auto"/>
      </w:divBdr>
    </w:div>
    <w:div w:id="1131631685">
      <w:bodyDiv w:val="1"/>
      <w:marLeft w:val="0"/>
      <w:marRight w:val="0"/>
      <w:marTop w:val="0"/>
      <w:marBottom w:val="0"/>
      <w:divBdr>
        <w:top w:val="none" w:sz="0" w:space="0" w:color="auto"/>
        <w:left w:val="none" w:sz="0" w:space="0" w:color="auto"/>
        <w:bottom w:val="none" w:sz="0" w:space="0" w:color="auto"/>
        <w:right w:val="none" w:sz="0" w:space="0" w:color="auto"/>
      </w:divBdr>
      <w:divsChild>
        <w:div w:id="206836599">
          <w:marLeft w:val="0"/>
          <w:marRight w:val="0"/>
          <w:marTop w:val="0"/>
          <w:marBottom w:val="150"/>
          <w:divBdr>
            <w:top w:val="none" w:sz="0" w:space="0" w:color="auto"/>
            <w:left w:val="none" w:sz="0" w:space="0" w:color="auto"/>
            <w:bottom w:val="none" w:sz="0" w:space="0" w:color="auto"/>
            <w:right w:val="none" w:sz="0" w:space="0" w:color="auto"/>
          </w:divBdr>
        </w:div>
        <w:div w:id="2123383054">
          <w:marLeft w:val="0"/>
          <w:marRight w:val="0"/>
          <w:marTop w:val="150"/>
          <w:marBottom w:val="150"/>
          <w:divBdr>
            <w:top w:val="none" w:sz="0" w:space="0" w:color="auto"/>
            <w:left w:val="none" w:sz="0" w:space="0" w:color="auto"/>
            <w:bottom w:val="none" w:sz="0" w:space="0" w:color="auto"/>
            <w:right w:val="none" w:sz="0" w:space="0" w:color="auto"/>
          </w:divBdr>
        </w:div>
      </w:divsChild>
    </w:div>
    <w:div w:id="2004817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A23799-965C-43D6-B485-C3CBF7A7A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2829</Words>
  <Characters>1613</Characters>
  <Application>Microsoft Office Word</Application>
  <DocSecurity>0</DocSecurity>
  <Lines>13</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milova</dc:creator>
  <cp:keywords/>
  <dc:description/>
  <cp:lastModifiedBy>Григорій Туленко</cp:lastModifiedBy>
  <cp:revision>15</cp:revision>
  <cp:lastPrinted>2022-02-11T13:00:00Z</cp:lastPrinted>
  <dcterms:created xsi:type="dcterms:W3CDTF">2024-12-10T16:46:00Z</dcterms:created>
  <dcterms:modified xsi:type="dcterms:W3CDTF">2024-12-19T08:10:00Z</dcterms:modified>
</cp:coreProperties>
</file>