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18824" w14:textId="6BF1033D" w:rsidR="00757E64" w:rsidRPr="00757E64" w:rsidRDefault="00757E64" w:rsidP="001E0F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Look w:val="00A0" w:firstRow="1" w:lastRow="0" w:firstColumn="1" w:lastColumn="0" w:noHBand="0" w:noVBand="0"/>
      </w:tblPr>
      <w:tblGrid>
        <w:gridCol w:w="7230"/>
        <w:gridCol w:w="2410"/>
      </w:tblGrid>
      <w:tr w:rsidR="00757E64" w:rsidRPr="00757E64" w14:paraId="226C50AC" w14:textId="77777777" w:rsidTr="003128EC">
        <w:trPr>
          <w:trHeight w:val="1153"/>
        </w:trPr>
        <w:tc>
          <w:tcPr>
            <w:tcW w:w="7230" w:type="dxa"/>
          </w:tcPr>
          <w:p w14:paraId="0907D674" w14:textId="334DE77F" w:rsidR="00757E64" w:rsidRPr="00757E64" w:rsidRDefault="00757E64" w:rsidP="00CA3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CBAC409" w14:textId="77777777" w:rsidR="00757E64" w:rsidRPr="00757E64" w:rsidRDefault="00757E64" w:rsidP="00757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64">
              <w:rPr>
                <w:rFonts w:ascii="Times New Roman" w:hAnsi="Times New Roman" w:cs="Times New Roman"/>
                <w:sz w:val="28"/>
                <w:szCs w:val="28"/>
              </w:rPr>
              <w:t>Голові НКРЕКП</w:t>
            </w:r>
          </w:p>
          <w:p w14:paraId="73FF40F8" w14:textId="77777777" w:rsidR="00757E64" w:rsidRPr="00757E64" w:rsidRDefault="00757E64" w:rsidP="00757E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7E64">
              <w:rPr>
                <w:rFonts w:ascii="Times New Roman" w:hAnsi="Times New Roman" w:cs="Times New Roman"/>
                <w:sz w:val="28"/>
                <w:szCs w:val="28"/>
              </w:rPr>
              <w:t>Членам НКРЕКП</w:t>
            </w:r>
          </w:p>
        </w:tc>
      </w:tr>
    </w:tbl>
    <w:p w14:paraId="35D5D421" w14:textId="77777777" w:rsidR="00273D37" w:rsidRPr="00273D37" w:rsidRDefault="00273D37" w:rsidP="00F333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Обґрунтування</w:t>
      </w:r>
    </w:p>
    <w:p w14:paraId="48BFF38D" w14:textId="5A26ABE3" w:rsidR="002E5CE7" w:rsidRDefault="00273D37" w:rsidP="00F333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щодо схвалення проєкту рішення, що має ознаки регуляторного акта, – постанови Національної комісії, що здійснює державне регулювання у сферах енергетики та комунальних послуг «Про </w:t>
      </w:r>
      <w:r w:rsidR="00E042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затвердження</w:t>
      </w:r>
      <w:r w:rsidRPr="00273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273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мін до постанов НКРЕКП від 28 лютого 2019 року № 282 </w:t>
      </w:r>
      <w:r w:rsidR="00F33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273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від 29 березня 2019 року № 450»</w:t>
      </w:r>
    </w:p>
    <w:p w14:paraId="3652AB3E" w14:textId="77777777" w:rsidR="00273D37" w:rsidRDefault="00273D37" w:rsidP="00273D37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378475" w14:textId="2BEA5A4F" w:rsidR="008D02C6" w:rsidRPr="008D02C6" w:rsidRDefault="008D02C6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2C6">
        <w:rPr>
          <w:rFonts w:ascii="Times New Roman" w:hAnsi="Times New Roman" w:cs="Times New Roman"/>
          <w:color w:val="000000" w:themeColor="text1"/>
          <w:sz w:val="28"/>
          <w:szCs w:val="28"/>
        </w:rPr>
        <w:t>Статтею 17 Закону України «Про Національну комісію, що здійснює державне регулювання у сферах енергетики та комунальних послуг» та статтею 6 Закону України «Про ринок електричної енергії» передбачено, що до повноважень Національної комісії, що здійснює державне регулювання у сферах енергетики та комунальних послуг (далі – НКРЕКП), зокрема належить здійснення моніторингу ринку електричної енергії та затвердження форм звітності для суб'єктів господарювання, що провадять діяльність на ринку електричної енергії.</w:t>
      </w:r>
    </w:p>
    <w:p w14:paraId="14710C51" w14:textId="6B93066C" w:rsidR="008D02C6" w:rsidRPr="00616523" w:rsidRDefault="008D02C6" w:rsidP="00695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523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616523" w:rsidRPr="00616523">
        <w:rPr>
          <w:rFonts w:ascii="Times New Roman" w:hAnsi="Times New Roman" w:cs="Times New Roman"/>
          <w:sz w:val="28"/>
          <w:szCs w:val="28"/>
        </w:rPr>
        <w:t>оптимізації</w:t>
      </w:r>
      <w:r w:rsidRPr="00616523">
        <w:rPr>
          <w:rFonts w:ascii="Times New Roman" w:hAnsi="Times New Roman" w:cs="Times New Roman"/>
          <w:sz w:val="28"/>
          <w:szCs w:val="28"/>
        </w:rPr>
        <w:t xml:space="preserve"> </w:t>
      </w:r>
      <w:r w:rsidR="001E0F54">
        <w:rPr>
          <w:rFonts w:ascii="Times New Roman" w:hAnsi="Times New Roman" w:cs="Times New Roman"/>
          <w:sz w:val="28"/>
          <w:szCs w:val="28"/>
        </w:rPr>
        <w:t xml:space="preserve">та удосконалення </w:t>
      </w:r>
      <w:r w:rsidRPr="00616523">
        <w:rPr>
          <w:rFonts w:ascii="Times New Roman" w:hAnsi="Times New Roman" w:cs="Times New Roman"/>
          <w:sz w:val="28"/>
          <w:szCs w:val="28"/>
        </w:rPr>
        <w:t xml:space="preserve">діючих форм звітності учасників ринку електричної енергії, затверджених постановами НКРЕКП від 28.02.2019 </w:t>
      </w:r>
      <w:r w:rsidR="001E0F5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16523">
        <w:rPr>
          <w:rFonts w:ascii="Times New Roman" w:hAnsi="Times New Roman" w:cs="Times New Roman"/>
          <w:sz w:val="28"/>
          <w:szCs w:val="28"/>
        </w:rPr>
        <w:t xml:space="preserve">№ 282 «Про затвердження форм звітності НКРЕКП для учасників ринку електричної енергії та інструкцій щодо їх заповнення» (далі – Постанова № 282) та від 29.03.2019 № 450 «Про затвердження форм звітності з моніторингу для учасників ринку електричної енергії та інструкцій щодо їх заповнення» </w:t>
      </w:r>
      <w:r w:rsidR="00F333FB">
        <w:rPr>
          <w:rFonts w:ascii="Times New Roman" w:hAnsi="Times New Roman" w:cs="Times New Roman"/>
          <w:sz w:val="28"/>
          <w:szCs w:val="28"/>
        </w:rPr>
        <w:br/>
      </w:r>
      <w:r w:rsidRPr="00616523">
        <w:rPr>
          <w:rFonts w:ascii="Times New Roman" w:hAnsi="Times New Roman" w:cs="Times New Roman"/>
          <w:sz w:val="28"/>
          <w:szCs w:val="28"/>
        </w:rPr>
        <w:t>(далі – Постанова № 450), Департаментом розслідувань зловживань на оптових енергетичних ринках та моніторингу звітності підготовлено проєкт постанови НКРЕКП «</w:t>
      </w:r>
      <w:r w:rsidR="00273D37" w:rsidRPr="00616523">
        <w:rPr>
          <w:rFonts w:ascii="Times New Roman" w:hAnsi="Times New Roman" w:cs="Times New Roman"/>
          <w:sz w:val="28"/>
          <w:szCs w:val="28"/>
        </w:rPr>
        <w:t xml:space="preserve">Про внесення змін до постанов НКРЕКП від 28 лютого 2019 року </w:t>
      </w:r>
      <w:r w:rsidR="001E0F5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73D37" w:rsidRPr="00616523">
        <w:rPr>
          <w:rFonts w:ascii="Times New Roman" w:hAnsi="Times New Roman" w:cs="Times New Roman"/>
          <w:sz w:val="28"/>
          <w:szCs w:val="28"/>
        </w:rPr>
        <w:t>№ 282 та від 29 березня 2019 року № 450</w:t>
      </w:r>
      <w:r w:rsidRPr="00616523">
        <w:rPr>
          <w:rFonts w:ascii="Times New Roman" w:hAnsi="Times New Roman" w:cs="Times New Roman"/>
          <w:sz w:val="28"/>
          <w:szCs w:val="28"/>
        </w:rPr>
        <w:t>» (далі – проєкт Постанови).</w:t>
      </w:r>
    </w:p>
    <w:p w14:paraId="09DFFFFA" w14:textId="3AB904DE" w:rsidR="00695E80" w:rsidRDefault="004612E3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Проєктом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Постанови</w:t>
      </w:r>
      <w:r w:rsidR="00695E8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зокрема</w:t>
      </w:r>
      <w:r w:rsidR="00695E8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5157E57" w14:textId="23496CEF" w:rsidR="008D02C6" w:rsidRDefault="00695E80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зменшується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навантаження на виробників електричної енергії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скорочення кількості форм звітності, які ними подаватимуться</w:t>
      </w:r>
      <w:r w:rsidR="00FB40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відповідно до Постанови № 450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8F71A4D" w14:textId="0FDE99FD" w:rsidR="00695E80" w:rsidRDefault="00695E80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удосконалюються форми звітності оп</w:t>
      </w:r>
      <w:r w:rsidR="00FB40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ератора системи передачі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FB4063">
        <w:rPr>
          <w:rFonts w:ascii="Times New Roman" w:hAnsi="Times New Roman" w:cs="Times New Roman"/>
          <w:color w:val="000000" w:themeColor="text1"/>
          <w:sz w:val="28"/>
          <w:szCs w:val="28"/>
        </w:rPr>
        <w:t>інструкції щодо їх заповнення;</w:t>
      </w:r>
    </w:p>
    <w:p w14:paraId="5E11BE9D" w14:textId="21D93A2D" w:rsidR="00FB4063" w:rsidRPr="00FB4063" w:rsidRDefault="00FB4063" w:rsidP="00FB406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0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викладаються у новій редакції форми звітності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гарантованого покупця</w:t>
      </w:r>
      <w:r w:rsidRPr="00FB40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 інструкції щодо їх заповнення</w:t>
      </w:r>
      <w:r w:rsidRPr="00FB40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4063">
        <w:rPr>
          <w:rFonts w:ascii="Times New Roman" w:hAnsi="Times New Roman" w:cs="Times New Roman"/>
          <w:color w:val="000000" w:themeColor="text1"/>
          <w:sz w:val="28"/>
          <w:szCs w:val="28"/>
        </w:rPr>
        <w:t>(приведення діючих форм звітності у відповідність до змін у положеннях законодавства у сфері електроенергетики).</w:t>
      </w:r>
    </w:p>
    <w:p w14:paraId="34A35931" w14:textId="23383E71" w:rsidR="00F412A3" w:rsidRDefault="008D02C6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AA0">
        <w:rPr>
          <w:rFonts w:ascii="Times New Roman" w:hAnsi="Times New Roman" w:cs="Times New Roman"/>
          <w:color w:val="000000" w:themeColor="text1"/>
          <w:sz w:val="28"/>
          <w:szCs w:val="28"/>
        </w:rPr>
        <w:t>3 огляду на зазначене, Департамент розслідувань зловживань на оптових енергетичних ринках та моніторингу</w:t>
      </w:r>
      <w:r w:rsidRPr="008D0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звітності </w:t>
      </w:r>
      <w:r w:rsidR="00273D37" w:rsidRPr="00273D37">
        <w:rPr>
          <w:rFonts w:ascii="Times New Roman" w:hAnsi="Times New Roman" w:cs="Times New Roman"/>
          <w:color w:val="000000" w:themeColor="text1"/>
          <w:sz w:val="28"/>
          <w:szCs w:val="28"/>
        </w:rPr>
        <w:t>пропонує схвалити проєкт постанови «</w:t>
      </w:r>
      <w:r w:rsidR="00273D37" w:rsidRPr="005E6A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="00F333FB" w:rsidRPr="005E6AA0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r w:rsidR="00273D37" w:rsidRPr="005E6A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 до постанов НКРЕКП від 28 лютого </w:t>
      </w:r>
      <w:r w:rsidR="00F333FB" w:rsidRPr="005E6AA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73D37" w:rsidRPr="005E6AA0">
        <w:rPr>
          <w:rFonts w:ascii="Times New Roman" w:hAnsi="Times New Roman" w:cs="Times New Roman"/>
          <w:color w:val="000000" w:themeColor="text1"/>
          <w:sz w:val="28"/>
          <w:szCs w:val="28"/>
        </w:rPr>
        <w:t>2019 року № 282 та від 29 березня 2019 року № 450»,</w:t>
      </w:r>
      <w:r w:rsidR="00273D37" w:rsidRPr="00273D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 має ознаки регуляторного акта та розмістити його на офіційному вебсайті HKPEKП </w:t>
      </w:r>
      <w:r w:rsidR="00273D37" w:rsidRPr="00273D3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www.nerc.дov.ua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14:paraId="15FD5383" w14:textId="7C6DC74F" w:rsidR="00284BA6" w:rsidRDefault="00284BA6" w:rsidP="00695E8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84225B" w14:textId="77777777" w:rsidR="00F333FB" w:rsidRPr="00757E64" w:rsidRDefault="00F333FB" w:rsidP="002E5CE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CB3201" w14:textId="77777777" w:rsidR="00A155BC" w:rsidRPr="00A155BC" w:rsidRDefault="00A155BC" w:rsidP="00A155B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Департаменту розслідувань </w:t>
      </w:r>
    </w:p>
    <w:p w14:paraId="014A03C5" w14:textId="77777777" w:rsidR="00A155BC" w:rsidRPr="00A155BC" w:rsidRDefault="00A155BC" w:rsidP="00A155B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зловживань на оптових енергетичних </w:t>
      </w:r>
    </w:p>
    <w:p w14:paraId="5D347F89" w14:textId="55A6D351" w:rsidR="00E04223" w:rsidRPr="00A155BC" w:rsidRDefault="00A155BC" w:rsidP="00A155B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5BC">
        <w:rPr>
          <w:rFonts w:ascii="Times New Roman" w:hAnsi="Times New Roman" w:cs="Times New Roman"/>
          <w:color w:val="000000" w:themeColor="text1"/>
          <w:sz w:val="28"/>
          <w:szCs w:val="28"/>
        </w:rPr>
        <w:t>ринках та моніторингу звітності</w:t>
      </w:r>
      <w:r w:rsidRPr="00A155B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155B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155B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</w:t>
      </w:r>
      <w:r w:rsidR="001E0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A15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Тетяна МІЩЕНЕНКО</w:t>
      </w:r>
    </w:p>
    <w:p w14:paraId="6A880219" w14:textId="77777777" w:rsidR="00A155BC" w:rsidRDefault="00A155BC" w:rsidP="00E04223">
      <w:pPr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F82B93" w14:textId="77777777" w:rsidR="00E04223" w:rsidRPr="00757E64" w:rsidRDefault="00E04223">
      <w:pPr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sectPr w:rsidR="00E04223" w:rsidRPr="00757E64" w:rsidSect="001E0F54">
      <w:pgSz w:w="11906" w:h="16838"/>
      <w:pgMar w:top="851" w:right="707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02024"/>
    <w:multiLevelType w:val="hybridMultilevel"/>
    <w:tmpl w:val="72C44474"/>
    <w:lvl w:ilvl="0" w:tplc="361A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95F57"/>
    <w:multiLevelType w:val="hybridMultilevel"/>
    <w:tmpl w:val="2362C436"/>
    <w:lvl w:ilvl="0" w:tplc="03449CD6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B911DA"/>
    <w:multiLevelType w:val="hybridMultilevel"/>
    <w:tmpl w:val="F8A447C4"/>
    <w:lvl w:ilvl="0" w:tplc="2F067F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CE7"/>
    <w:rsid w:val="00011C98"/>
    <w:rsid w:val="00012E17"/>
    <w:rsid w:val="00030E56"/>
    <w:rsid w:val="000A7EA6"/>
    <w:rsid w:val="000B3C23"/>
    <w:rsid w:val="000D7C5F"/>
    <w:rsid w:val="000E31F7"/>
    <w:rsid w:val="000E6A40"/>
    <w:rsid w:val="00161768"/>
    <w:rsid w:val="001E0F54"/>
    <w:rsid w:val="00214FDA"/>
    <w:rsid w:val="0024483C"/>
    <w:rsid w:val="00273D37"/>
    <w:rsid w:val="002767BB"/>
    <w:rsid w:val="00284BA6"/>
    <w:rsid w:val="002C6E88"/>
    <w:rsid w:val="002D33C0"/>
    <w:rsid w:val="002E1498"/>
    <w:rsid w:val="002E40DE"/>
    <w:rsid w:val="002E5CE7"/>
    <w:rsid w:val="0032284B"/>
    <w:rsid w:val="00346DBC"/>
    <w:rsid w:val="003A5A79"/>
    <w:rsid w:val="00402FFA"/>
    <w:rsid w:val="004269E7"/>
    <w:rsid w:val="00432E10"/>
    <w:rsid w:val="00452AD8"/>
    <w:rsid w:val="00461101"/>
    <w:rsid w:val="004612E3"/>
    <w:rsid w:val="004A45E8"/>
    <w:rsid w:val="004F0BDE"/>
    <w:rsid w:val="00512B18"/>
    <w:rsid w:val="00517734"/>
    <w:rsid w:val="00534D11"/>
    <w:rsid w:val="00561E68"/>
    <w:rsid w:val="005E36CE"/>
    <w:rsid w:val="005E54B9"/>
    <w:rsid w:val="005E6AA0"/>
    <w:rsid w:val="006027B6"/>
    <w:rsid w:val="00616523"/>
    <w:rsid w:val="0063523E"/>
    <w:rsid w:val="00693168"/>
    <w:rsid w:val="00695E80"/>
    <w:rsid w:val="006B0D30"/>
    <w:rsid w:val="006B6F44"/>
    <w:rsid w:val="006C6654"/>
    <w:rsid w:val="00720FE9"/>
    <w:rsid w:val="00757E64"/>
    <w:rsid w:val="007807FA"/>
    <w:rsid w:val="00782C7A"/>
    <w:rsid w:val="00823108"/>
    <w:rsid w:val="00895794"/>
    <w:rsid w:val="008D02C6"/>
    <w:rsid w:val="008E6B46"/>
    <w:rsid w:val="0091509F"/>
    <w:rsid w:val="00972D56"/>
    <w:rsid w:val="009B617C"/>
    <w:rsid w:val="009C514E"/>
    <w:rsid w:val="009F7AA3"/>
    <w:rsid w:val="00A04059"/>
    <w:rsid w:val="00A063FC"/>
    <w:rsid w:val="00A155BC"/>
    <w:rsid w:val="00A81242"/>
    <w:rsid w:val="00AF675B"/>
    <w:rsid w:val="00B12AE5"/>
    <w:rsid w:val="00B57A6F"/>
    <w:rsid w:val="00B853E2"/>
    <w:rsid w:val="00BA684C"/>
    <w:rsid w:val="00BB5592"/>
    <w:rsid w:val="00BC6510"/>
    <w:rsid w:val="00C060D5"/>
    <w:rsid w:val="00C12636"/>
    <w:rsid w:val="00C50667"/>
    <w:rsid w:val="00C80967"/>
    <w:rsid w:val="00C82036"/>
    <w:rsid w:val="00CA33AC"/>
    <w:rsid w:val="00CE57C9"/>
    <w:rsid w:val="00D05151"/>
    <w:rsid w:val="00D15A0F"/>
    <w:rsid w:val="00D23B73"/>
    <w:rsid w:val="00D76224"/>
    <w:rsid w:val="00D762C3"/>
    <w:rsid w:val="00D86D30"/>
    <w:rsid w:val="00D95CA9"/>
    <w:rsid w:val="00DA2363"/>
    <w:rsid w:val="00DB4156"/>
    <w:rsid w:val="00DC3136"/>
    <w:rsid w:val="00DE74C0"/>
    <w:rsid w:val="00E04223"/>
    <w:rsid w:val="00E641AF"/>
    <w:rsid w:val="00E9536D"/>
    <w:rsid w:val="00EC64BF"/>
    <w:rsid w:val="00EC6D64"/>
    <w:rsid w:val="00F333FB"/>
    <w:rsid w:val="00F412A3"/>
    <w:rsid w:val="00F95936"/>
    <w:rsid w:val="00F95B4F"/>
    <w:rsid w:val="00FB4063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BF63E"/>
  <w15:docId w15:val="{1F45F1A2-6A35-4F11-8B34-69252791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F7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a4">
    <w:name w:val="Revision"/>
    <w:hidden/>
    <w:uiPriority w:val="99"/>
    <w:semiHidden/>
    <w:rsid w:val="000A7EA6"/>
  </w:style>
  <w:style w:type="paragraph" w:styleId="a5">
    <w:name w:val="Balloon Text"/>
    <w:basedOn w:val="a"/>
    <w:link w:val="a6"/>
    <w:uiPriority w:val="99"/>
    <w:semiHidden/>
    <w:unhideWhenUsed/>
    <w:rsid w:val="00CA33A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A33AC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155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E4B5F-1BF1-4C65-A601-BCA90819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1740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Nataliia Plakyda</cp:lastModifiedBy>
  <cp:revision>2</cp:revision>
  <cp:lastPrinted>2023-08-16T08:50:00Z</cp:lastPrinted>
  <dcterms:created xsi:type="dcterms:W3CDTF">2024-11-01T06:27:00Z</dcterms:created>
  <dcterms:modified xsi:type="dcterms:W3CDTF">2024-11-01T06:27:00Z</dcterms:modified>
</cp:coreProperties>
</file>