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EAE2B" w14:textId="27ABD0DF" w:rsidR="00CE038D" w:rsidRPr="00EB2E2B" w:rsidRDefault="0050027B" w:rsidP="00EB2E2B">
      <w:pPr>
        <w:tabs>
          <w:tab w:val="left" w:pos="7693"/>
        </w:tabs>
        <w:suppressAutoHyphens/>
        <w:ind w:left="5103"/>
        <w:rPr>
          <w:szCs w:val="22"/>
          <w:lang w:val="ru-RU"/>
        </w:rPr>
      </w:pPr>
      <w:bookmarkStart w:id="0" w:name="_GoBack"/>
      <w:bookmarkEnd w:id="0"/>
      <w:r w:rsidRPr="00EB2E2B">
        <w:rPr>
          <w:szCs w:val="22"/>
        </w:rPr>
        <w:t xml:space="preserve">Додаток </w:t>
      </w:r>
      <w:r w:rsidRPr="00EB2E2B">
        <w:rPr>
          <w:szCs w:val="22"/>
          <w:lang w:val="ru-RU"/>
        </w:rPr>
        <w:t>2</w:t>
      </w:r>
      <w:r w:rsidR="00CE038D" w:rsidRPr="00EB2E2B">
        <w:rPr>
          <w:szCs w:val="22"/>
        </w:rPr>
        <w:t xml:space="preserve"> </w:t>
      </w:r>
      <w:bookmarkStart w:id="1" w:name="_Toc353796235"/>
    </w:p>
    <w:p w14:paraId="7DBF0577" w14:textId="5E971947" w:rsidR="00CE038D" w:rsidRPr="00EB2E2B" w:rsidRDefault="00CE038D" w:rsidP="00EB2E2B">
      <w:pPr>
        <w:tabs>
          <w:tab w:val="left" w:pos="1560"/>
        </w:tabs>
        <w:suppressAutoHyphens/>
        <w:ind w:left="5103"/>
        <w:rPr>
          <w:szCs w:val="22"/>
          <w:lang w:val="ru-RU"/>
        </w:rPr>
      </w:pPr>
      <w:r w:rsidRPr="00EB2E2B">
        <w:rPr>
          <w:szCs w:val="22"/>
        </w:rPr>
        <w:t>до Порядку (правил) організації та ведення обліку за ліцензованими видами діяльності</w:t>
      </w:r>
      <w:r w:rsidR="004D0176" w:rsidRPr="00EB2E2B">
        <w:rPr>
          <w:szCs w:val="22"/>
        </w:rPr>
        <w:t xml:space="preserve"> </w:t>
      </w:r>
      <w:r w:rsidRPr="00EB2E2B">
        <w:rPr>
          <w:szCs w:val="22"/>
        </w:rPr>
        <w:t>суб'єктами господарювання у сфері теплопостачання</w:t>
      </w:r>
    </w:p>
    <w:p w14:paraId="2441913B" w14:textId="77777777" w:rsidR="00CE038D" w:rsidRPr="00594886" w:rsidRDefault="00CE038D" w:rsidP="00CE038D">
      <w:pPr>
        <w:tabs>
          <w:tab w:val="left" w:pos="7693"/>
        </w:tabs>
        <w:suppressAutoHyphens/>
        <w:spacing w:after="120"/>
        <w:rPr>
          <w:b/>
          <w:sz w:val="22"/>
          <w:szCs w:val="22"/>
        </w:rPr>
      </w:pPr>
      <w:r w:rsidRPr="00594886">
        <w:rPr>
          <w:b/>
          <w:sz w:val="22"/>
          <w:szCs w:val="22"/>
        </w:rPr>
        <w:tab/>
      </w:r>
    </w:p>
    <w:p w14:paraId="026D4699" w14:textId="77777777" w:rsidR="00CE038D" w:rsidRPr="00EB2E2B" w:rsidRDefault="00CE038D" w:rsidP="00CE038D">
      <w:pPr>
        <w:suppressAutoHyphens/>
        <w:spacing w:after="120"/>
        <w:jc w:val="center"/>
        <w:rPr>
          <w:b/>
        </w:rPr>
      </w:pPr>
      <w:r w:rsidRPr="00EB2E2B">
        <w:rPr>
          <w:b/>
        </w:rPr>
        <w:t>Примірний перелік основних засобів, прямо задіяних у транспортуванні теплової енергії</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CE038D" w:rsidRPr="007F5652" w14:paraId="119C8A64" w14:textId="77777777" w:rsidTr="007607DA">
        <w:tc>
          <w:tcPr>
            <w:tcW w:w="5000" w:type="pct"/>
            <w:shd w:val="clear" w:color="auto" w:fill="auto"/>
          </w:tcPr>
          <w:p w14:paraId="353A1DF8" w14:textId="77777777" w:rsidR="00CE038D" w:rsidRPr="00EB2E2B" w:rsidRDefault="00CE038D" w:rsidP="007607DA">
            <w:pPr>
              <w:suppressAutoHyphens/>
              <w:spacing w:after="120"/>
              <w:jc w:val="center"/>
              <w:rPr>
                <w:b/>
              </w:rPr>
            </w:pPr>
            <w:r w:rsidRPr="00EB2E2B">
              <w:rPr>
                <w:b/>
              </w:rPr>
              <w:t xml:space="preserve">Класифікаційні групи та об’єкти </w:t>
            </w:r>
          </w:p>
        </w:tc>
      </w:tr>
      <w:tr w:rsidR="00CE038D" w:rsidRPr="007F5652" w14:paraId="6D350F8A" w14:textId="77777777" w:rsidTr="007607DA">
        <w:tc>
          <w:tcPr>
            <w:tcW w:w="5000" w:type="pct"/>
            <w:shd w:val="clear" w:color="auto" w:fill="auto"/>
          </w:tcPr>
          <w:p w14:paraId="3D75D9E6" w14:textId="77777777" w:rsidR="00CE038D" w:rsidRPr="00EB2E2B" w:rsidRDefault="00CE038D" w:rsidP="00937F06">
            <w:pPr>
              <w:suppressAutoHyphens/>
              <w:spacing w:after="120"/>
              <w:jc w:val="both"/>
              <w:rPr>
                <w:b/>
              </w:rPr>
            </w:pPr>
            <w:r w:rsidRPr="00EB2E2B">
              <w:rPr>
                <w:b/>
              </w:rPr>
              <w:t>Група 1 «Земельні ділянки»</w:t>
            </w:r>
            <w:r w:rsidRPr="00EB2E2B">
              <w:t xml:space="preserve"> </w:t>
            </w:r>
            <w:r w:rsidR="00937F06" w:rsidRPr="00EB2E2B">
              <w:t>−</w:t>
            </w:r>
            <w:r w:rsidRPr="00EB2E2B">
              <w:t xml:space="preserve"> земельні ділянки під тепловими пунктами, бойлерними, насосними станціями, тепловими мережами (магістральними, розподільними та іншими)</w:t>
            </w:r>
          </w:p>
        </w:tc>
      </w:tr>
      <w:tr w:rsidR="00CE038D" w:rsidRPr="007F5652" w14:paraId="7EDF4651" w14:textId="77777777" w:rsidTr="007607DA">
        <w:tc>
          <w:tcPr>
            <w:tcW w:w="5000" w:type="pct"/>
            <w:shd w:val="clear" w:color="auto" w:fill="auto"/>
          </w:tcPr>
          <w:p w14:paraId="27A209CF" w14:textId="77777777" w:rsidR="00CE038D" w:rsidRPr="00EB2E2B" w:rsidRDefault="00CE038D" w:rsidP="007607DA">
            <w:pPr>
              <w:suppressAutoHyphens/>
              <w:spacing w:after="120"/>
              <w:jc w:val="both"/>
            </w:pPr>
            <w:r w:rsidRPr="00EB2E2B">
              <w:rPr>
                <w:b/>
              </w:rPr>
              <w:t>Група 3 «Будівлі, споруди, передавальні пристрої»:</w:t>
            </w:r>
          </w:p>
          <w:p w14:paraId="0E5F1A9A" w14:textId="3A007BB3" w:rsidR="00CE038D" w:rsidRPr="00EB2E2B" w:rsidRDefault="00CE038D" w:rsidP="007607DA">
            <w:pPr>
              <w:suppressAutoHyphens/>
              <w:spacing w:after="120"/>
              <w:jc w:val="both"/>
              <w:rPr>
                <w:shd w:val="clear" w:color="auto" w:fill="D9D9D9"/>
              </w:rPr>
            </w:pPr>
            <w:r w:rsidRPr="00EB2E2B">
              <w:rPr>
                <w:b/>
                <w:i/>
              </w:rPr>
              <w:t>Будівлі</w:t>
            </w:r>
            <w:r w:rsidRPr="00EB2E2B">
              <w:rPr>
                <w:b/>
              </w:rPr>
              <w:t xml:space="preserve"> </w:t>
            </w:r>
            <w:r w:rsidRPr="00EB2E2B">
              <w:t>– будівлі теплових пунктів, будівлі бойлерних, будівлі насосних станцій,</w:t>
            </w:r>
            <w:r w:rsidR="008E53BD" w:rsidRPr="00EB2E2B">
              <w:t xml:space="preserve"> складські будівлі (реагентів, мокрого зберігання солі),</w:t>
            </w:r>
            <w:r w:rsidRPr="00EB2E2B">
              <w:t xml:space="preserve"> інші будівлі</w:t>
            </w:r>
            <w:r w:rsidR="00937F06" w:rsidRPr="00EB2E2B">
              <w:t>.</w:t>
            </w:r>
          </w:p>
          <w:p w14:paraId="718C3599" w14:textId="0693F0C4" w:rsidR="00365D34" w:rsidRPr="00EB2E2B" w:rsidRDefault="00CE038D" w:rsidP="00365D34">
            <w:pPr>
              <w:suppressAutoHyphens/>
              <w:spacing w:after="120"/>
              <w:jc w:val="both"/>
              <w:rPr>
                <w:highlight w:val="red"/>
              </w:rPr>
            </w:pPr>
            <w:r w:rsidRPr="00EB2E2B">
              <w:rPr>
                <w:b/>
                <w:i/>
              </w:rPr>
              <w:t>Споруди</w:t>
            </w:r>
            <w:r w:rsidRPr="00EB2E2B">
              <w:rPr>
                <w:b/>
              </w:rPr>
              <w:t xml:space="preserve"> </w:t>
            </w:r>
            <w:r w:rsidRPr="00EB2E2B">
              <w:t xml:space="preserve">– </w:t>
            </w:r>
            <w:r w:rsidR="00937F06" w:rsidRPr="00EB2E2B">
              <w:t>теплові пункти</w:t>
            </w:r>
            <w:r w:rsidRPr="00EB2E2B">
              <w:t>, бетонні майданчики, огорожі, каркаси, навіси</w:t>
            </w:r>
            <w:r w:rsidR="008E53BD" w:rsidRPr="00EB2E2B">
              <w:t>,</w:t>
            </w:r>
            <w:r w:rsidRPr="00EB2E2B">
              <w:t xml:space="preserve"> </w:t>
            </w:r>
            <w:r w:rsidR="008E53BD" w:rsidRPr="00EB2E2B">
              <w:t>баки (</w:t>
            </w:r>
            <w:proofErr w:type="spellStart"/>
            <w:r w:rsidR="009B0FB6" w:rsidRPr="007F5652">
              <w:t>деаераторний</w:t>
            </w:r>
            <w:proofErr w:type="spellEnd"/>
            <w:r w:rsidR="009B0FB6" w:rsidRPr="007F5652">
              <w:t xml:space="preserve">, </w:t>
            </w:r>
            <w:proofErr w:type="spellStart"/>
            <w:r w:rsidR="009B0FB6" w:rsidRPr="007F5652">
              <w:t>солевий</w:t>
            </w:r>
            <w:proofErr w:type="spellEnd"/>
            <w:r w:rsidR="009B0FB6" w:rsidRPr="007F5652">
              <w:t xml:space="preserve">, робочої рідини, </w:t>
            </w:r>
            <w:proofErr w:type="spellStart"/>
            <w:r w:rsidR="009B0FB6" w:rsidRPr="007F5652">
              <w:t>промивочний</w:t>
            </w:r>
            <w:proofErr w:type="spellEnd"/>
            <w:r w:rsidR="009B0FB6" w:rsidRPr="007F5652">
              <w:t xml:space="preserve"> та інші)</w:t>
            </w:r>
            <w:r w:rsidRPr="00EB2E2B">
              <w:t xml:space="preserve"> інші споруди</w:t>
            </w:r>
            <w:r w:rsidR="00937F06" w:rsidRPr="00EB2E2B">
              <w:t>.</w:t>
            </w:r>
            <w:r w:rsidR="00365D34" w:rsidRPr="00EB2E2B">
              <w:t xml:space="preserve"> </w:t>
            </w:r>
          </w:p>
          <w:p w14:paraId="2AF11C81" w14:textId="77777777" w:rsidR="00CE038D" w:rsidRPr="00EB2E2B" w:rsidRDefault="00CE038D" w:rsidP="00365D34">
            <w:pPr>
              <w:suppressAutoHyphens/>
              <w:spacing w:after="120"/>
              <w:jc w:val="both"/>
              <w:rPr>
                <w:b/>
              </w:rPr>
            </w:pPr>
            <w:r w:rsidRPr="00EB2E2B">
              <w:rPr>
                <w:b/>
                <w:i/>
              </w:rPr>
              <w:t>Передавальні пристрої</w:t>
            </w:r>
            <w:r w:rsidRPr="00EB2E2B">
              <w:t xml:space="preserve"> – теплові мережі (магістральні, розподільні, безканальні, внутрішні (КТЕБ), котельні, насосн</w:t>
            </w:r>
            <w:r w:rsidR="00A60583" w:rsidRPr="00EB2E2B">
              <w:t>і</w:t>
            </w:r>
            <w:r w:rsidRPr="00EB2E2B">
              <w:t xml:space="preserve"> станції), трубопроводи, теплові камери, мережі зв'язку до ТП, бойлерних, насосних станцій, електричні мережі освітлення ТП, бойлерних, насосних станцій, мережі зовнішнього освітлення ТП, зовнішні інженерні мережі теплопостачання, гарячого водопостачання, бойлерних, насосних станцій та інші передавальні пристрої</w:t>
            </w:r>
          </w:p>
        </w:tc>
      </w:tr>
      <w:tr w:rsidR="00CE038D" w:rsidRPr="007F5652" w14:paraId="7453C710" w14:textId="77777777" w:rsidTr="007607DA">
        <w:tc>
          <w:tcPr>
            <w:tcW w:w="5000" w:type="pct"/>
            <w:shd w:val="clear" w:color="auto" w:fill="auto"/>
          </w:tcPr>
          <w:p w14:paraId="5699A03D" w14:textId="77777777" w:rsidR="00CE038D" w:rsidRPr="00EB2E2B" w:rsidRDefault="00CE038D" w:rsidP="007607DA">
            <w:pPr>
              <w:suppressAutoHyphens/>
              <w:spacing w:after="120"/>
              <w:jc w:val="both"/>
              <w:rPr>
                <w:b/>
              </w:rPr>
            </w:pPr>
            <w:r w:rsidRPr="00EB2E2B">
              <w:rPr>
                <w:b/>
              </w:rPr>
              <w:t>Група 4 «Машини та обладнання»:</w:t>
            </w:r>
          </w:p>
          <w:p w14:paraId="5EA52617" w14:textId="3BA6E269" w:rsidR="00CE038D" w:rsidRPr="00EB2E2B" w:rsidRDefault="00CE038D" w:rsidP="007607DA">
            <w:pPr>
              <w:suppressAutoHyphens/>
              <w:spacing w:after="120"/>
              <w:jc w:val="both"/>
            </w:pPr>
            <w:r w:rsidRPr="00EB2E2B">
              <w:rPr>
                <w:b/>
                <w:i/>
              </w:rPr>
              <w:t xml:space="preserve">Машини </w:t>
            </w:r>
            <w:r w:rsidRPr="00EB2E2B">
              <w:rPr>
                <w:i/>
              </w:rPr>
              <w:t xml:space="preserve">– </w:t>
            </w:r>
            <w:r w:rsidR="00846B9C" w:rsidRPr="007F5652">
              <w:t xml:space="preserve">системи </w:t>
            </w:r>
            <w:proofErr w:type="spellStart"/>
            <w:r w:rsidR="00846B9C" w:rsidRPr="007F5652">
              <w:t>водопідготовки</w:t>
            </w:r>
            <w:proofErr w:type="spellEnd"/>
            <w:r w:rsidR="00846B9C" w:rsidRPr="007F5652">
              <w:t xml:space="preserve"> (установка </w:t>
            </w:r>
            <w:proofErr w:type="spellStart"/>
            <w:r w:rsidR="00846B9C" w:rsidRPr="007F5652">
              <w:t>водопідготовки</w:t>
            </w:r>
            <w:proofErr w:type="spellEnd"/>
            <w:r w:rsidR="00846B9C" w:rsidRPr="007F5652">
              <w:t xml:space="preserve">, </w:t>
            </w:r>
            <w:proofErr w:type="spellStart"/>
            <w:r w:rsidR="00846B9C" w:rsidRPr="007F5652">
              <w:t>деаераційна</w:t>
            </w:r>
            <w:proofErr w:type="spellEnd"/>
            <w:r w:rsidR="00846B9C" w:rsidRPr="007F5652">
              <w:t xml:space="preserve"> живильна установка, </w:t>
            </w:r>
            <w:proofErr w:type="spellStart"/>
            <w:r w:rsidR="00846B9C" w:rsidRPr="007F5652">
              <w:t>деаераторні</w:t>
            </w:r>
            <w:proofErr w:type="spellEnd"/>
            <w:r w:rsidR="00846B9C" w:rsidRPr="007F5652">
              <w:t xml:space="preserve"> установки, бак, фільтри, </w:t>
            </w:r>
            <w:proofErr w:type="spellStart"/>
            <w:r w:rsidR="00846B9C" w:rsidRPr="007F5652">
              <w:t>солерозчиники</w:t>
            </w:r>
            <w:proofErr w:type="spellEnd"/>
            <w:r w:rsidR="00846B9C" w:rsidRPr="007F5652">
              <w:t xml:space="preserve"> та інші), </w:t>
            </w:r>
            <w:r w:rsidRPr="00EB2E2B">
              <w:t>водопідігрівачі ТП, вузли вводу ТП, лічильники холодної води, водоміри, елеваторні вузли (обладнання регулювання відпуску теплової енергії), електродвигуни (приводи засувок, клапанів, регуляторів,</w:t>
            </w:r>
            <w:r w:rsidR="008E53BD" w:rsidRPr="00EB2E2B">
              <w:t xml:space="preserve"> </w:t>
            </w:r>
            <w:r w:rsidRPr="00EB2E2B">
              <w:t xml:space="preserve">тощо), вузли обліку теплової енергії, електрощити ТП, радіостанції (портативні), рації та інші засоби зв’язку на об’єктах виробничого призначення, що забезпечують транспортування теплової енергії тощо. </w:t>
            </w:r>
            <w:r w:rsidR="00365D34" w:rsidRPr="00EB2E2B">
              <w:t xml:space="preserve"> </w:t>
            </w:r>
          </w:p>
          <w:p w14:paraId="00B329B5" w14:textId="2953B41E" w:rsidR="00CE038D" w:rsidRPr="00EB2E2B" w:rsidRDefault="00CE038D" w:rsidP="00A60583">
            <w:pPr>
              <w:suppressAutoHyphens/>
              <w:spacing w:after="120"/>
              <w:jc w:val="both"/>
            </w:pPr>
            <w:r w:rsidRPr="00EB2E2B">
              <w:rPr>
                <w:b/>
                <w:i/>
              </w:rPr>
              <w:t xml:space="preserve">Обладнання </w:t>
            </w:r>
            <w:r w:rsidRPr="00EB2E2B">
              <w:t>– запірно-регулювальна арматура ТП (засувки, клапани регулюючі), компресори, обладнання бойлерних, насосних, ТП, перетворювачі частоти з трансформатором, пристрої керування двигунами, вузли обліку електроенергії теплових пунктів ТП, пульти керування ТП, регулятори, редукторні електроприводи,</w:t>
            </w:r>
            <w:r w:rsidR="006B2555" w:rsidRPr="00EB2E2B">
              <w:t xml:space="preserve"> насоси</w:t>
            </w:r>
            <w:r w:rsidRPr="00EB2E2B">
              <w:t xml:space="preserve"> </w:t>
            </w:r>
            <w:r w:rsidR="006B2555" w:rsidRPr="00EB2E2B">
              <w:t>(</w:t>
            </w:r>
            <w:proofErr w:type="spellStart"/>
            <w:r w:rsidR="006B2555" w:rsidRPr="007F5652">
              <w:t>промивочні</w:t>
            </w:r>
            <w:proofErr w:type="spellEnd"/>
            <w:r w:rsidR="006B2555" w:rsidRPr="007F5652">
              <w:t xml:space="preserve">, підживлення, сирої води, </w:t>
            </w:r>
            <w:proofErr w:type="spellStart"/>
            <w:r w:rsidR="006B2555" w:rsidRPr="007F5652">
              <w:t>хімводообробки</w:t>
            </w:r>
            <w:proofErr w:type="spellEnd"/>
            <w:r w:rsidR="006B2555" w:rsidRPr="007F5652">
              <w:t xml:space="preserve">, насоси-дозатори, мережеві, </w:t>
            </w:r>
            <w:r w:rsidRPr="00EB2E2B">
              <w:t>підживлення, підвищувальні</w:t>
            </w:r>
            <w:r w:rsidR="006B2555" w:rsidRPr="00EB2E2B">
              <w:t xml:space="preserve">, </w:t>
            </w:r>
            <w:r w:rsidRPr="00EB2E2B">
              <w:t>циркуляційні, попутного дренажу, підкачувальні на тепломережі, коригувальні</w:t>
            </w:r>
            <w:r w:rsidR="006B2555" w:rsidRPr="00EB2E2B">
              <w:t xml:space="preserve"> та інші)</w:t>
            </w:r>
            <w:r w:rsidRPr="00EB2E2B">
              <w:t>, електродвигуни н</w:t>
            </w:r>
            <w:r w:rsidR="00937F06" w:rsidRPr="00EB2E2B">
              <w:t>асосів, інше обладнання</w:t>
            </w:r>
          </w:p>
        </w:tc>
      </w:tr>
      <w:tr w:rsidR="00CE038D" w:rsidRPr="007F5652" w14:paraId="600EB416" w14:textId="77777777" w:rsidTr="007607DA">
        <w:tc>
          <w:tcPr>
            <w:tcW w:w="5000" w:type="pct"/>
            <w:shd w:val="clear" w:color="auto" w:fill="auto"/>
          </w:tcPr>
          <w:p w14:paraId="4D08A780" w14:textId="77777777" w:rsidR="00CE038D" w:rsidRPr="00EB2E2B" w:rsidRDefault="00CE038D" w:rsidP="005F07D8">
            <w:pPr>
              <w:suppressAutoHyphens/>
              <w:spacing w:after="120"/>
              <w:jc w:val="both"/>
              <w:rPr>
                <w:b/>
              </w:rPr>
            </w:pPr>
            <w:r w:rsidRPr="00EB2E2B">
              <w:rPr>
                <w:b/>
              </w:rPr>
              <w:t>Група 5 «Транспортні засоби»</w:t>
            </w:r>
            <w:r w:rsidRPr="00EB2E2B">
              <w:t xml:space="preserve"> </w:t>
            </w:r>
            <w:r w:rsidR="00937F06" w:rsidRPr="00EB2E2B">
              <w:t>–</w:t>
            </w:r>
            <w:r w:rsidRPr="00EB2E2B">
              <w:t xml:space="preserve"> автокрани, екскаватори, трактори, інші транспортні засоби, що використовуються підрозділами, що безпосередньо здійснюють </w:t>
            </w:r>
            <w:r w:rsidR="005F07D8" w:rsidRPr="00EB2E2B">
              <w:t>транспортування</w:t>
            </w:r>
            <w:r w:rsidRPr="00EB2E2B">
              <w:t xml:space="preserve"> теплової енергії споживачам тощо</w:t>
            </w:r>
          </w:p>
        </w:tc>
      </w:tr>
      <w:tr w:rsidR="00CE038D" w:rsidRPr="007F5652" w14:paraId="6B6FBA16" w14:textId="77777777" w:rsidTr="007607DA">
        <w:tc>
          <w:tcPr>
            <w:tcW w:w="5000" w:type="pct"/>
            <w:shd w:val="clear" w:color="auto" w:fill="auto"/>
          </w:tcPr>
          <w:p w14:paraId="2F1FA0FC" w14:textId="77777777" w:rsidR="00CE038D" w:rsidRPr="00EB2E2B" w:rsidRDefault="00CE038D" w:rsidP="00A60583">
            <w:pPr>
              <w:suppressAutoHyphens/>
              <w:spacing w:after="120"/>
              <w:jc w:val="both"/>
              <w:rPr>
                <w:b/>
              </w:rPr>
            </w:pPr>
            <w:r w:rsidRPr="00EB2E2B">
              <w:rPr>
                <w:b/>
              </w:rPr>
              <w:lastRenderedPageBreak/>
              <w:t xml:space="preserve">Група 6 «Інструменти, прилади, інвентар (меблі)» </w:t>
            </w:r>
            <w:r w:rsidRPr="00EB2E2B">
              <w:t>– болгарки, датчики, інфрачервоні термометри, пірометри, пристрій для кріплення датчиків, термометри, зварювальні апарати, перфоратори, пилки (циркулярн</w:t>
            </w:r>
            <w:r w:rsidR="00A60583" w:rsidRPr="00EB2E2B">
              <w:t>і</w:t>
            </w:r>
            <w:r w:rsidRPr="00EB2E2B">
              <w:t>), контрольно-вимірювальні прилади і автоматика (контролери з клемною панеллю і картою керування), переносні пульти керування для АВР, витратоміри, водоміри, бойлери (водонагрівачі) та інші інструменти, прилади, інвентар (меблі)</w:t>
            </w:r>
          </w:p>
        </w:tc>
      </w:tr>
      <w:tr w:rsidR="00CE038D" w:rsidRPr="007F5652" w14:paraId="77252390" w14:textId="77777777" w:rsidTr="007607DA">
        <w:tc>
          <w:tcPr>
            <w:tcW w:w="5000" w:type="pct"/>
            <w:shd w:val="clear" w:color="auto" w:fill="auto"/>
          </w:tcPr>
          <w:p w14:paraId="3842D654" w14:textId="77777777" w:rsidR="00CE038D" w:rsidRPr="00EB2E2B" w:rsidRDefault="00CE038D" w:rsidP="00A60583">
            <w:pPr>
              <w:suppressAutoHyphens/>
              <w:spacing w:after="120"/>
              <w:jc w:val="both"/>
              <w:rPr>
                <w:b/>
              </w:rPr>
            </w:pPr>
            <w:r w:rsidRPr="00EB2E2B">
              <w:rPr>
                <w:b/>
              </w:rPr>
              <w:t xml:space="preserve">Група 11 «Малоцінні необоротні матеріальні активи» </w:t>
            </w:r>
            <w:r w:rsidRPr="00EB2E2B">
              <w:t>–</w:t>
            </w:r>
            <w:r w:rsidRPr="00EB2E2B">
              <w:rPr>
                <w:b/>
              </w:rPr>
              <w:t xml:space="preserve"> </w:t>
            </w:r>
            <w:r w:rsidRPr="00EB2E2B">
              <w:t>інші основні засоби, які використовуються на об’єктах виробничого призначення, що забезпечують транспортування теплової енергії (</w:t>
            </w:r>
            <w:r w:rsidRPr="00EB2E2B">
              <w:rPr>
                <w:i/>
              </w:rPr>
              <w:t xml:space="preserve">строк корисного використання яких більше одного </w:t>
            </w:r>
            <w:proofErr w:type="spellStart"/>
            <w:r w:rsidRPr="00EB2E2B">
              <w:rPr>
                <w:i/>
              </w:rPr>
              <w:t>рoку</w:t>
            </w:r>
            <w:proofErr w:type="spellEnd"/>
            <w:r w:rsidRPr="00EB2E2B">
              <w:rPr>
                <w:i/>
              </w:rPr>
              <w:t xml:space="preserve"> та які </w:t>
            </w:r>
            <w:proofErr w:type="spellStart"/>
            <w:r w:rsidRPr="00EB2E2B">
              <w:rPr>
                <w:i/>
              </w:rPr>
              <w:t>зa</w:t>
            </w:r>
            <w:proofErr w:type="spellEnd"/>
            <w:r w:rsidRPr="00EB2E2B">
              <w:rPr>
                <w:i/>
              </w:rPr>
              <w:t xml:space="preserve"> вартісними ознаками зараховано підприємством </w:t>
            </w:r>
            <w:proofErr w:type="spellStart"/>
            <w:r w:rsidRPr="00EB2E2B">
              <w:rPr>
                <w:i/>
              </w:rPr>
              <w:t>дo</w:t>
            </w:r>
            <w:proofErr w:type="spellEnd"/>
            <w:r w:rsidRPr="00EB2E2B">
              <w:rPr>
                <w:i/>
              </w:rPr>
              <w:t xml:space="preserve"> складу малоцінних необоротних матеріальних </w:t>
            </w:r>
            <w:proofErr w:type="spellStart"/>
            <w:r w:rsidRPr="00EB2E2B">
              <w:rPr>
                <w:i/>
              </w:rPr>
              <w:t>активiв</w:t>
            </w:r>
            <w:proofErr w:type="spellEnd"/>
            <w:r w:rsidR="00937F06" w:rsidRPr="00EB2E2B">
              <w:t>)</w:t>
            </w:r>
          </w:p>
        </w:tc>
      </w:tr>
    </w:tbl>
    <w:p w14:paraId="66D23D5A" w14:textId="77777777" w:rsidR="00F17BAD" w:rsidRPr="007F5652" w:rsidRDefault="00F17BAD"/>
    <w:sectPr w:rsidR="00F17BAD" w:rsidRPr="007F5652" w:rsidSect="00937F0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1DB3"/>
    <w:rsid w:val="000A18A7"/>
    <w:rsid w:val="00353118"/>
    <w:rsid w:val="00365D34"/>
    <w:rsid w:val="004D0176"/>
    <w:rsid w:val="0050027B"/>
    <w:rsid w:val="00594886"/>
    <w:rsid w:val="005F07D8"/>
    <w:rsid w:val="00691DB3"/>
    <w:rsid w:val="006B2555"/>
    <w:rsid w:val="007F5652"/>
    <w:rsid w:val="00846B9C"/>
    <w:rsid w:val="008E53BD"/>
    <w:rsid w:val="00937F06"/>
    <w:rsid w:val="009B0FB6"/>
    <w:rsid w:val="009E5DE9"/>
    <w:rsid w:val="00A60583"/>
    <w:rsid w:val="00CA4C10"/>
    <w:rsid w:val="00CE038D"/>
    <w:rsid w:val="00DC798D"/>
    <w:rsid w:val="00EB2E2B"/>
    <w:rsid w:val="00F17BAD"/>
    <w:rsid w:val="00F968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4F13A"/>
  <w15:docId w15:val="{ED5039FA-77A7-4506-BB10-D58CEE351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E038D"/>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365D34"/>
    <w:rPr>
      <w:sz w:val="16"/>
      <w:szCs w:val="16"/>
    </w:rPr>
  </w:style>
  <w:style w:type="paragraph" w:styleId="a4">
    <w:name w:val="annotation text"/>
    <w:basedOn w:val="a"/>
    <w:link w:val="a5"/>
    <w:uiPriority w:val="99"/>
    <w:semiHidden/>
    <w:unhideWhenUsed/>
    <w:rsid w:val="00365D34"/>
    <w:rPr>
      <w:sz w:val="20"/>
      <w:szCs w:val="20"/>
    </w:rPr>
  </w:style>
  <w:style w:type="character" w:customStyle="1" w:styleId="a5">
    <w:name w:val="Текст примітки Знак"/>
    <w:basedOn w:val="a0"/>
    <w:link w:val="a4"/>
    <w:uiPriority w:val="99"/>
    <w:semiHidden/>
    <w:rsid w:val="00365D34"/>
    <w:rPr>
      <w:rFonts w:ascii="Times New Roman" w:eastAsia="Times New Roman" w:hAnsi="Times New Roman" w:cs="Times New Roman"/>
      <w:sz w:val="20"/>
      <w:szCs w:val="20"/>
      <w:lang w:val="uk-UA" w:eastAsia="uk-UA"/>
    </w:rPr>
  </w:style>
  <w:style w:type="paragraph" w:styleId="a6">
    <w:name w:val="annotation subject"/>
    <w:basedOn w:val="a4"/>
    <w:next w:val="a4"/>
    <w:link w:val="a7"/>
    <w:uiPriority w:val="99"/>
    <w:semiHidden/>
    <w:unhideWhenUsed/>
    <w:rsid w:val="00365D34"/>
    <w:rPr>
      <w:b/>
      <w:bCs/>
    </w:rPr>
  </w:style>
  <w:style w:type="character" w:customStyle="1" w:styleId="a7">
    <w:name w:val="Тема примітки Знак"/>
    <w:basedOn w:val="a5"/>
    <w:link w:val="a6"/>
    <w:uiPriority w:val="99"/>
    <w:semiHidden/>
    <w:rsid w:val="00365D34"/>
    <w:rPr>
      <w:rFonts w:ascii="Times New Roman" w:eastAsia="Times New Roman" w:hAnsi="Times New Roman" w:cs="Times New Roman"/>
      <w:b/>
      <w:bCs/>
      <w:sz w:val="20"/>
      <w:szCs w:val="20"/>
      <w:lang w:val="uk-UA" w:eastAsia="uk-UA"/>
    </w:rPr>
  </w:style>
  <w:style w:type="paragraph" w:styleId="a8">
    <w:name w:val="Balloon Text"/>
    <w:basedOn w:val="a"/>
    <w:link w:val="a9"/>
    <w:uiPriority w:val="99"/>
    <w:semiHidden/>
    <w:unhideWhenUsed/>
    <w:rsid w:val="00365D34"/>
    <w:rPr>
      <w:rFonts w:ascii="Segoe UI" w:hAnsi="Segoe UI" w:cs="Segoe UI"/>
      <w:sz w:val="18"/>
      <w:szCs w:val="18"/>
    </w:rPr>
  </w:style>
  <w:style w:type="character" w:customStyle="1" w:styleId="a9">
    <w:name w:val="Текст у виносці Знак"/>
    <w:basedOn w:val="a0"/>
    <w:link w:val="a8"/>
    <w:uiPriority w:val="99"/>
    <w:semiHidden/>
    <w:rsid w:val="00365D34"/>
    <w:rPr>
      <w:rFonts w:ascii="Segoe UI" w:eastAsia="Times New Roman"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B364F-6C1F-416A-B7A8-ED8DC95C8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2121</Words>
  <Characters>1210</Characters>
  <Application>Microsoft Office Word</Application>
  <DocSecurity>0</DocSecurity>
  <Lines>10</Lines>
  <Paragraphs>6</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Улітіч Анастасія Олегівна</dc:creator>
  <cp:lastModifiedBy>Зоя Шульга</cp:lastModifiedBy>
  <cp:revision>11</cp:revision>
  <dcterms:created xsi:type="dcterms:W3CDTF">2023-05-25T15:16:00Z</dcterms:created>
  <dcterms:modified xsi:type="dcterms:W3CDTF">2023-06-07T13:22:00Z</dcterms:modified>
</cp:coreProperties>
</file>