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766" w:rsidRPr="000841BF" w:rsidRDefault="00C11766" w:rsidP="00C11766">
      <w:pPr>
        <w:ind w:left="140" w:firstLine="489"/>
        <w:jc w:val="center"/>
        <w:rPr>
          <w:rFonts w:cs="Times New Roman"/>
        </w:rPr>
      </w:pPr>
      <w:r w:rsidRPr="000841BF">
        <w:rPr>
          <w:rFonts w:cs="Times New Roman"/>
        </w:rPr>
        <w:t>ОБҐРУНТУВАННЯ</w:t>
      </w:r>
    </w:p>
    <w:p w:rsidR="00064505" w:rsidRDefault="00DF5525" w:rsidP="001B4963">
      <w:pPr>
        <w:ind w:left="140" w:firstLine="489"/>
        <w:jc w:val="center"/>
      </w:pPr>
      <w:r w:rsidRPr="000841BF">
        <w:rPr>
          <w:rFonts w:cs="Times New Roman"/>
        </w:rPr>
        <w:t xml:space="preserve">щодо </w:t>
      </w:r>
      <w:r w:rsidR="00764C7E">
        <w:t>схвалення</w:t>
      </w:r>
      <w:r w:rsidR="00764C7E" w:rsidRPr="00225E64">
        <w:t xml:space="preserve"> </w:t>
      </w:r>
      <w:proofErr w:type="spellStart"/>
      <w:r w:rsidR="00764C7E">
        <w:t>проєкту</w:t>
      </w:r>
      <w:proofErr w:type="spellEnd"/>
      <w:r w:rsidR="00764C7E">
        <w:t xml:space="preserve"> </w:t>
      </w:r>
      <w:r w:rsidR="00764C7E" w:rsidRPr="00647455">
        <w:t xml:space="preserve">рішення, що має ознаки регуляторного </w:t>
      </w:r>
      <w:proofErr w:type="spellStart"/>
      <w:r w:rsidR="00764C7E" w:rsidRPr="00647455">
        <w:t>акта</w:t>
      </w:r>
      <w:proofErr w:type="spellEnd"/>
      <w:r w:rsidR="00764C7E">
        <w:t xml:space="preserve">, </w:t>
      </w:r>
      <w:r w:rsidR="00764C7E" w:rsidRPr="00F81D50">
        <w:t>–</w:t>
      </w:r>
      <w:r w:rsidR="00764C7E">
        <w:t xml:space="preserve"> </w:t>
      </w:r>
      <w:proofErr w:type="spellStart"/>
      <w:r w:rsidR="009E46B8">
        <w:t>проєкт</w:t>
      </w:r>
      <w:proofErr w:type="spellEnd"/>
      <w:r w:rsidR="009E46B8">
        <w:t xml:space="preserve"> </w:t>
      </w:r>
      <w:r w:rsidR="00764C7E" w:rsidRPr="00225E64">
        <w:t>постанови НКРЕКП «</w:t>
      </w:r>
      <w:r w:rsidR="00764C7E" w:rsidRPr="00F46073">
        <w:t xml:space="preserve">Про </w:t>
      </w:r>
      <w:r w:rsidR="006F26BB">
        <w:t>внесення</w:t>
      </w:r>
      <w:r w:rsidR="00764C7E">
        <w:t xml:space="preserve"> Змін до </w:t>
      </w:r>
    </w:p>
    <w:p w:rsidR="00064505" w:rsidRDefault="00064505" w:rsidP="00064505">
      <w:pPr>
        <w:ind w:left="140" w:firstLine="489"/>
        <w:jc w:val="center"/>
        <w:rPr>
          <w:rStyle w:val="fontstyle01"/>
        </w:rPr>
      </w:pPr>
      <w:r>
        <w:rPr>
          <w:rStyle w:val="fontstyle01"/>
        </w:rPr>
        <w:t>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w:t>
      </w:r>
    </w:p>
    <w:p w:rsidR="00764C7E" w:rsidRPr="000841BF" w:rsidRDefault="00764C7E" w:rsidP="001B4963">
      <w:pPr>
        <w:ind w:left="140" w:firstLine="489"/>
        <w:jc w:val="center"/>
        <w:rPr>
          <w:rFonts w:cs="Times New Roman"/>
          <w:b/>
        </w:rPr>
      </w:pPr>
    </w:p>
    <w:p w:rsidR="00337BD6" w:rsidRPr="00DF5525" w:rsidRDefault="00337BD6" w:rsidP="00337BD6">
      <w:pPr>
        <w:ind w:firstLine="489"/>
        <w:jc w:val="both"/>
        <w:rPr>
          <w:rFonts w:cs="Times New Roman"/>
        </w:rPr>
      </w:pPr>
      <w:r w:rsidRPr="00DF5525">
        <w:t>Відповідно до положень частини третьої статті 6 Закону України «Про ринок електричної енергії», до повноважень Національної комісії, що здійснює державне регулювання у сферах енергетики та комунальних послуг (далі – НКРЕКП), на ринку електричної енергії належать, зокрема, затвердження кодексу комерційного обліку електричної енергії</w:t>
      </w:r>
      <w:r>
        <w:t xml:space="preserve"> та </w:t>
      </w:r>
      <w:r w:rsidRPr="00973AEC">
        <w:t>інших нормативно-правових актів та нормативних документів, які регулюють функціонування ринку електричної енергії</w:t>
      </w:r>
      <w:r w:rsidRPr="00DF5525">
        <w:t>.</w:t>
      </w:r>
    </w:p>
    <w:p w:rsidR="00064505" w:rsidRPr="00BD58CE" w:rsidRDefault="007424DA" w:rsidP="007424DA">
      <w:pPr>
        <w:ind w:firstLine="851"/>
        <w:jc w:val="both"/>
      </w:pPr>
      <w:bookmarkStart w:id="0" w:name="_GoBack"/>
      <w:r>
        <w:t xml:space="preserve">З метою приведення положень </w:t>
      </w:r>
      <w:r>
        <w:rPr>
          <w:rStyle w:val="fontstyle01"/>
        </w:rPr>
        <w:t>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 затвердженого постановою НКРЕКП від 28.12.2018 № 2118 у відповідність</w:t>
      </w:r>
      <w:r>
        <w:t xml:space="preserve"> до прийнятих норм </w:t>
      </w:r>
      <w:r w:rsidR="00F17237">
        <w:t>Постанови НКРЕКП в</w:t>
      </w:r>
      <w:r w:rsidR="00064505">
        <w:t xml:space="preserve">ід 10.01.2024 № 57 </w:t>
      </w:r>
      <w:r w:rsidR="00F17237">
        <w:t>«</w:t>
      </w:r>
      <w:r w:rsidR="00064505">
        <w:rPr>
          <w:rStyle w:val="fontstyle01"/>
        </w:rPr>
        <w:t>Про затвердження Змін до</w:t>
      </w:r>
      <w:r w:rsidR="00F17237">
        <w:rPr>
          <w:rStyle w:val="fontstyle01"/>
        </w:rPr>
        <w:t xml:space="preserve"> </w:t>
      </w:r>
      <w:r w:rsidR="00064505">
        <w:rPr>
          <w:rStyle w:val="fontstyle01"/>
        </w:rPr>
        <w:t>Кодексу комерційного обліку</w:t>
      </w:r>
      <w:r w:rsidR="00F17237">
        <w:rPr>
          <w:rStyle w:val="fontstyle01"/>
        </w:rPr>
        <w:t xml:space="preserve"> </w:t>
      </w:r>
      <w:r w:rsidR="00064505">
        <w:rPr>
          <w:rStyle w:val="fontstyle01"/>
        </w:rPr>
        <w:t>електричної енергії</w:t>
      </w:r>
      <w:r w:rsidR="00F17237">
        <w:rPr>
          <w:rStyle w:val="fontstyle01"/>
        </w:rPr>
        <w:t xml:space="preserve">» </w:t>
      </w:r>
      <w:r w:rsidR="00337BD6">
        <w:rPr>
          <w:rStyle w:val="fontstyle01"/>
        </w:rPr>
        <w:t>(далі – Постанова)</w:t>
      </w:r>
      <w:r>
        <w:t>, якими</w:t>
      </w:r>
      <w:r w:rsidRPr="00B8590D">
        <w:t xml:space="preserve"> </w:t>
      </w:r>
      <w:r w:rsidR="00337BD6">
        <w:t>внесено зміни до</w:t>
      </w:r>
      <w:r>
        <w:t xml:space="preserve"> </w:t>
      </w:r>
      <w:r w:rsidR="00064505" w:rsidRPr="00BD58CE">
        <w:t xml:space="preserve">пункту 4.4.11 глави 4.4 розділу IV Кодексу </w:t>
      </w:r>
      <w:r>
        <w:t xml:space="preserve">та </w:t>
      </w:r>
      <w:r w:rsidR="00064505" w:rsidRPr="00BD58CE">
        <w:t>визначено, що до групи «а» належать площадки комерційного обліку, що містять:</w:t>
      </w:r>
    </w:p>
    <w:p w:rsidR="00064505" w:rsidRPr="00BD58CE" w:rsidRDefault="00064505" w:rsidP="00064505">
      <w:pPr>
        <w:ind w:firstLine="851"/>
        <w:jc w:val="both"/>
      </w:pPr>
      <w:r w:rsidRPr="00BD58CE">
        <w:t xml:space="preserve">електроустановки з приєднаною потужністю 150 кВт і більше або середньомісячним обсягом споживання електричної енергії понад 50 тис. </w:t>
      </w:r>
      <w:proofErr w:type="spellStart"/>
      <w:r w:rsidRPr="00BD58CE">
        <w:t>кВт·год</w:t>
      </w:r>
      <w:proofErr w:type="spellEnd"/>
      <w:r w:rsidRPr="00BD58CE">
        <w:t xml:space="preserve"> (фактичним за попередній календарний рік або заявленим для нових електроустановок) на об'єктах споживачів (крім багатоквартирних житлових будинків та побутових споживачів);</w:t>
      </w:r>
    </w:p>
    <w:p w:rsidR="00064505" w:rsidRPr="00BD58CE" w:rsidRDefault="00064505" w:rsidP="00064505">
      <w:pPr>
        <w:ind w:firstLine="851"/>
        <w:jc w:val="both"/>
      </w:pPr>
      <w:r w:rsidRPr="00BD58CE">
        <w:t>генеруючі установки, в тому числі генеруючі електроустановки третіх осіб, та/або електроустановки зберігання енергії, в тому числі електроустановки зберігання енергії третіх осіб, з можливістю відпуску електричної енергії в електричні мережі ОС або інших користувачів;</w:t>
      </w:r>
    </w:p>
    <w:p w:rsidR="00064505" w:rsidRPr="00BD58CE" w:rsidRDefault="00064505" w:rsidP="00064505">
      <w:pPr>
        <w:ind w:firstLine="851"/>
        <w:jc w:val="both"/>
      </w:pPr>
      <w:r w:rsidRPr="00BD58CE">
        <w:t>електроустановки споживача за його ініціативою, якщо відповідні засоби обліку відповідають вимогам щодо формування та передачі даних комерційного обліку для площадок групи «а»;</w:t>
      </w:r>
    </w:p>
    <w:p w:rsidR="00064505" w:rsidRPr="00BD58CE" w:rsidRDefault="00064505" w:rsidP="00064505">
      <w:pPr>
        <w:ind w:firstLine="851"/>
        <w:jc w:val="both"/>
      </w:pPr>
      <w:r w:rsidRPr="00BD58CE">
        <w:t xml:space="preserve">електроустановки, що входять до одиниці агрегації та </w:t>
      </w:r>
      <w:proofErr w:type="spellStart"/>
      <w:r w:rsidRPr="00BD58CE">
        <w:t>агрегуються</w:t>
      </w:r>
      <w:proofErr w:type="spellEnd"/>
      <w:r w:rsidRPr="00BD58CE">
        <w:t xml:space="preserve"> </w:t>
      </w:r>
      <w:proofErr w:type="spellStart"/>
      <w:r w:rsidRPr="00BD58CE">
        <w:t>агрегатором</w:t>
      </w:r>
      <w:proofErr w:type="spellEnd"/>
      <w:r w:rsidRPr="00BD58CE">
        <w:t>.</w:t>
      </w:r>
    </w:p>
    <w:p w:rsidR="00064505" w:rsidRPr="00B81628" w:rsidRDefault="00064505" w:rsidP="00064505">
      <w:pPr>
        <w:ind w:firstLine="851"/>
        <w:jc w:val="both"/>
      </w:pPr>
      <w:r w:rsidRPr="00B81628">
        <w:t>Одночасно, відповідно до Додатку 1 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 (далі — Тимчасовий порядок), затвердженого постановою HKPEKП від 28.12.2018 № 2118 (</w:t>
      </w:r>
      <w:r w:rsidRPr="00B81628">
        <w:rPr>
          <w:rStyle w:val="rvts46"/>
          <w:i/>
          <w:iCs/>
          <w:shd w:val="clear" w:color="auto" w:fill="FFFFFF"/>
        </w:rPr>
        <w:t>Додаток в редакції </w:t>
      </w:r>
      <w:r w:rsidRPr="00B81628">
        <w:rPr>
          <w:rStyle w:val="rvts11"/>
          <w:i/>
          <w:iCs/>
          <w:shd w:val="clear" w:color="auto" w:fill="FFFFFF"/>
        </w:rPr>
        <w:t xml:space="preserve">Постанови Національної комісії, що здійснює державне регулювання у сферах енергетики та комунальних послуг </w:t>
      </w:r>
      <w:hyperlink r:id="rId5" w:anchor="n5" w:tgtFrame="_blank" w:history="1">
        <w:r w:rsidRPr="00B81628">
          <w:rPr>
            <w:rStyle w:val="a7"/>
            <w:i/>
            <w:iCs/>
            <w:color w:val="auto"/>
            <w:shd w:val="clear" w:color="auto" w:fill="FFFFFF"/>
          </w:rPr>
          <w:t>№</w:t>
        </w:r>
        <w:r w:rsidRPr="00B81628">
          <w:rPr>
            <w:rStyle w:val="a7"/>
            <w:i/>
            <w:iCs/>
            <w:color w:val="auto"/>
            <w:shd w:val="clear" w:color="auto" w:fill="FFFFFF"/>
            <w:lang w:val="en-US"/>
          </w:rPr>
          <w:t> </w:t>
        </w:r>
        <w:r w:rsidRPr="00B81628">
          <w:rPr>
            <w:rStyle w:val="a7"/>
            <w:i/>
            <w:iCs/>
            <w:color w:val="auto"/>
            <w:shd w:val="clear" w:color="auto" w:fill="FFFFFF"/>
          </w:rPr>
          <w:t>1031 від 11.06.2019</w:t>
        </w:r>
      </w:hyperlink>
      <w:r w:rsidRPr="00B81628">
        <w:t xml:space="preserve">), </w:t>
      </w:r>
      <w:r w:rsidR="00592958" w:rsidRPr="00B81628">
        <w:t>п</w:t>
      </w:r>
      <w:r w:rsidR="00592958" w:rsidRPr="00B81628">
        <w:rPr>
          <w:shd w:val="clear" w:color="auto" w:fill="FFFFFF"/>
        </w:rPr>
        <w:t xml:space="preserve">лощадки вимірювання споживачів, що забезпечені прийнятою до розрахунків за електричну енергію схемою обліку електричної енергії (де вимірюється надходження електричної енергії на площадку) із </w:t>
      </w:r>
      <w:r w:rsidR="00592958" w:rsidRPr="00B81628">
        <w:rPr>
          <w:shd w:val="clear" w:color="auto" w:fill="FFFFFF"/>
        </w:rPr>
        <w:lastRenderedPageBreak/>
        <w:t>встановленими та введеними в експлуатацію ЛУЗОД, АСКОЕ, АСЗД або лічильниками диференційного (погодинного, зонного) обліку електричної енергії із гарантованим щодобовим зчитуванням показів, належать до групи "а" за умови забезпечення визначеним споживачем, Оператором АСКОЕ або ППКО щодобового зчитування, формування та передачі сформованих погодинних даних комерційного обліку до ОСР/НЕК.</w:t>
      </w:r>
      <w:r w:rsidR="00592958" w:rsidRPr="00B81628">
        <w:t xml:space="preserve"> Д</w:t>
      </w:r>
      <w:r w:rsidRPr="00B81628">
        <w:t>озволяється перехід між групами площадок «а» та «б» у разі невиконання встановлених Тимчасовим порядком вимог, а саме:</w:t>
      </w:r>
    </w:p>
    <w:p w:rsidR="00064505" w:rsidRPr="00B81628" w:rsidRDefault="00064505" w:rsidP="00064505">
      <w:pPr>
        <w:ind w:firstLine="851"/>
        <w:jc w:val="both"/>
      </w:pPr>
      <w:r w:rsidRPr="00B81628">
        <w:t>якщо більше як за 10 діб М по площадках вимірювання групи «а» оперативні дані були заміщені або наростаючим підсумком не відповідали фактичним даним з лічильників (згідно з пунктом 14 цієї Процедури), що підтверджено відповідним актом, складеним ОСР/НЕК, Оператором АСКОЕ/ППКО, електропостачальником та споживачем з дотриманням вимог і процедур перевірки, встановлених Кодексом комерційного обліку електричної енергії, такі площадки вимірювання на М+1 відносяться до групи «б» (пункт 15 Додатку);</w:t>
      </w:r>
    </w:p>
    <w:p w:rsidR="00064505" w:rsidRPr="00B81628" w:rsidRDefault="00064505" w:rsidP="00064505">
      <w:pPr>
        <w:ind w:firstLine="851"/>
        <w:jc w:val="both"/>
      </w:pPr>
      <w:r w:rsidRPr="00B81628">
        <w:t xml:space="preserve">якщо протягом М+1 погодинні дані з площадки вимірювання надходили до ОСР/НЕК без збоїв упродовж не менше як 20 днів, то така площадка вимірювання у місяці, що слідує за М+1, має бути віднесена до групи «а» за заявкою </w:t>
      </w:r>
      <w:proofErr w:type="spellStart"/>
      <w:r w:rsidRPr="00B81628">
        <w:t>електропостачальника</w:t>
      </w:r>
      <w:proofErr w:type="spellEnd"/>
      <w:r w:rsidRPr="00B81628">
        <w:t xml:space="preserve"> (пункт 17 Додатку).</w:t>
      </w:r>
    </w:p>
    <w:p w:rsidR="00B8590D" w:rsidRPr="00B81628" w:rsidRDefault="00F17237" w:rsidP="00F17237">
      <w:pPr>
        <w:ind w:firstLine="851"/>
        <w:jc w:val="both"/>
        <w:rPr>
          <w:rFonts w:cs="Times New Roman"/>
        </w:rPr>
      </w:pPr>
      <w:r w:rsidRPr="00B81628">
        <w:t xml:space="preserve">З метою </w:t>
      </w:r>
      <w:r w:rsidR="007424DA" w:rsidRPr="00B81628">
        <w:t xml:space="preserve">врегулювання </w:t>
      </w:r>
      <w:r w:rsidR="00592958" w:rsidRPr="00B81628">
        <w:t xml:space="preserve">розбіжності (зокрема, суперечності) між нормами Кодексу та Тимчасового порядку, що регулюють однакові фактичні обставини </w:t>
      </w:r>
      <w:r w:rsidR="007C10C6" w:rsidRPr="00B81628">
        <w:t xml:space="preserve">відносин учасників ринку електричної енергії стосовно забезпечення комерційного обліку на </w:t>
      </w:r>
      <w:r w:rsidRPr="00B81628">
        <w:t>площадк</w:t>
      </w:r>
      <w:r w:rsidR="007C10C6" w:rsidRPr="00B81628">
        <w:t>ах</w:t>
      </w:r>
      <w:r w:rsidRPr="00B81628">
        <w:t xml:space="preserve"> </w:t>
      </w:r>
      <w:r w:rsidR="00592958" w:rsidRPr="00B81628">
        <w:t>комерційного обліку</w:t>
      </w:r>
      <w:r w:rsidR="007C10C6" w:rsidRPr="00B81628">
        <w:t xml:space="preserve"> (вимірювання)</w:t>
      </w:r>
      <w:r w:rsidR="00592958" w:rsidRPr="00B81628">
        <w:t xml:space="preserve"> </w:t>
      </w:r>
      <w:r w:rsidRPr="00B81628">
        <w:t xml:space="preserve">групи «а», </w:t>
      </w:r>
      <w:r w:rsidR="00E25B07" w:rsidRPr="00B81628">
        <w:rPr>
          <w:rFonts w:cs="Times New Roman"/>
        </w:rPr>
        <w:t>Департамент із регулювання відносин у сфері енергетики пропонує</w:t>
      </w:r>
      <w:r w:rsidR="0086672F" w:rsidRPr="00B81628">
        <w:rPr>
          <w:rFonts w:cs="Times New Roman"/>
        </w:rPr>
        <w:t>:</w:t>
      </w:r>
    </w:p>
    <w:bookmarkEnd w:id="0"/>
    <w:p w:rsidR="00B8590D" w:rsidRPr="00B81628" w:rsidRDefault="00B8590D" w:rsidP="00B8590D">
      <w:pPr>
        <w:ind w:firstLine="567"/>
        <w:jc w:val="both"/>
        <w:rPr>
          <w:rStyle w:val="fontstyle01"/>
          <w:rFonts w:ascii="Times New Roman" w:hAnsi="Times New Roman" w:cs="Times New Roman"/>
          <w:color w:val="auto"/>
        </w:rPr>
      </w:pPr>
      <w:r w:rsidRPr="00B81628">
        <w:rPr>
          <w:rStyle w:val="fontstyle01"/>
          <w:rFonts w:ascii="Times New Roman" w:hAnsi="Times New Roman" w:cs="Times New Roman"/>
          <w:color w:val="auto"/>
        </w:rPr>
        <w:t xml:space="preserve">1. Схвалити </w:t>
      </w:r>
      <w:proofErr w:type="spellStart"/>
      <w:r w:rsidRPr="00B81628">
        <w:rPr>
          <w:rStyle w:val="fontstyle01"/>
          <w:rFonts w:ascii="Times New Roman" w:hAnsi="Times New Roman" w:cs="Times New Roman"/>
          <w:color w:val="auto"/>
        </w:rPr>
        <w:t>проєкт</w:t>
      </w:r>
      <w:proofErr w:type="spellEnd"/>
      <w:r w:rsidRPr="00B81628">
        <w:rPr>
          <w:rStyle w:val="fontstyle01"/>
          <w:rFonts w:ascii="Times New Roman" w:hAnsi="Times New Roman" w:cs="Times New Roman"/>
          <w:color w:val="auto"/>
        </w:rPr>
        <w:t xml:space="preserve"> постанови НКРЕКП «Про внесення змін до </w:t>
      </w:r>
      <w:r w:rsidR="0074591C" w:rsidRPr="00B81628">
        <w:rPr>
          <w:rStyle w:val="fontstyle01"/>
          <w:color w:val="auto"/>
        </w:rPr>
        <w:t>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w:t>
      </w:r>
      <w:r w:rsidRPr="00B81628">
        <w:rPr>
          <w:rStyle w:val="fontstyle01"/>
          <w:rFonts w:ascii="Times New Roman" w:hAnsi="Times New Roman" w:cs="Times New Roman"/>
          <w:color w:val="auto"/>
        </w:rPr>
        <w:t xml:space="preserve">»; </w:t>
      </w:r>
    </w:p>
    <w:p w:rsidR="00B8590D" w:rsidRPr="000841BF" w:rsidRDefault="00B8590D" w:rsidP="00B8590D">
      <w:pPr>
        <w:ind w:firstLine="567"/>
        <w:jc w:val="both"/>
        <w:rPr>
          <w:rFonts w:cs="Times New Roman"/>
        </w:rPr>
      </w:pPr>
      <w:r w:rsidRPr="00B81628">
        <w:rPr>
          <w:rStyle w:val="fontstyle01"/>
          <w:rFonts w:ascii="Times New Roman" w:hAnsi="Times New Roman" w:cs="Times New Roman"/>
          <w:color w:val="auto"/>
        </w:rPr>
        <w:t xml:space="preserve">2. Оприлюднити </w:t>
      </w:r>
      <w:proofErr w:type="spellStart"/>
      <w:r w:rsidRPr="00B81628">
        <w:rPr>
          <w:rStyle w:val="fontstyle01"/>
          <w:rFonts w:ascii="Times New Roman" w:hAnsi="Times New Roman" w:cs="Times New Roman"/>
          <w:color w:val="auto"/>
        </w:rPr>
        <w:t>проєкт</w:t>
      </w:r>
      <w:proofErr w:type="spellEnd"/>
      <w:r w:rsidRPr="00B81628">
        <w:rPr>
          <w:rStyle w:val="fontstyle01"/>
          <w:rFonts w:ascii="Times New Roman" w:hAnsi="Times New Roman" w:cs="Times New Roman"/>
          <w:color w:val="auto"/>
        </w:rPr>
        <w:t xml:space="preserve"> постанови НКРЕКП «Про внесення змін до </w:t>
      </w:r>
      <w:r w:rsidR="0074591C" w:rsidRPr="00B81628">
        <w:rPr>
          <w:rStyle w:val="fontstyle01"/>
          <w:color w:val="auto"/>
        </w:rPr>
        <w:t>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w:t>
      </w:r>
      <w:r w:rsidRPr="00B81628">
        <w:rPr>
          <w:rStyle w:val="fontstyle01"/>
          <w:rFonts w:ascii="Times New Roman" w:hAnsi="Times New Roman" w:cs="Times New Roman"/>
          <w:color w:val="auto"/>
        </w:rPr>
        <w:t xml:space="preserve">» на офіційному </w:t>
      </w:r>
      <w:proofErr w:type="spellStart"/>
      <w:r w:rsidRPr="00B81628">
        <w:rPr>
          <w:rStyle w:val="fontstyle01"/>
          <w:rFonts w:ascii="Times New Roman" w:hAnsi="Times New Roman" w:cs="Times New Roman"/>
          <w:color w:val="auto"/>
        </w:rPr>
        <w:t>вебсайті</w:t>
      </w:r>
      <w:proofErr w:type="spellEnd"/>
      <w:r w:rsidRPr="00B81628">
        <w:rPr>
          <w:rStyle w:val="fontstyle01"/>
          <w:rFonts w:ascii="Times New Roman" w:hAnsi="Times New Roman" w:cs="Times New Roman"/>
          <w:color w:val="auto"/>
        </w:rPr>
        <w:t xml:space="preserve"> НКРЕКП з метою одержання зауважень та пропозицій від інших органів державної влади, фізичних та юридичних осіб, їх об’єднань та інших заінтересованих осіб</w:t>
      </w:r>
      <w:r w:rsidRPr="000841BF">
        <w:rPr>
          <w:rStyle w:val="fontstyle01"/>
          <w:rFonts w:ascii="Times New Roman" w:hAnsi="Times New Roman" w:cs="Times New Roman"/>
        </w:rPr>
        <w:t>.</w:t>
      </w:r>
    </w:p>
    <w:p w:rsidR="002A2407" w:rsidRPr="000841BF" w:rsidRDefault="002A2407" w:rsidP="00F5728E">
      <w:pPr>
        <w:ind w:firstLine="567"/>
        <w:jc w:val="both"/>
        <w:rPr>
          <w:rFonts w:cs="Times New Roman"/>
        </w:rPr>
      </w:pPr>
    </w:p>
    <w:p w:rsidR="00906D40" w:rsidRPr="000841BF" w:rsidRDefault="00E25B07" w:rsidP="00F5728E">
      <w:pPr>
        <w:ind w:firstLine="567"/>
        <w:jc w:val="both"/>
        <w:rPr>
          <w:rFonts w:cs="Times New Roman"/>
        </w:rPr>
      </w:pPr>
      <w:r w:rsidRPr="000841BF">
        <w:rPr>
          <w:rFonts w:cs="Times New Roman"/>
        </w:rPr>
        <w:t xml:space="preserve"> </w:t>
      </w:r>
    </w:p>
    <w:p w:rsidR="002A2407" w:rsidRPr="000841BF" w:rsidRDefault="002A2407" w:rsidP="002A2407">
      <w:pPr>
        <w:rPr>
          <w:rFonts w:cs="Times New Roman"/>
        </w:rPr>
      </w:pPr>
      <w:r w:rsidRPr="000841BF">
        <w:rPr>
          <w:rFonts w:cs="Times New Roman"/>
        </w:rPr>
        <w:t xml:space="preserve">Директор Департаменту із </w:t>
      </w:r>
    </w:p>
    <w:p w:rsidR="006D6D32" w:rsidRPr="000841BF" w:rsidRDefault="002A2407" w:rsidP="002A2407">
      <w:pPr>
        <w:outlineLvl w:val="0"/>
        <w:rPr>
          <w:rFonts w:cs="Times New Roman"/>
        </w:rPr>
      </w:pPr>
      <w:r w:rsidRPr="000841BF">
        <w:rPr>
          <w:rFonts w:cs="Times New Roman"/>
        </w:rPr>
        <w:t>регулювання відносин у сфері енергетики                                    Андрій ОГНЬОВ</w:t>
      </w:r>
    </w:p>
    <w:sectPr w:rsidR="006D6D32" w:rsidRPr="000841BF" w:rsidSect="00296DFC">
      <w:pgSz w:w="11906" w:h="16838"/>
      <w:pgMar w:top="141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D0753"/>
    <w:multiLevelType w:val="hybridMultilevel"/>
    <w:tmpl w:val="63D417E8"/>
    <w:lvl w:ilvl="0" w:tplc="637CFD12">
      <w:start w:val="4"/>
      <w:numFmt w:val="bullet"/>
      <w:lvlText w:val="-"/>
      <w:lvlJc w:val="left"/>
      <w:pPr>
        <w:ind w:left="1495" w:hanging="360"/>
      </w:pPr>
      <w:rPr>
        <w:rFonts w:ascii="Times New Roman" w:eastAsiaTheme="minorHAnsi" w:hAnsi="Times New Roman" w:cs="Times New Roman" w:hint="default"/>
      </w:rPr>
    </w:lvl>
    <w:lvl w:ilvl="1" w:tplc="04220003" w:tentative="1">
      <w:start w:val="1"/>
      <w:numFmt w:val="bullet"/>
      <w:lvlText w:val="o"/>
      <w:lvlJc w:val="left"/>
      <w:pPr>
        <w:ind w:left="1569" w:hanging="360"/>
      </w:pPr>
      <w:rPr>
        <w:rFonts w:ascii="Courier New" w:hAnsi="Courier New" w:cs="Courier New" w:hint="default"/>
      </w:rPr>
    </w:lvl>
    <w:lvl w:ilvl="2" w:tplc="04220005" w:tentative="1">
      <w:start w:val="1"/>
      <w:numFmt w:val="bullet"/>
      <w:lvlText w:val=""/>
      <w:lvlJc w:val="left"/>
      <w:pPr>
        <w:ind w:left="2289" w:hanging="360"/>
      </w:pPr>
      <w:rPr>
        <w:rFonts w:ascii="Wingdings" w:hAnsi="Wingdings" w:hint="default"/>
      </w:rPr>
    </w:lvl>
    <w:lvl w:ilvl="3" w:tplc="04220001" w:tentative="1">
      <w:start w:val="1"/>
      <w:numFmt w:val="bullet"/>
      <w:lvlText w:val=""/>
      <w:lvlJc w:val="left"/>
      <w:pPr>
        <w:ind w:left="3009" w:hanging="360"/>
      </w:pPr>
      <w:rPr>
        <w:rFonts w:ascii="Symbol" w:hAnsi="Symbol" w:hint="default"/>
      </w:rPr>
    </w:lvl>
    <w:lvl w:ilvl="4" w:tplc="04220003" w:tentative="1">
      <w:start w:val="1"/>
      <w:numFmt w:val="bullet"/>
      <w:lvlText w:val="o"/>
      <w:lvlJc w:val="left"/>
      <w:pPr>
        <w:ind w:left="3729" w:hanging="360"/>
      </w:pPr>
      <w:rPr>
        <w:rFonts w:ascii="Courier New" w:hAnsi="Courier New" w:cs="Courier New" w:hint="default"/>
      </w:rPr>
    </w:lvl>
    <w:lvl w:ilvl="5" w:tplc="04220005" w:tentative="1">
      <w:start w:val="1"/>
      <w:numFmt w:val="bullet"/>
      <w:lvlText w:val=""/>
      <w:lvlJc w:val="left"/>
      <w:pPr>
        <w:ind w:left="4449" w:hanging="360"/>
      </w:pPr>
      <w:rPr>
        <w:rFonts w:ascii="Wingdings" w:hAnsi="Wingdings" w:hint="default"/>
      </w:rPr>
    </w:lvl>
    <w:lvl w:ilvl="6" w:tplc="04220001" w:tentative="1">
      <w:start w:val="1"/>
      <w:numFmt w:val="bullet"/>
      <w:lvlText w:val=""/>
      <w:lvlJc w:val="left"/>
      <w:pPr>
        <w:ind w:left="5169" w:hanging="360"/>
      </w:pPr>
      <w:rPr>
        <w:rFonts w:ascii="Symbol" w:hAnsi="Symbol" w:hint="default"/>
      </w:rPr>
    </w:lvl>
    <w:lvl w:ilvl="7" w:tplc="04220003" w:tentative="1">
      <w:start w:val="1"/>
      <w:numFmt w:val="bullet"/>
      <w:lvlText w:val="o"/>
      <w:lvlJc w:val="left"/>
      <w:pPr>
        <w:ind w:left="5889" w:hanging="360"/>
      </w:pPr>
      <w:rPr>
        <w:rFonts w:ascii="Courier New" w:hAnsi="Courier New" w:cs="Courier New" w:hint="default"/>
      </w:rPr>
    </w:lvl>
    <w:lvl w:ilvl="8" w:tplc="04220005" w:tentative="1">
      <w:start w:val="1"/>
      <w:numFmt w:val="bullet"/>
      <w:lvlText w:val=""/>
      <w:lvlJc w:val="left"/>
      <w:pPr>
        <w:ind w:left="6609" w:hanging="360"/>
      </w:pPr>
      <w:rPr>
        <w:rFonts w:ascii="Wingdings" w:hAnsi="Wingdings" w:hint="default"/>
      </w:rPr>
    </w:lvl>
  </w:abstractNum>
  <w:abstractNum w:abstractNumId="1" w15:restartNumberingAfterBreak="0">
    <w:nsid w:val="471072E6"/>
    <w:multiLevelType w:val="hybridMultilevel"/>
    <w:tmpl w:val="B942CD64"/>
    <w:lvl w:ilvl="0" w:tplc="B4EA15B8">
      <w:start w:val="1"/>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963"/>
    <w:rsid w:val="00006334"/>
    <w:rsid w:val="00006E7D"/>
    <w:rsid w:val="00050D31"/>
    <w:rsid w:val="00064505"/>
    <w:rsid w:val="000729FB"/>
    <w:rsid w:val="000841BF"/>
    <w:rsid w:val="00093B3D"/>
    <w:rsid w:val="000971AB"/>
    <w:rsid w:val="000D75E8"/>
    <w:rsid w:val="000F3B29"/>
    <w:rsid w:val="0012198C"/>
    <w:rsid w:val="001259B4"/>
    <w:rsid w:val="00133248"/>
    <w:rsid w:val="00152F5E"/>
    <w:rsid w:val="001530C1"/>
    <w:rsid w:val="0016563A"/>
    <w:rsid w:val="001939B6"/>
    <w:rsid w:val="00197B61"/>
    <w:rsid w:val="001B4963"/>
    <w:rsid w:val="001E7D78"/>
    <w:rsid w:val="00253261"/>
    <w:rsid w:val="002628C5"/>
    <w:rsid w:val="00286AE0"/>
    <w:rsid w:val="00296DFC"/>
    <w:rsid w:val="002A2407"/>
    <w:rsid w:val="003072C8"/>
    <w:rsid w:val="00317AB0"/>
    <w:rsid w:val="00337BD6"/>
    <w:rsid w:val="00381737"/>
    <w:rsid w:val="004276EA"/>
    <w:rsid w:val="00437861"/>
    <w:rsid w:val="004D43CC"/>
    <w:rsid w:val="005077AB"/>
    <w:rsid w:val="00592958"/>
    <w:rsid w:val="0068718A"/>
    <w:rsid w:val="006B1405"/>
    <w:rsid w:val="006D6D32"/>
    <w:rsid w:val="006E5DF7"/>
    <w:rsid w:val="006F26BB"/>
    <w:rsid w:val="00706392"/>
    <w:rsid w:val="007424DA"/>
    <w:rsid w:val="0074591C"/>
    <w:rsid w:val="00764C7E"/>
    <w:rsid w:val="00782391"/>
    <w:rsid w:val="00793AC2"/>
    <w:rsid w:val="007C10C6"/>
    <w:rsid w:val="007F28AD"/>
    <w:rsid w:val="0080063F"/>
    <w:rsid w:val="00863CC9"/>
    <w:rsid w:val="0086672F"/>
    <w:rsid w:val="00866767"/>
    <w:rsid w:val="00873AD4"/>
    <w:rsid w:val="0089216D"/>
    <w:rsid w:val="008B5BC3"/>
    <w:rsid w:val="008F3E7B"/>
    <w:rsid w:val="00906D40"/>
    <w:rsid w:val="009212AA"/>
    <w:rsid w:val="00931C5D"/>
    <w:rsid w:val="009642A1"/>
    <w:rsid w:val="009A5F33"/>
    <w:rsid w:val="009D6600"/>
    <w:rsid w:val="009E46B8"/>
    <w:rsid w:val="00A31217"/>
    <w:rsid w:val="00A60AC8"/>
    <w:rsid w:val="00AA11E5"/>
    <w:rsid w:val="00AF21C0"/>
    <w:rsid w:val="00B25B66"/>
    <w:rsid w:val="00B7640B"/>
    <w:rsid w:val="00B81628"/>
    <w:rsid w:val="00B8590D"/>
    <w:rsid w:val="00C11766"/>
    <w:rsid w:val="00C12AA7"/>
    <w:rsid w:val="00C90E9D"/>
    <w:rsid w:val="00CB2826"/>
    <w:rsid w:val="00CB354E"/>
    <w:rsid w:val="00CE5D4B"/>
    <w:rsid w:val="00CF484D"/>
    <w:rsid w:val="00D03612"/>
    <w:rsid w:val="00D56435"/>
    <w:rsid w:val="00D630A6"/>
    <w:rsid w:val="00D83EB5"/>
    <w:rsid w:val="00DA02BC"/>
    <w:rsid w:val="00DB6851"/>
    <w:rsid w:val="00DE0BC0"/>
    <w:rsid w:val="00DF5525"/>
    <w:rsid w:val="00E25B07"/>
    <w:rsid w:val="00E5247D"/>
    <w:rsid w:val="00E92F93"/>
    <w:rsid w:val="00ED076C"/>
    <w:rsid w:val="00ED2C33"/>
    <w:rsid w:val="00EF7BF7"/>
    <w:rsid w:val="00F17237"/>
    <w:rsid w:val="00F340B7"/>
    <w:rsid w:val="00F450EC"/>
    <w:rsid w:val="00F5728E"/>
    <w:rsid w:val="00F844CD"/>
    <w:rsid w:val="00FA5C5B"/>
    <w:rsid w:val="00FC1A33"/>
    <w:rsid w:val="00FD63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7DC82"/>
  <w15:chartTrackingRefBased/>
  <w15:docId w15:val="{1B6B62D7-8872-42AF-A967-7F078B23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963"/>
    <w:pPr>
      <w:spacing w:after="0" w:line="240" w:lineRule="auto"/>
    </w:pPr>
    <w:rPr>
      <w:rFonts w:ascii="Times New Roman" w:hAnsi="Times New Roman" w:cstheme="minorHAns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1B4963"/>
  </w:style>
  <w:style w:type="character" w:customStyle="1" w:styleId="markedcontent">
    <w:name w:val="markedcontent"/>
    <w:basedOn w:val="a0"/>
    <w:rsid w:val="00E5247D"/>
  </w:style>
  <w:style w:type="paragraph" w:styleId="a3">
    <w:name w:val="Balloon Text"/>
    <w:basedOn w:val="a"/>
    <w:link w:val="a4"/>
    <w:uiPriority w:val="99"/>
    <w:semiHidden/>
    <w:unhideWhenUsed/>
    <w:rsid w:val="00DA02BC"/>
    <w:rPr>
      <w:rFonts w:ascii="Segoe UI" w:hAnsi="Segoe UI" w:cs="Segoe UI"/>
      <w:sz w:val="18"/>
      <w:szCs w:val="18"/>
    </w:rPr>
  </w:style>
  <w:style w:type="character" w:customStyle="1" w:styleId="a4">
    <w:name w:val="Текст у виносці Знак"/>
    <w:basedOn w:val="a0"/>
    <w:link w:val="a3"/>
    <w:uiPriority w:val="99"/>
    <w:semiHidden/>
    <w:rsid w:val="00DA02BC"/>
    <w:rPr>
      <w:rFonts w:ascii="Segoe UI" w:hAnsi="Segoe UI" w:cs="Segoe UI"/>
      <w:sz w:val="18"/>
      <w:szCs w:val="18"/>
    </w:rPr>
  </w:style>
  <w:style w:type="character" w:customStyle="1" w:styleId="rvts44">
    <w:name w:val="rvts44"/>
    <w:basedOn w:val="a0"/>
    <w:rsid w:val="0012198C"/>
  </w:style>
  <w:style w:type="paragraph" w:styleId="a5">
    <w:name w:val="List Paragraph"/>
    <w:basedOn w:val="a"/>
    <w:uiPriority w:val="34"/>
    <w:qFormat/>
    <w:rsid w:val="00FC1A33"/>
    <w:pPr>
      <w:ind w:left="720"/>
      <w:contextualSpacing/>
    </w:pPr>
  </w:style>
  <w:style w:type="character" w:customStyle="1" w:styleId="fontstyle01">
    <w:name w:val="fontstyle01"/>
    <w:basedOn w:val="a0"/>
    <w:rsid w:val="00B8590D"/>
    <w:rPr>
      <w:rFonts w:ascii="TimesNewRomanPSMT" w:hAnsi="TimesNewRomanPSMT" w:hint="default"/>
      <w:b w:val="0"/>
      <w:bCs w:val="0"/>
      <w:i w:val="0"/>
      <w:iCs w:val="0"/>
      <w:color w:val="000000"/>
      <w:sz w:val="28"/>
      <w:szCs w:val="28"/>
    </w:rPr>
  </w:style>
  <w:style w:type="paragraph" w:styleId="a6">
    <w:name w:val="Normal (Web)"/>
    <w:basedOn w:val="a"/>
    <w:uiPriority w:val="99"/>
    <w:unhideWhenUsed/>
    <w:rsid w:val="002628C5"/>
    <w:pPr>
      <w:spacing w:before="100" w:beforeAutospacing="1" w:after="100" w:afterAutospacing="1"/>
    </w:pPr>
    <w:rPr>
      <w:rFonts w:eastAsia="Times New Roman" w:cs="Times New Roman"/>
      <w:sz w:val="24"/>
      <w:szCs w:val="24"/>
      <w:lang w:eastAsia="uk-UA"/>
    </w:rPr>
  </w:style>
  <w:style w:type="character" w:styleId="a7">
    <w:name w:val="Hyperlink"/>
    <w:basedOn w:val="a0"/>
    <w:uiPriority w:val="99"/>
    <w:rsid w:val="00064505"/>
    <w:rPr>
      <w:color w:val="0000FF"/>
      <w:u w:val="single"/>
    </w:rPr>
  </w:style>
  <w:style w:type="character" w:customStyle="1" w:styleId="rvts46">
    <w:name w:val="rvts46"/>
    <w:basedOn w:val="a0"/>
    <w:rsid w:val="00064505"/>
  </w:style>
  <w:style w:type="character" w:customStyle="1" w:styleId="rvts11">
    <w:name w:val="rvts11"/>
    <w:basedOn w:val="a0"/>
    <w:rsid w:val="000645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v1031874-1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3352</Words>
  <Characters>1911</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Жданюк</dc:creator>
  <cp:keywords/>
  <dc:description/>
  <cp:lastModifiedBy>Юлія Печеновська</cp:lastModifiedBy>
  <cp:revision>7</cp:revision>
  <dcterms:created xsi:type="dcterms:W3CDTF">2024-10-15T07:08:00Z</dcterms:created>
  <dcterms:modified xsi:type="dcterms:W3CDTF">2024-10-25T06:57:00Z</dcterms:modified>
</cp:coreProperties>
</file>