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CDDE8" w14:textId="77777777" w:rsidR="002C1A55" w:rsidRPr="00F9156D" w:rsidRDefault="002C1A55" w:rsidP="008938E0">
      <w:pPr>
        <w:spacing w:after="60" w:line="240" w:lineRule="auto"/>
        <w:ind w:left="652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0" w:name="_Hlk159513512"/>
      <w:bookmarkEnd w:id="0"/>
      <w:r w:rsidRPr="00F9156D">
        <w:rPr>
          <w:rFonts w:ascii="Times New Roman" w:hAnsi="Times New Roman" w:cs="Times New Roman"/>
          <w:sz w:val="24"/>
          <w:szCs w:val="24"/>
          <w:lang w:eastAsia="uk-UA"/>
        </w:rPr>
        <w:t xml:space="preserve">Додаток </w:t>
      </w:r>
      <w:r w:rsidR="00D15DE6" w:rsidRPr="00F9156D">
        <w:rPr>
          <w:rFonts w:ascii="Times New Roman" w:hAnsi="Times New Roman" w:cs="Times New Roman"/>
          <w:sz w:val="24"/>
          <w:szCs w:val="24"/>
          <w:lang w:eastAsia="uk-UA"/>
        </w:rPr>
        <w:t>31</w:t>
      </w:r>
    </w:p>
    <w:p w14:paraId="37F9F06A" w14:textId="77777777" w:rsidR="002C1A55" w:rsidRPr="00F9156D" w:rsidRDefault="002C1A55" w:rsidP="008938E0">
      <w:pPr>
        <w:spacing w:after="60" w:line="240" w:lineRule="auto"/>
        <w:ind w:left="652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9156D">
        <w:rPr>
          <w:rFonts w:ascii="Times New Roman" w:hAnsi="Times New Roman" w:cs="Times New Roman"/>
          <w:sz w:val="24"/>
          <w:szCs w:val="24"/>
          <w:lang w:eastAsia="uk-UA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14:paraId="0A88D1E7" w14:textId="77777777" w:rsidR="000F68E8" w:rsidRPr="00F9156D" w:rsidRDefault="000F68E8" w:rsidP="00B56464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3DE931A8" w14:textId="77777777" w:rsidR="00AA1D2E" w:rsidRPr="00F9156D" w:rsidRDefault="00AA1D2E" w:rsidP="00B56464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3622D059" w14:textId="77777777" w:rsidR="00AA1D2E" w:rsidRPr="00F9156D" w:rsidRDefault="00AA1D2E" w:rsidP="00B56464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709FC9C2" w14:textId="77777777" w:rsidR="00B20654" w:rsidRPr="00F9156D" w:rsidRDefault="00FA5CD5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МЕТОДИКА</w:t>
      </w:r>
    </w:p>
    <w:p w14:paraId="3D0C191A" w14:textId="77777777" w:rsidR="00FA5CD5" w:rsidRPr="00F9156D" w:rsidRDefault="009D79ED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визначення сум </w:t>
      </w:r>
      <w:r w:rsidR="00AE6749" w:rsidRPr="00F915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додатково </w:t>
      </w:r>
      <w:r w:rsidRPr="00F915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отриманого або недоотриманого доходу від здійснення діяльності </w:t>
      </w:r>
      <w:r w:rsidR="001A2720" w:rsidRPr="00F915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розподілу природного газу</w:t>
      </w:r>
    </w:p>
    <w:p w14:paraId="142BDD94" w14:textId="77777777" w:rsidR="000F68E8" w:rsidRPr="00F9156D" w:rsidRDefault="000F68E8" w:rsidP="00320A2B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E03627" w14:textId="7D185F5D" w:rsidR="00FA5CD5" w:rsidRPr="00F9156D" w:rsidRDefault="00FA5CD5" w:rsidP="00320A2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1009"/>
      <w:bookmarkEnd w:id="1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Положення цієї Методики застосовуються членами комісії з перевірки під час проведення </w:t>
      </w:r>
      <w:r w:rsidR="008935B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планових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поза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перевірок </w:t>
      </w:r>
      <w:r w:rsidR="00DA08A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DA08A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господарювання</w:t>
      </w:r>
      <w:r w:rsidR="00A871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DA08A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</w:t>
      </w:r>
      <w:r w:rsidR="00CA6E5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провадять</w:t>
      </w:r>
      <w:r w:rsidR="00DA08A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71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господарську </w:t>
      </w:r>
      <w:r w:rsidR="00DA08A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 з розподілу природного газу</w:t>
      </w:r>
      <w:r w:rsidR="00CA6E5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</w:t>
      </w:r>
      <w:r w:rsidR="0067303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CA6E5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Оператори газорозподільної системи, Оператори ГРМ, ліцензіати</w:t>
      </w:r>
      <w:r w:rsidR="009D468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760CB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A1D2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при формуванні проєктів рішень НКРЕКП за результатами перевірок дотримання суб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AA1D2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єктами господарювання вимог законодавства та ліцензійних умов провадження господарської діяльності з розподілу природного газу</w:t>
      </w:r>
      <w:r w:rsidR="00320A2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18A69A2" w14:textId="77777777" w:rsidR="000E6602" w:rsidRPr="00F9156D" w:rsidRDefault="000E6602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03423E" w14:textId="77777777" w:rsidR="0043098E" w:rsidRPr="00F9156D" w:rsidRDefault="00710206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3098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 Під час проведення перевірки перевір</w:t>
      </w:r>
      <w:r w:rsidR="00600B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яється</w:t>
      </w:r>
      <w:r w:rsidR="0043098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достовірність інформації, що зазначена ліцензіатом у відповідних формах звітності, </w:t>
      </w:r>
      <w:r w:rsidR="009D468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також  дотримання ліцензіатами НКРЕКП встановлених структур тарифів </w:t>
      </w:r>
      <w:r w:rsidR="00AA1D2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послуги </w:t>
      </w:r>
      <w:r w:rsidR="009D468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розподілу природного газу</w:t>
      </w:r>
      <w:r w:rsidR="003B110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5F61F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197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 w:rsidR="00D34CB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r w:rsidR="00483A8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442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інвестиційних </w:t>
      </w:r>
      <w:r w:rsidR="00483A8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 </w:t>
      </w:r>
      <w:r w:rsidR="00C65D4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перший рік </w:t>
      </w:r>
      <w:r w:rsidR="00483A8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</w:t>
      </w:r>
      <w:r w:rsidR="002B442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483A8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5D4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десятирічн</w:t>
      </w:r>
      <w:r w:rsidR="002B442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C65D4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A8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</w:t>
      </w:r>
      <w:r w:rsidR="002B442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483A8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</w:t>
      </w:r>
      <w:r w:rsidR="00C65D4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інвестиційна програма</w:t>
      </w:r>
      <w:r w:rsidR="004B29A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ІП</w:t>
      </w:r>
      <w:r w:rsidR="00C65D4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43098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6112EEB" w14:textId="77777777" w:rsidR="000E6602" w:rsidRPr="00F9156D" w:rsidRDefault="000E6602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41EAE1" w14:textId="77777777" w:rsidR="00547D29" w:rsidRPr="00F9156D" w:rsidRDefault="0052773B" w:rsidP="00547D29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1010"/>
      <w:bookmarkStart w:id="3" w:name="n1019"/>
      <w:bookmarkEnd w:id="2"/>
      <w:bookmarkEnd w:id="3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47D2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Звітний рік </w:t>
      </w:r>
      <w:r w:rsidR="00547D2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="00547D2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 діяльності ліцензіата з надання послуг розподілу природного газу, який перевіряється та дорівнює календарному року.</w:t>
      </w:r>
    </w:p>
    <w:p w14:paraId="57DC76CE" w14:textId="77777777" w:rsidR="000E6602" w:rsidRPr="00F9156D" w:rsidRDefault="000E6602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C69819" w14:textId="77777777" w:rsidR="00F53F7A" w:rsidRPr="00F9156D" w:rsidRDefault="0052773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 Джерела</w:t>
      </w:r>
      <w:r w:rsidR="00C615C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ми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</w:t>
      </w:r>
      <w:r w:rsidR="00ED7A4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</w:t>
      </w:r>
      <w:r w:rsidR="00ED7A4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 або поза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</w:t>
      </w:r>
      <w:r w:rsidR="00ED7A4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перевірок </w:t>
      </w:r>
      <w:r w:rsidR="00F53F7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є:</w:t>
      </w:r>
    </w:p>
    <w:p w14:paraId="40C5DA10" w14:textId="77777777" w:rsidR="00366082" w:rsidRPr="00F9156D" w:rsidRDefault="00366082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4B6FA2" w14:textId="77777777" w:rsidR="00FA5CD5" w:rsidRPr="00F9156D" w:rsidRDefault="004B0D14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перевірці питання </w:t>
      </w:r>
      <w:r w:rsidR="009E37E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 структури тариф</w:t>
      </w:r>
      <w:r w:rsidR="00485D0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на послуги розподілу природного газу</w:t>
      </w:r>
      <w:r w:rsidR="009E37E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460648D5" w14:textId="77777777" w:rsidR="00FA5CD5" w:rsidRPr="00F9156D" w:rsidRDefault="00FA5CD5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1020"/>
      <w:bookmarkStart w:id="5" w:name="n1021"/>
      <w:bookmarkEnd w:id="4"/>
      <w:bookmarkEnd w:id="5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</w:t>
      </w:r>
      <w:r w:rsidR="0071239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тарифів, що встановлені відповідними постановами НКРЕКП;</w:t>
      </w:r>
    </w:p>
    <w:p w14:paraId="7A24E8F2" w14:textId="77777777" w:rsidR="00F53F7A" w:rsidRPr="00F9156D" w:rsidRDefault="00F53F7A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 форм звітності, що подаються суб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єктами господарювання у сфері розподілу природного газу відповідно до форм звітності, затверджених постановами НКРЕКП;</w:t>
      </w:r>
    </w:p>
    <w:p w14:paraId="750981D9" w14:textId="77777777" w:rsidR="00F53F7A" w:rsidRPr="00F9156D" w:rsidRDefault="00F53F7A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 установчих, фінансових, бухгалтерських (первинних) документів, статистичної, фінансової та податкової звітності, господарських договорів, розпорядчих та інших документів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 контролю, пов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язаних із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провадженням фінансово-господарської діяльності, веденням бухгалтерського обліку, складенням фінансової звітності (далі </w:t>
      </w:r>
      <w:r w:rsidR="0067303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документи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 контролю);</w:t>
      </w:r>
    </w:p>
    <w:p w14:paraId="08C75E71" w14:textId="77777777" w:rsidR="00366082" w:rsidRPr="00F9156D" w:rsidRDefault="00366082" w:rsidP="00F53F7A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37ECB39" w14:textId="77777777" w:rsidR="00F53F7A" w:rsidRPr="00F9156D" w:rsidRDefault="004B0D14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2)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BE75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перевірці питання</w:t>
      </w:r>
      <w:r w:rsidR="00515B5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</w:t>
      </w:r>
      <w:r w:rsidR="00F53F7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заходів інвестиційних програм:</w:t>
      </w:r>
    </w:p>
    <w:p w14:paraId="12473010" w14:textId="77777777" w:rsidR="000E097D" w:rsidRPr="00F9156D" w:rsidRDefault="000E097D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джерела фінансування </w:t>
      </w:r>
      <w:r w:rsidR="00C1683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планів розвитку (інвестиційних програм)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30C7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</w:t>
      </w:r>
      <w:r w:rsidR="00AE3B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="00230C7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рджені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відповідними постановами НКРЕКП;</w:t>
      </w:r>
    </w:p>
    <w:p w14:paraId="4E054386" w14:textId="73DED55B" w:rsidR="00E972DC" w:rsidRPr="00F9156D" w:rsidRDefault="00C54FF7" w:rsidP="00E71A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звітна інформація ліцензіатів щодо виконання заходів інвестиційн</w:t>
      </w:r>
      <w:r w:rsidR="000430D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 </w:t>
      </w:r>
      <w:r w:rsidR="00B8620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положень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Кодексу газорозподільних систем, затвердженого постановою НКРЕКП від 30</w:t>
      </w:r>
      <w:r w:rsidR="003F351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2015</w:t>
      </w:r>
      <w:r w:rsidR="003F351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 2494</w:t>
      </w:r>
      <w:r w:rsidR="00FC253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Кодекс ГРМ)</w:t>
      </w:r>
      <w:r w:rsidR="00714D0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8E2C65A" w14:textId="100FA787" w:rsidR="00E972DC" w:rsidRPr="00F9156D" w:rsidRDefault="00BB339E" w:rsidP="00E71A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звітна інформація</w:t>
      </w:r>
      <w:r w:rsidR="0052606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ліцензіатів</w:t>
      </w:r>
      <w:r w:rsidR="00714D0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надається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виконання </w:t>
      </w:r>
      <w:r w:rsidR="00B554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рішень </w:t>
      </w:r>
      <w:r w:rsidR="00714D0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НКРЕКП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забезпечення безпеки розподілу природного газу під час дії воєнного стану в Україні;</w:t>
      </w:r>
    </w:p>
    <w:p w14:paraId="6650E589" w14:textId="77777777" w:rsidR="00D46120" w:rsidRPr="00F9156D" w:rsidRDefault="004435C9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1022"/>
      <w:bookmarkEnd w:id="6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первинні документи, що</w:t>
      </w:r>
      <w:r w:rsidR="00E5300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підтверджують </w:t>
      </w:r>
      <w:r w:rsidR="00484C6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фактичне фінансування та виконання заходів інвестиційних програм відповідно до положень</w:t>
      </w:r>
      <w:r w:rsidR="006A7A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пункту 2 глави 5 </w:t>
      </w:r>
      <w:r w:rsidR="005D40E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6A7A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озділу </w:t>
      </w:r>
      <w:r w:rsidR="006A7AB3" w:rsidRPr="00F9156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="00484C6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 ГРМ</w:t>
      </w:r>
      <w:r w:rsidR="009B456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8829F32" w14:textId="77777777" w:rsidR="00FA5CD5" w:rsidRPr="00F9156D" w:rsidRDefault="00FA5CD5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n1023"/>
      <w:bookmarkEnd w:id="7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документів членам комісії з перевірки забезпечується уповноваженою особою ліцензіат</w:t>
      </w:r>
      <w:r w:rsidR="00FE12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строк</w:t>
      </w:r>
      <w:r w:rsidR="002639F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зазначені у запиті на інформацію </w:t>
      </w:r>
      <w:r w:rsidR="005D40E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 w:rsidR="005D40E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переліку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питань перевірки дотримання ліцензіат</w:t>
      </w:r>
      <w:r w:rsidR="00FE12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FE12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вимог законодавства та ліцензійних умов.</w:t>
      </w:r>
    </w:p>
    <w:p w14:paraId="5622269E" w14:textId="77777777" w:rsidR="000E6602" w:rsidRPr="00F9156D" w:rsidRDefault="000E6602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3052FD" w14:textId="77777777" w:rsidR="00FA5CD5" w:rsidRPr="00F9156D" w:rsidRDefault="0052773B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n1024"/>
      <w:bookmarkEnd w:id="8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 В акті перевірки</w:t>
      </w:r>
      <w:r w:rsidR="00B02B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додатках до нього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відображ</w:t>
      </w:r>
      <w:r w:rsidR="005D40E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ається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інформація</w:t>
      </w:r>
      <w:r w:rsidR="00D65CA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зокрема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щодо:</w:t>
      </w:r>
    </w:p>
    <w:p w14:paraId="13EC9AB7" w14:textId="77777777" w:rsidR="00D17400" w:rsidRPr="00F9156D" w:rsidRDefault="00D17400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n1025"/>
      <w:bookmarkEnd w:id="9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тарифів на послуги розподілу природного газу – у грн за 1 м</w:t>
      </w:r>
      <w:r w:rsidRPr="00F915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3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09A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місяць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 точністю до двох знаків після коми, без податку на додану вартість;</w:t>
      </w:r>
    </w:p>
    <w:p w14:paraId="76F81A0C" w14:textId="77777777" w:rsidR="00D17400" w:rsidRPr="00F9156D" w:rsidRDefault="00D17400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елементів витрат р</w:t>
      </w:r>
      <w:r w:rsidR="009D468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чної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планован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ої тарифної виручки структури тарифу</w:t>
      </w:r>
      <w:r w:rsidR="005E775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E775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="008E179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тис. грн з точністю до одного </w:t>
      </w:r>
      <w:proofErr w:type="spellStart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знака</w:t>
      </w:r>
      <w:proofErr w:type="spellEnd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коми, без податку на додану вартість;</w:t>
      </w:r>
    </w:p>
    <w:p w14:paraId="270C27B6" w14:textId="1BD14BD8" w:rsidR="00FA5CD5" w:rsidRPr="00F9156D" w:rsidRDefault="008E1793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фактичних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вартісних показників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E775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 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</w:t>
      </w:r>
      <w:r w:rsidR="005E775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 з точністю до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двох знаків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після коми, </w:t>
      </w:r>
      <w:r w:rsidR="00B27AD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 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 на додану вартість</w:t>
      </w:r>
      <w:r w:rsidR="006D08F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D646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D64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D08F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частині виконання інвестиційної програми – у тис. грн з точністю до одного </w:t>
      </w:r>
      <w:proofErr w:type="spellStart"/>
      <w:r w:rsidR="006D08F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знака</w:t>
      </w:r>
      <w:proofErr w:type="spellEnd"/>
      <w:r w:rsidR="006D08F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коми</w:t>
      </w:r>
      <w:r w:rsidR="00D46BA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без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6BA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 на додану вартість</w:t>
      </w:r>
      <w:r w:rsidR="006D08F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185C3395" w14:textId="77777777" w:rsidR="00E8021D" w:rsidRPr="00F9156D" w:rsidRDefault="00E8021D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кількісних показників </w:t>
      </w:r>
      <w:r w:rsidR="008E179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="008E179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0F9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од. або в км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точністю до </w:t>
      </w:r>
      <w:r w:rsidR="00293D3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одного </w:t>
      </w:r>
      <w:proofErr w:type="spellStart"/>
      <w:r w:rsidR="00293D3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знака</w:t>
      </w:r>
      <w:proofErr w:type="spellEnd"/>
      <w:r w:rsidR="00293D3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коми;</w:t>
      </w:r>
    </w:p>
    <w:p w14:paraId="24339307" w14:textId="77777777" w:rsidR="00C615C7" w:rsidRPr="00F9156D" w:rsidRDefault="008E1793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1026"/>
      <w:bookmarkEnd w:id="10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фактичної </w:t>
      </w:r>
      <w:r w:rsidR="003E16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річної замовленої потужності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3E16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 (об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3E16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єктів) споживачів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703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тис. </w:t>
      </w:r>
      <w:r w:rsidR="00D1740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D17400" w:rsidRPr="00F915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 xml:space="preserve">3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1740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точністю 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двох знаків після коми</w:t>
      </w:r>
      <w:r w:rsidR="00C615C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99C3A59" w14:textId="77777777" w:rsidR="00E4738A" w:rsidRPr="00F9156D" w:rsidRDefault="00E4738A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показників у відсотковому значенні – у % з точністю до двох </w:t>
      </w:r>
      <w:r w:rsidR="00D1740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знаків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коми;</w:t>
      </w:r>
    </w:p>
    <w:p w14:paraId="29775B20" w14:textId="77777777" w:rsidR="00E4738A" w:rsidRPr="00F9156D" w:rsidRDefault="00E4738A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показників у відносних одиницях – у в. о. з точністю до чотирьох </w:t>
      </w:r>
      <w:r w:rsidR="00D1740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знаків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коми</w:t>
      </w:r>
      <w:bookmarkStart w:id="11" w:name="n1027"/>
      <w:bookmarkStart w:id="12" w:name="n1028"/>
      <w:bookmarkEnd w:id="11"/>
      <w:bookmarkEnd w:id="12"/>
      <w:r w:rsidR="008424D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A437D33" w14:textId="77777777" w:rsidR="00E71A3E" w:rsidRPr="00F9156D" w:rsidRDefault="00E71A3E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1029"/>
      <w:bookmarkEnd w:id="13"/>
    </w:p>
    <w:p w14:paraId="1CBDBB04" w14:textId="4B1EDE50" w:rsidR="00D17400" w:rsidRPr="00F9156D" w:rsidRDefault="00E4738A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A541E" w:rsidRPr="00F9156D">
        <w:rPr>
          <w:rFonts w:ascii="Times New Roman" w:hAnsi="Times New Roman" w:cs="Times New Roman"/>
          <w:sz w:val="28"/>
          <w:szCs w:val="28"/>
        </w:rPr>
        <w:t>З метою визначення об</w:t>
      </w:r>
      <w:r w:rsidR="00B20654" w:rsidRPr="00F9156D">
        <w:rPr>
          <w:rFonts w:ascii="Times New Roman" w:hAnsi="Times New Roman" w:cs="Times New Roman"/>
          <w:sz w:val="28"/>
          <w:szCs w:val="28"/>
        </w:rPr>
        <w:t>’</w:t>
      </w:r>
      <w:r w:rsidR="00EA541E" w:rsidRPr="00F9156D">
        <w:rPr>
          <w:rFonts w:ascii="Times New Roman" w:hAnsi="Times New Roman" w:cs="Times New Roman"/>
          <w:sz w:val="28"/>
          <w:szCs w:val="28"/>
        </w:rPr>
        <w:t xml:space="preserve">єктивної суми коштів, отриманої для фінансування ліцензованої діяльності, при проведенні </w:t>
      </w:r>
      <w:r w:rsidR="00221E95" w:rsidRPr="00F9156D">
        <w:rPr>
          <w:rFonts w:ascii="Times New Roman" w:hAnsi="Times New Roman" w:cs="Times New Roman"/>
          <w:sz w:val="28"/>
          <w:szCs w:val="28"/>
        </w:rPr>
        <w:t>планов</w:t>
      </w:r>
      <w:r w:rsidR="00EA541E" w:rsidRPr="00F9156D">
        <w:rPr>
          <w:rFonts w:ascii="Times New Roman" w:hAnsi="Times New Roman" w:cs="Times New Roman"/>
          <w:sz w:val="28"/>
          <w:szCs w:val="28"/>
        </w:rPr>
        <w:t>их та поза</w:t>
      </w:r>
      <w:r w:rsidR="00202564" w:rsidRPr="00F9156D">
        <w:rPr>
          <w:rFonts w:ascii="Times New Roman" w:hAnsi="Times New Roman" w:cs="Times New Roman"/>
          <w:sz w:val="28"/>
          <w:szCs w:val="28"/>
        </w:rPr>
        <w:t>планов</w:t>
      </w:r>
      <w:r w:rsidR="00EA541E" w:rsidRPr="00F9156D">
        <w:rPr>
          <w:rFonts w:ascii="Times New Roman" w:hAnsi="Times New Roman" w:cs="Times New Roman"/>
          <w:sz w:val="28"/>
          <w:szCs w:val="28"/>
        </w:rPr>
        <w:t>их перевірок в акті перевірки, зокрема, фіксуються такі показники</w:t>
      </w:r>
      <w:bookmarkStart w:id="14" w:name="n1030"/>
      <w:bookmarkEnd w:id="14"/>
      <w:r w:rsidR="008424D1" w:rsidRPr="00F9156D">
        <w:rPr>
          <w:rFonts w:ascii="Times New Roman" w:hAnsi="Times New Roman" w:cs="Times New Roman"/>
          <w:sz w:val="28"/>
          <w:szCs w:val="28"/>
        </w:rPr>
        <w:t>:</w:t>
      </w:r>
    </w:p>
    <w:p w14:paraId="35BC39FB" w14:textId="77777777" w:rsidR="000C0137" w:rsidRPr="00F9156D" w:rsidRDefault="000C0137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092E80" w14:textId="77777777" w:rsidR="00C041B1" w:rsidRPr="00F9156D" w:rsidRDefault="00FA5CD5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</w:t>
      </w:r>
      <w:r w:rsidR="00604CC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E478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річн</w:t>
      </w:r>
      <w:r w:rsidR="00604CC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FE478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замовлен</w:t>
      </w:r>
      <w:r w:rsidR="00604CC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FE478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потужн</w:t>
      </w:r>
      <w:r w:rsidR="00604CC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FE478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r w:rsidR="00604CC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="00FE478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41B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розподілу природного газу з урахуванням </w:t>
      </w:r>
      <w:r w:rsidR="00EC5B5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перевищення</w:t>
      </w:r>
      <w:r w:rsidR="00AE674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41B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фактичного обсягу використання потужності споживачами над річною замовленою потужністю (об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C041B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єкта)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C041B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споживачів, що не є побутовими;</w:t>
      </w:r>
    </w:p>
    <w:p w14:paraId="28498F96" w14:textId="77777777" w:rsidR="000C0137" w:rsidRPr="00F9156D" w:rsidRDefault="000C0137" w:rsidP="00BF6479">
      <w:pPr>
        <w:pStyle w:val="ac"/>
        <w:shd w:val="clear" w:color="auto" w:fill="FFFFFF"/>
        <w:tabs>
          <w:tab w:val="left" w:pos="1134"/>
        </w:tabs>
        <w:spacing w:after="6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91631FA" w14:textId="77777777" w:rsidR="00C041B1" w:rsidRPr="00F9156D" w:rsidRDefault="00C041B1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1031"/>
      <w:bookmarkEnd w:id="15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фактична сума нарахованого доходу, </w:t>
      </w:r>
      <w:r w:rsidR="00D1740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підсумками звітного року, що перевіряється, відповідно до фактичних нарахувань ліцензіатом за укладеними договорами, актами, іншими первинними або розрахунковими документами, які підтверджують надання послуг розподілу природного газу, відповідно до даних </w:t>
      </w:r>
      <w:hyperlink r:id="rId8" w:anchor="n859" w:tgtFrame="_blank" w:history="1">
        <w:r w:rsidRPr="00F9156D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форм звітності № 8б-НКРЕКП-газ-моніторинг (квартальна) «Звіт про застосування тарифів на послуги розподілу природного газу»</w:t>
        </w:r>
      </w:hyperlink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</w:t>
      </w:r>
      <w:r w:rsidRPr="00F9156D">
        <w:rPr>
          <w:rFonts w:ascii="Times New Roman" w:hAnsi="Times New Roman" w:cs="Times New Roman"/>
          <w:sz w:val="28"/>
          <w:szCs w:val="28"/>
          <w:lang w:eastAsia="uk-UA"/>
        </w:rPr>
        <w:sym w:font="Symbol" w:char="F02D"/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форма </w:t>
      </w:r>
      <w:r w:rsidR="00640FD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№ 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8б-НКРЕКП) та № 8г-НКРЕКП-газ-моніторинг (річна) «Звіт про застосування тарифів на послуги розподілу природного газу» (далі </w:t>
      </w:r>
      <w:r w:rsidRPr="00F9156D">
        <w:rPr>
          <w:rFonts w:ascii="Times New Roman" w:hAnsi="Times New Roman" w:cs="Times New Roman"/>
          <w:sz w:val="28"/>
          <w:szCs w:val="28"/>
          <w:lang w:eastAsia="uk-UA"/>
        </w:rPr>
        <w:sym w:font="Symbol" w:char="F02D"/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форма </w:t>
      </w:r>
      <w:r w:rsidR="0059504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№ 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8г-НКРЕКП), затверджених постановою НКРЕКП від</w:t>
      </w:r>
      <w:r w:rsidR="000C013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07</w:t>
      </w:r>
      <w:r w:rsidR="000C013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липня </w:t>
      </w:r>
      <w:r w:rsidR="00DA66A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2016</w:t>
      </w:r>
      <w:r w:rsidR="000C013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  <w:r w:rsidR="0059504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№ 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1234</w:t>
      </w:r>
      <w:r w:rsidR="002259C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доходів від перевищення фактичного обсягу використання потужності споживачами, що не є побутовими, доходу, отриманого у зв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2259C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 з порушеннями вимог Кодексу ГРМ, унаслідок яких здійснюються донарахування, та доходу від неврегульованого небалансу</w:t>
      </w:r>
      <w:r w:rsidR="0025300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3881E68" w14:textId="77777777" w:rsidR="00253005" w:rsidRPr="00F9156D" w:rsidRDefault="00253005" w:rsidP="00E71A3E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036CC6" w14:textId="77777777" w:rsidR="00145297" w:rsidRPr="00F9156D" w:rsidRDefault="008A5954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1035"/>
      <w:bookmarkStart w:id="17" w:name="n1032"/>
      <w:bookmarkEnd w:id="16"/>
      <w:bookmarkEnd w:id="17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додатково отриманий (недоотриманий) дохід ліцензіата внаслідок збільшення (зменшення) фактичного обсягу наданих послуг порівняно з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ним, врахованим у встановленій структурі тарифу на послуги розподілу природного газу</w:t>
      </w:r>
      <w:r w:rsidR="00D57E1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670BE79" w14:textId="77777777" w:rsidR="00E4738A" w:rsidRPr="00F9156D" w:rsidRDefault="008A5954" w:rsidP="00E71A3E">
      <w:pPr>
        <w:pStyle w:val="ac"/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Такий дохід визначається на підставі фактичного обсягу </w:t>
      </w:r>
      <w:r w:rsidR="0055228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річної замовленої потужності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5228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 (об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5228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єктів) споживачів з урахуванням перевищення фактичного обсягу використання потужності споживачами над річною замовленою потужністю (об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5228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єкта)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5228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споживачів, що не є побутовими, а також з урахуванням доходу, отриманого у зв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5228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 з порушеннями вимог Кодексу ГРМ, унаслідок яких здійснюються донарахування, та доходу від неврегульованого небалансу</w:t>
      </w:r>
      <w:r w:rsidR="00E4738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формулою</w:t>
      </w:r>
    </w:p>
    <w:p w14:paraId="4E47F9EE" w14:textId="77777777" w:rsidR="008F4AE9" w:rsidRPr="00F9156D" w:rsidRDefault="00577421" w:rsidP="00E71A3E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uk-UA"/>
              </w:rPr>
            </m:ctrlPr>
          </m:sSubSup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uk-UA"/>
                  </w:rPr>
                  <m:t>ДД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uk-U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uk-UA"/>
                      </w:rPr>
                      <m:t>НД</m:t>
                    </m:r>
                  </m:e>
                </m:d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uk-UA"/>
                  </w:rPr>
                  <m:t>t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=Д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ф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8"/>
            <w:lang w:eastAsia="uk-UA"/>
          </w:rPr>
          <m:t xml:space="preserve">-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п</m:t>
            </m:r>
          </m:sup>
        </m:sSubSup>
      </m:oMath>
      <w:r w:rsidR="00E4738A" w:rsidRPr="00EF7676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uk-UA"/>
        </w:rPr>
        <w:t xml:space="preserve"> </w:t>
      </w:r>
      <w:r w:rsidR="008F4AE9" w:rsidRPr="00EF7676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uk-UA"/>
        </w:rPr>
        <w:t>(тис. грн)</w:t>
      </w:r>
      <w:r w:rsidR="008F4AE9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9D4688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         (1)</w:t>
      </w:r>
    </w:p>
    <w:p w14:paraId="3A4BEE5C" w14:textId="77777777" w:rsidR="00E4738A" w:rsidRPr="00F9156D" w:rsidRDefault="00E4738A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</w:t>
      </w:r>
      <m:oMath>
        <m:r>
          <w:rPr>
            <w:rFonts w:ascii="Cambria Math" w:eastAsia="Times New Roman" w:hAnsi="Cambria Math" w:cs="Times New Roman"/>
            <w:color w:val="333333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333333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333333"/>
                <w:sz w:val="28"/>
                <w:szCs w:val="28"/>
                <w:lang w:eastAsia="uk-UA"/>
              </w:rPr>
              <m:t>Д</m:t>
            </m:r>
          </m:e>
          <m:sub>
            <m:r>
              <w:rPr>
                <w:rFonts w:ascii="Cambria Math" w:eastAsia="Times New Roman" w:hAnsi="Cambria Math" w:cs="Times New Roman"/>
                <w:color w:val="333333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color w:val="333333"/>
                <w:sz w:val="28"/>
                <w:szCs w:val="28"/>
                <w:lang w:eastAsia="uk-UA"/>
              </w:rPr>
              <m:t>ф</m:t>
            </m:r>
          </m:sup>
        </m:sSubSup>
      </m:oMath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4AE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468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фактична</w:t>
      </w:r>
      <w:r w:rsidR="008F4AE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272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нарахованого доходу</w:t>
      </w:r>
      <w:r w:rsidR="00CD346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071D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(виручки)</w:t>
      </w:r>
      <w:r w:rsidR="0096272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підсумками звітного року</w:t>
      </w:r>
      <w:r w:rsidR="00962720" w:rsidRPr="00F9156D" w:rsidDel="008F4A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623B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реалізації послуг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розподілу природного газу </w:t>
      </w:r>
      <w:r w:rsidR="0005417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звітному році</w:t>
      </w:r>
      <w:r w:rsidR="0083618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t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визначається на підставі фактичного обсягу річної замовленої потужності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 (об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єктів) споживачів з урахуванням перевищення фактичного обсягу використання потужності споживачами над річною замовленою потужністю (об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єкта)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споживачів, що не є побутовими, а також з урахуванням доходу, отриманого у зв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 з порушеннями вимог Кодексу ГРМ, унаслідок яких здійснюються донарахування, та доходу від неврегульованого небалансу</w:t>
      </w:r>
      <w:r w:rsidR="001E6B7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E042388" w14:textId="77777777" w:rsidR="004E2C9E" w:rsidRPr="00F9156D" w:rsidRDefault="00577421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333333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333333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Times New Roman"/>
                <w:color w:val="333333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color w:val="333333"/>
                <w:sz w:val="28"/>
                <w:szCs w:val="28"/>
                <w:lang w:eastAsia="uk-UA"/>
              </w:rPr>
              <m:t>п</m:t>
            </m:r>
          </m:sup>
        </m:sSubSup>
      </m:oMath>
      <w:r w:rsidR="00E4738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E4738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434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планована</w:t>
      </w:r>
      <w:r w:rsidR="008F4AE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річна</w:t>
      </w:r>
      <w:r w:rsidR="00E4738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тарифна виручка, передбачена 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структурою тарифу </w:t>
      </w:r>
      <w:r w:rsidR="00E4738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послуги розподілу природного газу</w:t>
      </w:r>
      <w:r w:rsidR="004E2C9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встановленою НКРЕКП.</w:t>
      </w:r>
    </w:p>
    <w:p w14:paraId="4FD3BF4B" w14:textId="77777777" w:rsidR="00E4738A" w:rsidRPr="00F9156D" w:rsidRDefault="004E2C9E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У випадку дії протягом звітного року декількох структур тарифів величина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uk-UA"/>
              </w:rPr>
              <m:t>п</m:t>
            </m:r>
          </m:sup>
        </m:sSubSup>
      </m:oMath>
      <w:r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визначається як середньозважене значення</w:t>
      </w:r>
      <w:r w:rsidR="00E4738A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006A6E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 формулою</w:t>
      </w:r>
    </w:p>
    <w:p w14:paraId="095E8481" w14:textId="77777777" w:rsidR="009316B5" w:rsidRPr="00F9156D" w:rsidRDefault="00577421" w:rsidP="00E71A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ТВ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t.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</m:sup>
          <m:e>
            <m:f>
              <m:f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ТВ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і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·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12</m:t>
                </m:r>
              </m:den>
            </m:f>
          </m:e>
        </m:nary>
      </m:oMath>
      <w:r w:rsidR="009316B5" w:rsidRPr="00EF7676">
        <w:rPr>
          <w:rFonts w:ascii="Cambria Math" w:eastAsia="Times New Roman" w:hAnsi="Cambria Math" w:cs="Times New Roman"/>
          <w:color w:val="000000" w:themeColor="text1"/>
          <w:sz w:val="28"/>
          <w:szCs w:val="28"/>
        </w:rPr>
        <w:t xml:space="preserve"> </w:t>
      </w:r>
      <w:r w:rsidR="009316B5" w:rsidRPr="00EF7676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uk-UA"/>
        </w:rPr>
        <w:t>(тис. грн)</w:t>
      </w:r>
      <w:r w:rsidR="009316B5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9D4688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(2)</w:t>
      </w:r>
    </w:p>
    <w:p w14:paraId="0A0DFDB1" w14:textId="77777777" w:rsidR="009316B5" w:rsidRPr="00F9156D" w:rsidRDefault="009316B5" w:rsidP="00E71A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</w:rPr>
      </w:pPr>
      <w:r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</w:t>
      </w:r>
      <w:r w:rsidR="00D77A55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ТВ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і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</m:t>
            </m:r>
          </m:sup>
        </m:sSubSup>
      </m:oMath>
      <w:r w:rsidRPr="00F9156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6D08F6" w:rsidRPr="00F9156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–</w:t>
      </w:r>
      <w:r w:rsidR="00006A6E" w:rsidRPr="00F9156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02564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планов</w:t>
      </w:r>
      <w:r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ана річна тарифна виручка</w:t>
      </w:r>
      <w:r w:rsidRPr="00F9156D">
        <w:rPr>
          <w:rFonts w:ascii="Times New Roman" w:hAnsi="Times New Roman" w:cs="Times New Roman"/>
          <w:color w:val="000000" w:themeColor="text1"/>
          <w:sz w:val="28"/>
        </w:rPr>
        <w:t xml:space="preserve"> згідно </w:t>
      </w:r>
      <w:r w:rsidR="00962692" w:rsidRPr="00F9156D">
        <w:rPr>
          <w:rFonts w:ascii="Times New Roman" w:hAnsi="Times New Roman" w:cs="Times New Roman"/>
          <w:color w:val="000000" w:themeColor="text1"/>
          <w:sz w:val="28"/>
        </w:rPr>
        <w:t xml:space="preserve">з </w:t>
      </w:r>
      <w:r w:rsidRPr="00F9156D">
        <w:rPr>
          <w:rFonts w:ascii="Times New Roman" w:hAnsi="Times New Roman" w:cs="Times New Roman"/>
          <w:color w:val="000000" w:themeColor="text1"/>
          <w:sz w:val="28"/>
        </w:rPr>
        <w:t>встановлено</w:t>
      </w:r>
      <w:r w:rsidR="00962692" w:rsidRPr="00F9156D">
        <w:rPr>
          <w:rFonts w:ascii="Times New Roman" w:hAnsi="Times New Roman" w:cs="Times New Roman"/>
          <w:color w:val="000000" w:themeColor="text1"/>
          <w:sz w:val="28"/>
        </w:rPr>
        <w:t>ю</w:t>
      </w:r>
      <w:r w:rsidRPr="00F9156D">
        <w:rPr>
          <w:rFonts w:ascii="Times New Roman" w:hAnsi="Times New Roman" w:cs="Times New Roman"/>
          <w:color w:val="000000" w:themeColor="text1"/>
          <w:sz w:val="28"/>
        </w:rPr>
        <w:t xml:space="preserve"> структур</w:t>
      </w:r>
      <w:r w:rsidR="00962692" w:rsidRPr="00F9156D">
        <w:rPr>
          <w:rFonts w:ascii="Times New Roman" w:hAnsi="Times New Roman" w:cs="Times New Roman"/>
          <w:color w:val="000000" w:themeColor="text1"/>
          <w:sz w:val="28"/>
        </w:rPr>
        <w:t>ою</w:t>
      </w:r>
      <w:r w:rsidRPr="00F9156D">
        <w:rPr>
          <w:rFonts w:ascii="Times New Roman" w:hAnsi="Times New Roman" w:cs="Times New Roman"/>
          <w:color w:val="000000" w:themeColor="text1"/>
          <w:sz w:val="28"/>
        </w:rPr>
        <w:t xml:space="preserve"> тарифу </w:t>
      </w:r>
      <w:r w:rsidRPr="00F9156D">
        <w:rPr>
          <w:rFonts w:ascii="Times New Roman" w:hAnsi="Times New Roman" w:cs="Times New Roman"/>
          <w:i/>
          <w:color w:val="000000" w:themeColor="text1"/>
          <w:sz w:val="28"/>
        </w:rPr>
        <w:t>і;</w:t>
      </w:r>
    </w:p>
    <w:p w14:paraId="55CA24F3" w14:textId="77777777" w:rsidR="009316B5" w:rsidRPr="00F9156D" w:rsidRDefault="00577421" w:rsidP="00E71A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i</m:t>
            </m:r>
          </m:sub>
        </m:sSub>
      </m:oMath>
      <w:r w:rsidR="009316B5" w:rsidRPr="00F9156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316B5" w:rsidRPr="00F9156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– кількість місяців, протягом яких застосовувалась структура тарифу</w:t>
      </w:r>
      <w:r w:rsidR="009316B5" w:rsidRPr="00F9156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  <w:t xml:space="preserve"> і</w:t>
      </w:r>
      <w:r w:rsidR="009316B5" w:rsidRPr="00F9156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;</w:t>
      </w:r>
    </w:p>
    <w:p w14:paraId="46F85A37" w14:textId="77777777" w:rsidR="009316B5" w:rsidRPr="00F9156D" w:rsidRDefault="009316B5" w:rsidP="00E71A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9156D">
        <w:rPr>
          <w:rFonts w:ascii="Times New Roman" w:hAnsi="Times New Roman" w:cs="Times New Roman"/>
          <w:color w:val="000000" w:themeColor="text1"/>
          <w:sz w:val="28"/>
        </w:rPr>
        <w:t>n – кількість структур тарифу Оператора ГРМ, що застосовувались впродовж звітного року</w:t>
      </w:r>
      <w:r w:rsidR="00962692" w:rsidRPr="00F9156D">
        <w:rPr>
          <w:rFonts w:ascii="Times New Roman" w:hAnsi="Times New Roman" w:cs="Times New Roman"/>
          <w:color w:val="000000" w:themeColor="text1"/>
          <w:sz w:val="28"/>
        </w:rPr>
        <w:t>;</w:t>
      </w:r>
    </w:p>
    <w:p w14:paraId="40A9C4F3" w14:textId="77777777" w:rsidR="00962692" w:rsidRPr="00F9156D" w:rsidRDefault="00962692" w:rsidP="00E71A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BF5775E" w14:textId="77777777" w:rsidR="008B7859" w:rsidRPr="00F9156D" w:rsidRDefault="007071D3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фактична сума витрат відповідно до даних </w:t>
      </w:r>
      <w:hyperlink r:id="rId9" w:anchor="n859" w:tgtFrame="_blank" w:history="1">
        <w:r w:rsidRPr="00F9156D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форм № 8б-НКРЕКП</w:t>
        </w:r>
      </w:hyperlink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форми № 8г-НКРЕКП, а також згідно </w:t>
      </w:r>
      <w:r w:rsidR="00E6643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дани</w:t>
      </w:r>
      <w:r w:rsidR="00B54E9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перевірки первинної документації за всіма статтями витрат, встановленої структури тарифу, підтверджені даними бухгалтерського та податкового обліку;</w:t>
      </w:r>
    </w:p>
    <w:p w14:paraId="22F129DE" w14:textId="77777777" w:rsidR="007071D3" w:rsidRPr="00F9156D" w:rsidRDefault="007071D3" w:rsidP="00E71A3E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недофінансування (економія) або сума перевитрат за </w:t>
      </w:r>
      <w:r w:rsidR="008168F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елементами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витрат структури тарифів у звітному році;</w:t>
      </w:r>
    </w:p>
    <w:p w14:paraId="18DFDF86" w14:textId="77777777" w:rsidR="008B7859" w:rsidRPr="00F9156D" w:rsidRDefault="008B7859" w:rsidP="00E71A3E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фактична сума витрат, </w:t>
      </w:r>
      <w:r w:rsidR="000741D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пов’язаних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ремонтом пошкодженої внаслідок воєнних дій інфраструктури та здійсненням заходів із запобігання настанню кризових </w:t>
      </w:r>
      <w:r w:rsidR="000741D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гуманітарних ситуацій, відповідно до переліку, затвердженого постановою Кабінету Міністрів України від 13</w:t>
      </w:r>
      <w:r w:rsidR="0017233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</w:t>
      </w:r>
      <w:r w:rsidR="000741D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2024</w:t>
      </w:r>
      <w:r w:rsidR="0017233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0741D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1057</w:t>
      </w:r>
      <w:r w:rsidR="0058544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F8EE228" w14:textId="77777777" w:rsidR="00585441" w:rsidRPr="00F9156D" w:rsidRDefault="00585441" w:rsidP="00E71A3E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23793B6" w14:textId="2C93ED1C" w:rsidR="003C32E7" w:rsidRPr="00F9156D" w:rsidRDefault="003C32E7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фактична вартість газу на нормативні та виробничо-технологічні втрати/витрати природного газу та </w:t>
      </w:r>
      <w:r w:rsidR="007071D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фактичні обсяги нормативних та виробничо-технологічних втрат/витрат природного газу</w:t>
      </w:r>
      <w:r w:rsidR="00890F4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тому числі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фактичні обсяги </w:t>
      </w:r>
      <w:r w:rsidR="002109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вартість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позитивних/негативних небалансів</w:t>
      </w:r>
      <w:r w:rsidR="00052FCF" w:rsidRPr="00F9156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052F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Оператора ГРМ;</w:t>
      </w:r>
    </w:p>
    <w:p w14:paraId="092AA1A2" w14:textId="7E3397A4" w:rsidR="000C162A" w:rsidRPr="00F9156D" w:rsidRDefault="00052FCF" w:rsidP="00E71A3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0C16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разі наявності несанкціонованого відбору природного газу споживачами додатково, з урахуванням даних актів </w:t>
      </w:r>
      <w:r w:rsidR="000C162A" w:rsidRPr="00F9156D">
        <w:rPr>
          <w:rFonts w:ascii="Times New Roman" w:eastAsia="Calibri" w:hAnsi="Times New Roman" w:cs="Times New Roman"/>
          <w:sz w:val="28"/>
          <w:szCs w:val="28"/>
          <w:lang w:val="x-none" w:eastAsia="uk-UA"/>
        </w:rPr>
        <w:t>про несанкціонований відбір</w:t>
      </w:r>
      <w:r w:rsidR="000C162A" w:rsidRPr="00F9156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природного газу,</w:t>
      </w:r>
      <w:r w:rsidR="000C16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зазначається:</w:t>
      </w:r>
    </w:p>
    <w:p w14:paraId="438788A3" w14:textId="1C4D73E1" w:rsidR="000C162A" w:rsidRPr="00F9156D" w:rsidRDefault="000C162A" w:rsidP="00E71A3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обсяг несанкціонованого відбору </w:t>
      </w:r>
      <w:r w:rsidR="000609A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споживачами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Pr="00F9156D">
        <w:rPr>
          <w:rFonts w:ascii="Times New Roman" w:hAnsi="Times New Roman" w:cs="Times New Roman"/>
          <w:sz w:val="28"/>
          <w:szCs w:val="28"/>
          <w:lang w:eastAsia="uk-UA"/>
        </w:rPr>
        <w:t>тис. м</w:t>
      </w:r>
      <w:r w:rsidRPr="00F9156D">
        <w:rPr>
          <w:rFonts w:ascii="Times New Roman" w:hAnsi="Times New Roman" w:cs="Times New Roman"/>
          <w:sz w:val="28"/>
          <w:szCs w:val="28"/>
          <w:vertAlign w:val="superscript"/>
          <w:lang w:eastAsia="uk-UA"/>
        </w:rPr>
        <w:t>3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4191A550" w14:textId="47576061" w:rsidR="000C162A" w:rsidRPr="00F9156D" w:rsidRDefault="000C162A" w:rsidP="00E71A3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 плати за несанкціонований відбір, що підлягає оплаті</w:t>
      </w:r>
      <w:r w:rsidR="00890F4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Оператором ГРМ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оператору газотранспортної системи за такі обсяг</w:t>
      </w:r>
      <w:r w:rsidR="008B015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несанкціонованого відбору споживачів 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98357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 без ПДВ;</w:t>
      </w:r>
    </w:p>
    <w:p w14:paraId="0B7FCE93" w14:textId="77777777" w:rsidR="000C162A" w:rsidRPr="00F9156D" w:rsidRDefault="000C162A" w:rsidP="00E71A3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 плати за несанкціонований відбір, що підлягає оплаті Оператору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ГРМ споживачами в тис. грн без ПДВ</w:t>
      </w:r>
      <w:r w:rsidR="005658B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41248F14" w14:textId="77777777" w:rsidR="00581C57" w:rsidRPr="00F9156D" w:rsidRDefault="00581C57" w:rsidP="00E71A3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91DC84" w14:textId="77777777" w:rsidR="00FD079B" w:rsidRPr="00F9156D" w:rsidRDefault="00EC3A30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710"/>
          <w:tab w:val="left" w:pos="851"/>
          <w:tab w:val="left" w:pos="993"/>
        </w:tabs>
        <w:spacing w:after="0" w:line="240" w:lineRule="auto"/>
        <w:ind w:left="0" w:firstLine="71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коштів джерел фінансування</w:t>
      </w:r>
      <w:r w:rsidR="00137AC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20D8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</w:t>
      </w:r>
      <w:r w:rsidR="0001426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420D8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відповідними постановами НКРЕКП</w:t>
      </w:r>
      <w:r w:rsidR="00137AC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9029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5E2FA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фактично нарахован</w:t>
      </w:r>
      <w:r w:rsidR="0099401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5E2FA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джерел фінансування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інвестиційн</w:t>
      </w:r>
      <w:r w:rsidR="000E7BE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FD079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0C57D29" w14:textId="77777777" w:rsidR="00581C57" w:rsidRPr="00F9156D" w:rsidRDefault="00581C57" w:rsidP="00E71A3E">
      <w:pPr>
        <w:pStyle w:val="ac"/>
        <w:shd w:val="clear" w:color="auto" w:fill="FFFFFF"/>
        <w:tabs>
          <w:tab w:val="left" w:pos="710"/>
          <w:tab w:val="left" w:pos="851"/>
          <w:tab w:val="left" w:pos="993"/>
        </w:tabs>
        <w:spacing w:after="0" w:line="240" w:lineRule="auto"/>
        <w:ind w:left="71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5F5321" w14:textId="77777777" w:rsidR="007617FE" w:rsidRPr="00F9156D" w:rsidRDefault="005E5AD8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710"/>
          <w:tab w:val="left" w:pos="851"/>
          <w:tab w:val="left" w:pos="993"/>
        </w:tabs>
        <w:spacing w:after="0" w:line="240" w:lineRule="auto"/>
        <w:ind w:left="0" w:firstLine="71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коштів</w:t>
      </w:r>
      <w:r w:rsidR="00EC3A3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фактичного </w:t>
      </w:r>
      <w:r w:rsidR="00A57D5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обсягу </w:t>
      </w:r>
      <w:r w:rsidR="00EC3A3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фінансування</w:t>
      </w:r>
      <w:r w:rsidR="0099401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фактичного виконання</w:t>
      </w:r>
      <w:r w:rsidR="001E232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</w:t>
      </w:r>
      <w:r w:rsidR="00BC5B0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ІП</w:t>
      </w:r>
      <w:r w:rsidR="002345A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57BF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вартісному </w:t>
      </w:r>
      <w:r w:rsidR="00252CB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вимірі </w:t>
      </w:r>
      <w:r w:rsidR="001E232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звітної інформації </w:t>
      </w:r>
      <w:r w:rsidR="00BB6F2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формою</w:t>
      </w:r>
      <w:r w:rsidR="004C557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BB6F2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E232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наведен</w:t>
      </w:r>
      <w:r w:rsidR="000F247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BB6F2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1E232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додатку 14 </w:t>
      </w:r>
      <w:r w:rsidR="00581C5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1E232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Кодексу ГРМ</w:t>
      </w:r>
      <w:r w:rsidR="0094070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77C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 </w:t>
      </w:r>
      <w:r w:rsidR="0099401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підтвердже</w:t>
      </w:r>
      <w:r w:rsidR="00001D7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но документами</w:t>
      </w:r>
      <w:r w:rsidR="00C4310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01D7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пункту 2 глави 5 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розділу </w:t>
      </w:r>
      <w:r w:rsidR="007617FE" w:rsidRPr="00F9156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="007617F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 ГРМ</w:t>
      </w:r>
      <w:r w:rsidR="005658B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B04EC89" w14:textId="77777777" w:rsidR="00581C57" w:rsidRPr="00F9156D" w:rsidRDefault="00581C57" w:rsidP="00E71A3E">
      <w:pPr>
        <w:shd w:val="clear" w:color="auto" w:fill="FFFFFF"/>
        <w:tabs>
          <w:tab w:val="left" w:pos="710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F30B8D" w14:textId="77777777" w:rsidR="00361251" w:rsidRPr="00F9156D" w:rsidRDefault="00FD0494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1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обсяги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</w:t>
      </w:r>
      <w:r w:rsidR="007617F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них,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фактично </w:t>
      </w:r>
      <w:r w:rsidR="00925A3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</w:t>
      </w:r>
      <w:r w:rsidR="00925A3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ованих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925A3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фактично</w:t>
      </w:r>
      <w:r w:rsidR="007617F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виконаних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у кількісному вимірі</w:t>
      </w:r>
      <w:r w:rsidR="001C287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50EFA83" w14:textId="1CDEF028" w:rsidR="00472A28" w:rsidRPr="00F9156D" w:rsidRDefault="00472A28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Показники та інформація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зазначені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підпункт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73BD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287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му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4F4BF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F5BC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відображаються </w:t>
      </w:r>
      <w:r w:rsidR="006B227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акті перевірки 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формою, наведеною в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додатку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D34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цієї Методики</w:t>
      </w:r>
      <w:r w:rsidR="001C287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AAD48B5" w14:textId="77777777" w:rsidR="001C2872" w:rsidRPr="00F9156D" w:rsidRDefault="001C2872" w:rsidP="00E71A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CB2EC9" w14:textId="2FAFDDAA" w:rsidR="009D2129" w:rsidRPr="00F9156D" w:rsidRDefault="00E4355B" w:rsidP="00E71A3E">
      <w:pPr>
        <w:pStyle w:val="ac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1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економія коштів при </w:t>
      </w:r>
      <w:r w:rsidR="001B7EA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фактичному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виконанні заходів</w:t>
      </w:r>
      <w:r w:rsidR="00CD6EB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41B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ІП 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98357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D6EB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розрізі за джерелами</w:t>
      </w:r>
      <w:r w:rsidR="0099392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F128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фінансування </w:t>
      </w:r>
      <w:r w:rsidR="0099392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ІП</w:t>
      </w:r>
      <w:r w:rsidR="00B025E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визначається</w:t>
      </w:r>
      <w:r w:rsidR="00806CB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494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 </w:t>
      </w:r>
      <w:r w:rsidR="00806CB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складових</w:t>
      </w:r>
      <w:r w:rsidR="00C6348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212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формулою</w:t>
      </w:r>
    </w:p>
    <w:p w14:paraId="51CE7F21" w14:textId="77777777" w:rsidR="00ED6669" w:rsidRPr="00F9156D" w:rsidRDefault="00C6348A" w:rsidP="00E71A3E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 =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≥100% вик</m:t>
            </m:r>
          </m:sub>
        </m:sSub>
      </m:oMath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+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вик&lt;100%</m:t>
            </m:r>
          </m:sub>
        </m:sSub>
      </m:oMath>
      <w:r w:rsidR="00C7609A" w:rsidRPr="00EF7676">
        <w:rPr>
          <w:rFonts w:ascii="Cambria Math" w:eastAsia="Times New Roman" w:hAnsi="Cambria Math" w:cs="Times New Roman"/>
          <w:sz w:val="28"/>
          <w:szCs w:val="28"/>
          <w:lang w:eastAsia="uk-UA"/>
        </w:rPr>
        <w:t xml:space="preserve"> </w:t>
      </w:r>
      <w:r w:rsidR="00ED6669" w:rsidRPr="00EF7676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uk-UA"/>
        </w:rPr>
        <w:t>(тис. грн)</w:t>
      </w:r>
      <w:r w:rsidR="00ED6669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 </w:t>
      </w:r>
      <w:r w:rsidR="006C185C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</w:t>
      </w:r>
      <w:r w:rsidR="00ED6669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(3)</w:t>
      </w:r>
    </w:p>
    <w:p w14:paraId="0522C742" w14:textId="08D77FE7" w:rsidR="00C97582" w:rsidRPr="00F9156D" w:rsidRDefault="004C2A41" w:rsidP="00E71A3E">
      <w:pPr>
        <w:tabs>
          <w:tab w:val="left" w:pos="709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0226D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≥1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00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% вик</m:t>
            </m:r>
          </m:sub>
        </m:sSub>
      </m:oMath>
      <w:r w:rsidR="000226D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0B3D" w:rsidRPr="00F9156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EC2DC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економія коштів при фактичному 100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C2DC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виконанні заходів ІП </w:t>
      </w:r>
      <w:r w:rsidR="0098357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98357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2DC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кількісному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вимірі</w:t>
      </w:r>
      <w:r w:rsidR="00AE61E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9758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визначається за формулою</w:t>
      </w:r>
    </w:p>
    <w:p w14:paraId="2242F4BD" w14:textId="59611524" w:rsidR="00C97582" w:rsidRPr="00F9156D" w:rsidRDefault="00577421" w:rsidP="000C65CC">
      <w:pPr>
        <w:pStyle w:val="ac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≥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100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% вик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nary>
          <m:naryPr>
            <m:chr m:val="∑"/>
            <m:limLoc m:val="undOvr"/>
            <m:grow m:val="1"/>
            <m:sub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Обс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*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од.пл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од.факт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(тис. грн)</m:t>
        </m:r>
      </m:oMath>
      <w:r w:rsidR="00EF7676" w:rsidRPr="00EF7676">
        <w:rPr>
          <w:rFonts w:ascii="Times New Roman" w:eastAsia="Times New Roman" w:hAnsi="Times New Roman" w:cs="Times New Roman"/>
          <w:sz w:val="28"/>
          <w:szCs w:val="28"/>
          <w:lang w:eastAsia="uk-UA"/>
        </w:rPr>
        <w:t>,           (4)</w:t>
      </w:r>
    </w:p>
    <w:p w14:paraId="7130EB45" w14:textId="4E527CC9" w:rsidR="00C97582" w:rsidRPr="00F9156D" w:rsidRDefault="00C97582" w:rsidP="006C1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156D">
        <w:rPr>
          <w:rFonts w:ascii="Times New Roman" w:hAnsi="Times New Roman" w:cs="Times New Roman"/>
          <w:sz w:val="28"/>
          <w:szCs w:val="28"/>
          <w:lang w:eastAsia="ru-RU"/>
        </w:rPr>
        <w:t>де</w:t>
      </w:r>
      <w:r w:rsidR="003A336F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156D">
        <w:rPr>
          <w:rFonts w:ascii="Times New Roman" w:hAnsi="Times New Roman" w:cs="Times New Roman"/>
          <w:i/>
          <w:sz w:val="28"/>
          <w:szCs w:val="28"/>
          <w:lang w:val="en-US" w:eastAsia="ru-RU"/>
        </w:rPr>
        <w:t>n</w:t>
      </w:r>
      <w:r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– кількість заходів інвестиційної програми, за якими отримано економію в грошовому вимірі та які виконані </w:t>
      </w:r>
      <w:r w:rsidR="00B501CA" w:rsidRPr="00F9156D">
        <w:rPr>
          <w:rFonts w:ascii="Times New Roman" w:hAnsi="Times New Roman" w:cs="Times New Roman"/>
          <w:sz w:val="28"/>
          <w:szCs w:val="28"/>
          <w:lang w:eastAsia="ru-RU"/>
        </w:rPr>
        <w:t>на 100</w:t>
      </w:r>
      <w:r w:rsidR="003A336F" w:rsidRPr="00F9156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501CA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 w:rsidR="00B352D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(та більше) </w:t>
      </w:r>
      <w:r w:rsidR="00B501CA" w:rsidRPr="00F9156D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r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их обсягів </w:t>
      </w:r>
      <w:r w:rsidR="0098357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8357B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156D">
        <w:rPr>
          <w:rFonts w:ascii="Times New Roman" w:hAnsi="Times New Roman" w:cs="Times New Roman"/>
          <w:sz w:val="28"/>
          <w:szCs w:val="28"/>
          <w:lang w:eastAsia="ru-RU"/>
        </w:rPr>
        <w:t>кількісному вимірі;</w:t>
      </w:r>
    </w:p>
    <w:p w14:paraId="7CBEB96A" w14:textId="4D8A09E1" w:rsidR="00514D18" w:rsidRPr="00F9156D" w:rsidRDefault="00577421" w:rsidP="00514D1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514D1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514D1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ий обсяг </w:t>
      </w:r>
      <w:r w:rsidR="0098357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8357B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155C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кількісному </w:t>
      </w:r>
      <w:r w:rsidR="009B2D63" w:rsidRPr="00F9156D">
        <w:rPr>
          <w:rFonts w:ascii="Times New Roman" w:hAnsi="Times New Roman" w:cs="Times New Roman"/>
          <w:sz w:val="28"/>
          <w:szCs w:val="28"/>
          <w:lang w:eastAsia="ru-RU"/>
        </w:rPr>
        <w:t>вимірі</w:t>
      </w:r>
      <w:r w:rsidR="0003155C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4D18" w:rsidRPr="00F9156D">
        <w:rPr>
          <w:rFonts w:ascii="Times New Roman" w:hAnsi="Times New Roman" w:cs="Times New Roman"/>
          <w:sz w:val="28"/>
          <w:szCs w:val="28"/>
          <w:lang w:eastAsia="ru-RU"/>
        </w:rPr>
        <w:t>за заходом ІП;</w:t>
      </w:r>
    </w:p>
    <w:p w14:paraId="3BDC0162" w14:textId="77777777" w:rsidR="00514D18" w:rsidRPr="00F9156D" w:rsidRDefault="00577421" w:rsidP="009669F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од.пл</m:t>
            </m:r>
          </m:sub>
        </m:sSub>
      </m:oMath>
      <w:r w:rsidR="00514D1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514D18" w:rsidRPr="00F9156D">
        <w:rPr>
          <w:rFonts w:ascii="Times New Roman" w:hAnsi="Times New Roman" w:cs="Times New Roman"/>
          <w:sz w:val="28"/>
          <w:szCs w:val="28"/>
          <w:lang w:eastAsia="ru-RU"/>
        </w:rPr>
        <w:t>а ціна одиниці заходу ІП;</w:t>
      </w:r>
    </w:p>
    <w:p w14:paraId="022DD968" w14:textId="77777777" w:rsidR="00C97582" w:rsidRPr="00F9156D" w:rsidRDefault="00577421" w:rsidP="009669F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од.факт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97582" w:rsidRPr="00F9156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фактична ціна одиниці заходу ІП</w:t>
      </w:r>
      <w:r w:rsidR="00B849CA" w:rsidRPr="00F915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FA253A" w14:textId="6C7C6E63" w:rsidR="00B849CA" w:rsidRPr="00F9156D" w:rsidRDefault="00B849CA" w:rsidP="00015EE5">
      <w:pPr>
        <w:pStyle w:val="rvps2"/>
        <w:shd w:val="clear" w:color="auto" w:fill="FFFFFF"/>
        <w:spacing w:before="60" w:beforeAutospacing="0" w:after="0" w:afterAutospacing="0"/>
        <w:ind w:firstLine="709"/>
        <w:jc w:val="both"/>
        <w:rPr>
          <w:sz w:val="28"/>
          <w:szCs w:val="28"/>
        </w:rPr>
      </w:pPr>
      <w:r w:rsidRPr="00F9156D">
        <w:rPr>
          <w:sz w:val="28"/>
          <w:szCs w:val="28"/>
        </w:rPr>
        <w:t xml:space="preserve">Для </w:t>
      </w:r>
      <w:r w:rsidR="003D6666" w:rsidRPr="00F9156D">
        <w:rPr>
          <w:sz w:val="28"/>
          <w:szCs w:val="28"/>
        </w:rPr>
        <w:t xml:space="preserve">заходів </w:t>
      </w:r>
      <w:r w:rsidR="00E25CF0" w:rsidRPr="00F9156D">
        <w:rPr>
          <w:sz w:val="28"/>
          <w:szCs w:val="28"/>
        </w:rPr>
        <w:t>ІП р</w:t>
      </w:r>
      <w:r w:rsidR="003D6666" w:rsidRPr="00F9156D">
        <w:rPr>
          <w:sz w:val="28"/>
          <w:szCs w:val="28"/>
        </w:rPr>
        <w:t>озділу І</w:t>
      </w:r>
      <w:r w:rsidR="008419AB" w:rsidRPr="00F9156D">
        <w:rPr>
          <w:sz w:val="28"/>
          <w:szCs w:val="28"/>
        </w:rPr>
        <w:t xml:space="preserve"> «</w:t>
      </w:r>
      <w:r w:rsidR="003D6666" w:rsidRPr="00F9156D">
        <w:rPr>
          <w:sz w:val="28"/>
          <w:szCs w:val="28"/>
        </w:rPr>
        <w:t>Розподільні газопроводи</w:t>
      </w:r>
      <w:r w:rsidR="008419AB" w:rsidRPr="00F9156D">
        <w:rPr>
          <w:sz w:val="28"/>
          <w:szCs w:val="28"/>
        </w:rPr>
        <w:t>»</w:t>
      </w:r>
      <w:r w:rsidR="00550DAB" w:rsidRPr="00F9156D">
        <w:rPr>
          <w:sz w:val="28"/>
          <w:szCs w:val="28"/>
        </w:rPr>
        <w:t xml:space="preserve"> </w:t>
      </w:r>
      <w:r w:rsidR="00395075" w:rsidRPr="00F9156D">
        <w:rPr>
          <w:sz w:val="28"/>
          <w:szCs w:val="28"/>
        </w:rPr>
        <w:t xml:space="preserve">є </w:t>
      </w:r>
      <w:r w:rsidRPr="00F9156D">
        <w:rPr>
          <w:sz w:val="28"/>
          <w:szCs w:val="28"/>
        </w:rPr>
        <w:t>допустим</w:t>
      </w:r>
      <w:r w:rsidR="00395075" w:rsidRPr="00F9156D">
        <w:rPr>
          <w:sz w:val="28"/>
          <w:szCs w:val="28"/>
        </w:rPr>
        <w:t>ими</w:t>
      </w:r>
      <w:r w:rsidRPr="00F9156D">
        <w:rPr>
          <w:sz w:val="28"/>
          <w:szCs w:val="28"/>
        </w:rPr>
        <w:t xml:space="preserve"> випадки відхилення </w:t>
      </w:r>
      <w:r w:rsidR="000953DC" w:rsidRPr="00F9156D">
        <w:rPr>
          <w:sz w:val="28"/>
          <w:szCs w:val="28"/>
        </w:rPr>
        <w:t xml:space="preserve">фактичного виконання </w:t>
      </w:r>
      <w:r w:rsidRPr="00F9156D">
        <w:rPr>
          <w:sz w:val="28"/>
          <w:szCs w:val="28"/>
        </w:rPr>
        <w:t xml:space="preserve">не більше ніж </w:t>
      </w:r>
      <w:r w:rsidR="009A03C6" w:rsidRPr="00F9156D">
        <w:rPr>
          <w:sz w:val="28"/>
          <w:szCs w:val="28"/>
        </w:rPr>
        <w:t xml:space="preserve"> </w:t>
      </w:r>
      <w:r w:rsidRPr="00F9156D">
        <w:rPr>
          <w:sz w:val="28"/>
          <w:szCs w:val="28"/>
        </w:rPr>
        <w:t xml:space="preserve">± 5 % від </w:t>
      </w:r>
      <w:r w:rsidR="00202564" w:rsidRPr="00F9156D">
        <w:rPr>
          <w:sz w:val="28"/>
          <w:szCs w:val="28"/>
        </w:rPr>
        <w:t>планован</w:t>
      </w:r>
      <w:r w:rsidR="001742D4" w:rsidRPr="00F9156D">
        <w:rPr>
          <w:sz w:val="28"/>
          <w:szCs w:val="28"/>
        </w:rPr>
        <w:t xml:space="preserve">их </w:t>
      </w:r>
      <w:r w:rsidRPr="00F9156D">
        <w:rPr>
          <w:sz w:val="28"/>
          <w:szCs w:val="28"/>
        </w:rPr>
        <w:t xml:space="preserve">обсягів </w:t>
      </w:r>
      <w:r w:rsidR="0098357B">
        <w:rPr>
          <w:sz w:val="28"/>
          <w:szCs w:val="28"/>
        </w:rPr>
        <w:t>у</w:t>
      </w:r>
      <w:r w:rsidR="0098357B" w:rsidRPr="00F9156D">
        <w:rPr>
          <w:sz w:val="28"/>
          <w:szCs w:val="28"/>
        </w:rPr>
        <w:t xml:space="preserve"> </w:t>
      </w:r>
      <w:r w:rsidR="001742D4" w:rsidRPr="00F9156D">
        <w:rPr>
          <w:sz w:val="28"/>
          <w:szCs w:val="28"/>
        </w:rPr>
        <w:t>кількісному ви</w:t>
      </w:r>
      <w:r w:rsidR="009B2D63" w:rsidRPr="00F9156D">
        <w:rPr>
          <w:sz w:val="28"/>
          <w:szCs w:val="28"/>
        </w:rPr>
        <w:t>м</w:t>
      </w:r>
      <w:r w:rsidR="001742D4" w:rsidRPr="00F9156D">
        <w:rPr>
          <w:sz w:val="28"/>
          <w:szCs w:val="28"/>
        </w:rPr>
        <w:t>і</w:t>
      </w:r>
      <w:r w:rsidR="009B2D63" w:rsidRPr="00F9156D">
        <w:rPr>
          <w:sz w:val="28"/>
          <w:szCs w:val="28"/>
        </w:rPr>
        <w:t>рі</w:t>
      </w:r>
      <w:r w:rsidR="001B1495" w:rsidRPr="00F9156D">
        <w:rPr>
          <w:sz w:val="28"/>
          <w:szCs w:val="28"/>
        </w:rPr>
        <w:t xml:space="preserve"> (</w:t>
      </w:r>
      <w:r w:rsidR="0098357B">
        <w:rPr>
          <w:sz w:val="28"/>
          <w:szCs w:val="28"/>
        </w:rPr>
        <w:t>у</w:t>
      </w:r>
      <w:r w:rsidR="0098357B" w:rsidRPr="00F9156D">
        <w:rPr>
          <w:sz w:val="28"/>
          <w:szCs w:val="28"/>
        </w:rPr>
        <w:t xml:space="preserve"> </w:t>
      </w:r>
      <w:r w:rsidR="001B1495" w:rsidRPr="00F9156D">
        <w:rPr>
          <w:sz w:val="28"/>
          <w:szCs w:val="28"/>
        </w:rPr>
        <w:t xml:space="preserve">км) </w:t>
      </w:r>
      <w:r w:rsidRPr="00F9156D">
        <w:rPr>
          <w:sz w:val="28"/>
          <w:szCs w:val="28"/>
        </w:rPr>
        <w:t xml:space="preserve">з відповідним внесенням змін до </w:t>
      </w:r>
      <w:proofErr w:type="spellStart"/>
      <w:r w:rsidRPr="00F9156D">
        <w:rPr>
          <w:sz w:val="28"/>
          <w:szCs w:val="28"/>
        </w:rPr>
        <w:t>проєктно</w:t>
      </w:r>
      <w:proofErr w:type="spellEnd"/>
      <w:r w:rsidRPr="00F9156D">
        <w:rPr>
          <w:sz w:val="28"/>
          <w:szCs w:val="28"/>
        </w:rPr>
        <w:t>-кошторисної документації</w:t>
      </w:r>
      <w:r w:rsidR="00512867" w:rsidRPr="00F9156D">
        <w:rPr>
          <w:sz w:val="28"/>
          <w:szCs w:val="28"/>
        </w:rPr>
        <w:t>. В</w:t>
      </w:r>
      <w:r w:rsidR="001D1470" w:rsidRPr="00F9156D">
        <w:rPr>
          <w:sz w:val="28"/>
          <w:szCs w:val="28"/>
        </w:rPr>
        <w:t xml:space="preserve">ідомості </w:t>
      </w:r>
      <w:r w:rsidR="00512867" w:rsidRPr="00F9156D">
        <w:rPr>
          <w:sz w:val="28"/>
          <w:szCs w:val="28"/>
        </w:rPr>
        <w:t xml:space="preserve">про внесення змін до </w:t>
      </w:r>
      <w:proofErr w:type="spellStart"/>
      <w:r w:rsidR="00512867" w:rsidRPr="00F9156D">
        <w:rPr>
          <w:sz w:val="28"/>
          <w:szCs w:val="28"/>
        </w:rPr>
        <w:t>проєктно</w:t>
      </w:r>
      <w:proofErr w:type="spellEnd"/>
      <w:r w:rsidR="00512867" w:rsidRPr="00F9156D">
        <w:rPr>
          <w:sz w:val="28"/>
          <w:szCs w:val="28"/>
        </w:rPr>
        <w:t>-кошторисної документації</w:t>
      </w:r>
      <w:r w:rsidR="001D1470" w:rsidRPr="00F9156D">
        <w:rPr>
          <w:sz w:val="28"/>
          <w:szCs w:val="28"/>
        </w:rPr>
        <w:t xml:space="preserve"> </w:t>
      </w:r>
      <w:r w:rsidR="00512867" w:rsidRPr="00F9156D">
        <w:rPr>
          <w:sz w:val="28"/>
          <w:szCs w:val="28"/>
        </w:rPr>
        <w:t>при фактичному виконанн</w:t>
      </w:r>
      <w:r w:rsidR="002823A2" w:rsidRPr="00F9156D">
        <w:rPr>
          <w:sz w:val="28"/>
          <w:szCs w:val="28"/>
        </w:rPr>
        <w:t>і</w:t>
      </w:r>
      <w:r w:rsidR="000953DC" w:rsidRPr="00F9156D">
        <w:rPr>
          <w:sz w:val="28"/>
          <w:szCs w:val="28"/>
        </w:rPr>
        <w:t xml:space="preserve"> відповідних</w:t>
      </w:r>
      <w:r w:rsidR="00512867" w:rsidRPr="00F9156D">
        <w:rPr>
          <w:sz w:val="28"/>
          <w:szCs w:val="28"/>
        </w:rPr>
        <w:t xml:space="preserve"> заходів ІП </w:t>
      </w:r>
      <w:r w:rsidR="001D1470" w:rsidRPr="00F9156D">
        <w:rPr>
          <w:sz w:val="28"/>
          <w:szCs w:val="28"/>
        </w:rPr>
        <w:t>мають бути відображені в акті перевірки</w:t>
      </w:r>
      <w:r w:rsidRPr="00F9156D">
        <w:rPr>
          <w:sz w:val="28"/>
          <w:szCs w:val="28"/>
        </w:rPr>
        <w:t>.</w:t>
      </w:r>
    </w:p>
    <w:p w14:paraId="1E72EFA0" w14:textId="5A72D5C4" w:rsidR="00774D20" w:rsidRPr="00F9156D" w:rsidRDefault="000172BC" w:rsidP="00015EE5">
      <w:pPr>
        <w:pStyle w:val="rvps2"/>
        <w:shd w:val="clear" w:color="auto" w:fill="FFFFFF"/>
        <w:spacing w:before="60" w:beforeAutospacing="0" w:after="0" w:afterAutospacing="0"/>
        <w:ind w:firstLine="709"/>
        <w:jc w:val="both"/>
        <w:rPr>
          <w:sz w:val="28"/>
          <w:szCs w:val="28"/>
        </w:rPr>
      </w:pPr>
      <w:r w:rsidRPr="00F9156D">
        <w:rPr>
          <w:sz w:val="28"/>
          <w:szCs w:val="28"/>
          <w:lang w:eastAsia="ru-RU"/>
        </w:rPr>
        <w:t>У</w:t>
      </w:r>
      <w:r w:rsidR="00774D20" w:rsidRPr="00F9156D">
        <w:rPr>
          <w:sz w:val="28"/>
          <w:szCs w:val="28"/>
          <w:lang w:eastAsia="ru-RU"/>
        </w:rPr>
        <w:t xml:space="preserve"> разі перевищення фактичних обсягів над </w:t>
      </w:r>
      <w:r w:rsidR="00202564" w:rsidRPr="00F9156D">
        <w:rPr>
          <w:sz w:val="28"/>
          <w:szCs w:val="28"/>
          <w:lang w:eastAsia="ru-RU"/>
        </w:rPr>
        <w:t>планован</w:t>
      </w:r>
      <w:r w:rsidR="00774D20" w:rsidRPr="00F9156D">
        <w:rPr>
          <w:sz w:val="28"/>
          <w:szCs w:val="28"/>
          <w:lang w:eastAsia="ru-RU"/>
        </w:rPr>
        <w:t xml:space="preserve">ими розрахунок економії здійснюється виходячи із </w:t>
      </w:r>
      <w:r w:rsidR="00202564" w:rsidRPr="00F9156D">
        <w:rPr>
          <w:sz w:val="28"/>
          <w:szCs w:val="28"/>
          <w:lang w:eastAsia="ru-RU"/>
        </w:rPr>
        <w:t>планован</w:t>
      </w:r>
      <w:r w:rsidR="00774D20" w:rsidRPr="00F9156D">
        <w:rPr>
          <w:sz w:val="28"/>
          <w:szCs w:val="28"/>
          <w:lang w:eastAsia="ru-RU"/>
        </w:rPr>
        <w:t>их показників</w:t>
      </w:r>
      <w:r w:rsidR="00F8447B" w:rsidRPr="00F9156D">
        <w:rPr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пл</m:t>
            </m:r>
          </m:sub>
        </m:sSub>
      </m:oMath>
      <w:r w:rsidR="00AC322B" w:rsidRPr="00F9156D">
        <w:rPr>
          <w:sz w:val="28"/>
          <w:szCs w:val="28"/>
          <w:lang w:eastAsia="ru-RU"/>
        </w:rPr>
        <w:t>)</w:t>
      </w:r>
      <w:r w:rsidR="00395075" w:rsidRPr="00F9156D">
        <w:rPr>
          <w:sz w:val="28"/>
          <w:szCs w:val="28"/>
          <w:lang w:eastAsia="ru-RU"/>
        </w:rPr>
        <w:t>;</w:t>
      </w:r>
    </w:p>
    <w:p w14:paraId="3A5F9788" w14:textId="3569C841" w:rsidR="005802F4" w:rsidRDefault="00577421" w:rsidP="006C185C">
      <w:pPr>
        <w:pStyle w:val="ac"/>
        <w:tabs>
          <w:tab w:val="left" w:pos="709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вик&lt;100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%</m:t>
            </m:r>
          </m:sub>
        </m:sSub>
      </m:oMath>
      <w:r w:rsidR="00AA3A43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0B3D" w:rsidRPr="00F9156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A3A43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2F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економія коштів за заходами ІП, 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за якими фактична ціна одиниці </w:t>
      </w:r>
      <w:r w:rsidR="004802D9" w:rsidRPr="00F9156D">
        <w:rPr>
          <w:rFonts w:ascii="Times New Roman" w:hAnsi="Times New Roman" w:cs="Times New Roman"/>
          <w:sz w:val="28"/>
          <w:szCs w:val="28"/>
          <w:lang w:eastAsia="ru-RU"/>
        </w:rPr>
        <w:t>менш</w:t>
      </w:r>
      <w:r w:rsidR="004802D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ніж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>а ціна одиниці</w:t>
      </w:r>
      <w:r w:rsidR="000D44C3" w:rsidRPr="00F9156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та які </w:t>
      </w:r>
      <w:r w:rsidR="0012118D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фактично 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виконані </w:t>
      </w:r>
      <w:r w:rsidR="004A42CE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частково 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в обсягах </w:t>
      </w:r>
      <w:r w:rsidR="0050508C" w:rsidRPr="00F9156D">
        <w:rPr>
          <w:rFonts w:ascii="Times New Roman" w:hAnsi="Times New Roman" w:cs="Times New Roman"/>
          <w:sz w:val="28"/>
          <w:szCs w:val="28"/>
          <w:lang w:eastAsia="ru-RU"/>
        </w:rPr>
        <w:t>менше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50508C" w:rsidRPr="00F9156D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508C" w:rsidRPr="00F9156D">
        <w:rPr>
          <w:rFonts w:ascii="Times New Roman" w:hAnsi="Times New Roman" w:cs="Times New Roman"/>
          <w:sz w:val="28"/>
          <w:szCs w:val="28"/>
          <w:lang w:eastAsia="ru-RU"/>
        </w:rPr>
        <w:t>обсягів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02D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802D9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2F4" w:rsidRPr="00F9156D">
        <w:rPr>
          <w:rFonts w:ascii="Times New Roman" w:hAnsi="Times New Roman" w:cs="Times New Roman"/>
          <w:sz w:val="28"/>
          <w:szCs w:val="28"/>
          <w:lang w:eastAsia="ru-RU"/>
        </w:rPr>
        <w:t>кількісному вимірі</w:t>
      </w:r>
      <w:r w:rsidR="005802F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визначається за формулою</w:t>
      </w:r>
    </w:p>
    <w:p w14:paraId="65AFC0E1" w14:textId="17E128F5" w:rsidR="00A65223" w:rsidRPr="00EF7676" w:rsidRDefault="00577421" w:rsidP="0030426D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Е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вик&lt;100%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 xml:space="preserve"> 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Обс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факт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*(</m:t>
              </m:r>
            </m:e>
          </m:nary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Ц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од.пл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 xml:space="preserve"> -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Ц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од.факт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 xml:space="preserve">)  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  <w:lang w:eastAsia="uk-UA"/>
            </w:rPr>
            <m:t>(тис. грн)</m:t>
          </m:r>
          <m:r>
            <m:rPr>
              <m:nor/>
            </m:rPr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eastAsia="uk-UA"/>
            </w:rPr>
            <m:t>,     (5)</m:t>
          </m:r>
        </m:oMath>
      </m:oMathPara>
    </w:p>
    <w:p w14:paraId="71D2CA54" w14:textId="5ABD9750" w:rsidR="00D41EDD" w:rsidRPr="00F9156D" w:rsidRDefault="005802F4" w:rsidP="0030426D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56D">
        <w:rPr>
          <w:rFonts w:ascii="Times New Roman" w:hAnsi="Times New Roman" w:cs="Times New Roman"/>
          <w:sz w:val="28"/>
          <w:szCs w:val="28"/>
          <w:lang w:eastAsia="ru-RU"/>
        </w:rPr>
        <w:t>де</w:t>
      </w:r>
      <w:r w:rsidR="003A336F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156D">
        <w:rPr>
          <w:rFonts w:ascii="Times New Roman" w:hAnsi="Times New Roman" w:cs="Times New Roman"/>
          <w:i/>
          <w:sz w:val="28"/>
          <w:szCs w:val="28"/>
          <w:lang w:val="en-US" w:eastAsia="ru-RU"/>
        </w:rPr>
        <w:t>m</w:t>
      </w:r>
      <w:r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– кількість заходів ІП, </w:t>
      </w:r>
      <w:r w:rsidR="00A448ED" w:rsidRPr="00F9156D">
        <w:rPr>
          <w:rFonts w:ascii="Times New Roman" w:hAnsi="Times New Roman" w:cs="Times New Roman"/>
          <w:sz w:val="28"/>
          <w:szCs w:val="28"/>
          <w:lang w:eastAsia="ru-RU"/>
        </w:rPr>
        <w:t>за якими фактична ціна одиниці менш</w:t>
      </w:r>
      <w:r w:rsidR="004802D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448ED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ніж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A448ED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а ціна одиниці, та які виконані в обсягах, що менше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A448ED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их обсягів </w:t>
      </w:r>
      <w:r w:rsidR="004802D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802D9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8ED" w:rsidRPr="00F9156D">
        <w:rPr>
          <w:rFonts w:ascii="Times New Roman" w:hAnsi="Times New Roman" w:cs="Times New Roman"/>
          <w:sz w:val="28"/>
          <w:szCs w:val="28"/>
          <w:lang w:eastAsia="ru-RU"/>
        </w:rPr>
        <w:t>кількісному вимірі</w:t>
      </w:r>
      <w:r w:rsidR="00AB45F3" w:rsidRPr="00F9156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EA8ECA8" w14:textId="3662B7D2" w:rsidR="00AB45F3" w:rsidRPr="00F9156D" w:rsidRDefault="00577421" w:rsidP="006C1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Обс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факт</m:t>
            </m:r>
          </m:sub>
        </m:sSub>
      </m:oMath>
      <w:r w:rsidR="00AB45F3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– фактично виконаний </w:t>
      </w:r>
      <w:r w:rsidR="0053578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обсяг </w:t>
      </w:r>
      <w:r w:rsidR="004802D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802D9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5788" w:rsidRPr="00F9156D">
        <w:rPr>
          <w:rFonts w:ascii="Times New Roman" w:hAnsi="Times New Roman" w:cs="Times New Roman"/>
          <w:sz w:val="28"/>
          <w:szCs w:val="28"/>
          <w:lang w:eastAsia="ru-RU"/>
        </w:rPr>
        <w:t>кількісному ви</w:t>
      </w:r>
      <w:r w:rsidR="009B2D63" w:rsidRPr="00F9156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35788" w:rsidRPr="00F9156D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9B2D63" w:rsidRPr="00F9156D">
        <w:rPr>
          <w:rFonts w:ascii="Times New Roman" w:hAnsi="Times New Roman" w:cs="Times New Roman"/>
          <w:sz w:val="28"/>
          <w:szCs w:val="28"/>
          <w:lang w:eastAsia="ru-RU"/>
        </w:rPr>
        <w:t>рі</w:t>
      </w:r>
      <w:r w:rsidR="0053578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45F3" w:rsidRPr="00F9156D">
        <w:rPr>
          <w:rFonts w:ascii="Times New Roman" w:hAnsi="Times New Roman" w:cs="Times New Roman"/>
          <w:sz w:val="28"/>
          <w:szCs w:val="28"/>
          <w:lang w:eastAsia="ru-RU"/>
        </w:rPr>
        <w:t>за заходом</w:t>
      </w:r>
      <w:r w:rsidR="00D41EDD" w:rsidRPr="00F9156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AB45F3" w:rsidRPr="00F9156D">
        <w:rPr>
          <w:rFonts w:ascii="Times New Roman" w:hAnsi="Times New Roman" w:cs="Times New Roman"/>
          <w:sz w:val="28"/>
          <w:szCs w:val="28"/>
          <w:lang w:eastAsia="ru-RU"/>
        </w:rPr>
        <w:t>ІП;</w:t>
      </w:r>
    </w:p>
    <w:p w14:paraId="718BBFB8" w14:textId="77777777" w:rsidR="005636E3" w:rsidRPr="00F9156D" w:rsidRDefault="005636E3" w:rsidP="006C1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46FC1E" w14:textId="77777777" w:rsidR="0049003B" w:rsidRPr="00F9156D" w:rsidRDefault="00DB3FB3" w:rsidP="0030426D">
      <w:pPr>
        <w:pStyle w:val="ac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перевищення </w:t>
      </w:r>
      <w:r w:rsidR="00F9229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фактичної вартості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r w:rsidR="007C24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ІП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00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понад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планован</w:t>
      </w:r>
      <w:r w:rsidR="00F9229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36400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F9229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</w:t>
      </w:r>
      <w:r w:rsidR="0036400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істю</w:t>
      </w:r>
      <w:r w:rsidR="000B61C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розрізі за джерелами фінансування</w:t>
      </w:r>
      <w:r w:rsidR="0049003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визначається як сума складових за формулою</w:t>
      </w:r>
    </w:p>
    <w:p w14:paraId="5342D18E" w14:textId="77777777" w:rsidR="00B223A4" w:rsidRPr="00F9156D" w:rsidRDefault="00684B0D" w:rsidP="0030426D">
      <w:pPr>
        <w:pStyle w:val="ac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 =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5%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32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24"/>
              </w:rPr>
              <m:t>понад 5%</m:t>
            </m:r>
          </m:sub>
        </m:sSub>
      </m:oMath>
      <w:r w:rsidR="00B223A4" w:rsidRPr="00A27F99">
        <w:rPr>
          <w:rFonts w:ascii="Cambria Math" w:eastAsia="Times New Roman" w:hAnsi="Cambria Math" w:cs="Times New Roman"/>
          <w:color w:val="000000" w:themeColor="text1"/>
          <w:sz w:val="32"/>
        </w:rPr>
        <w:t xml:space="preserve"> </w:t>
      </w:r>
      <w:r w:rsidR="00B223A4" w:rsidRPr="00A27F99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uk-UA"/>
        </w:rPr>
        <w:t>(тис. грн)</w:t>
      </w:r>
      <w:r w:rsidR="00B223A4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 </w:t>
      </w:r>
      <w:r w:rsidR="006C185C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</w:t>
      </w:r>
      <w:r w:rsidR="00B223A4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</w:t>
      </w:r>
      <w:r w:rsidR="000B61CD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6</w:t>
      </w:r>
      <w:r w:rsidR="00B223A4" w:rsidRPr="00F915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</w:t>
      </w:r>
    </w:p>
    <w:p w14:paraId="456E1970" w14:textId="0432D261" w:rsidR="005E5EA3" w:rsidRPr="00F9156D" w:rsidRDefault="00F86187" w:rsidP="0030426D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де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5%</m:t>
            </m:r>
          </m:sub>
        </m:sSub>
      </m:oMath>
      <w:r w:rsidR="00DB3F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– </w:t>
      </w:r>
      <w:r w:rsidR="0058226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перевищення вартості заходів ІП </w:t>
      </w:r>
      <w:r w:rsidR="00826C7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DB3F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</w:t>
      </w:r>
      <w:r w:rsidR="00D3442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B3F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%</w:t>
      </w:r>
      <w:r w:rsidR="002F644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включн</w:t>
      </w:r>
      <w:r w:rsidR="00F048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DB3F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яка</w:t>
      </w:r>
      <w:r w:rsidR="00F048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може бути покрита економією (</w:t>
      </w:r>
      <w:r w:rsidR="004802D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4802D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048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 її наявності)</w:t>
      </w:r>
      <w:r w:rsidR="00043CF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048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DB3FB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43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визначається за формулою</w:t>
      </w:r>
    </w:p>
    <w:p w14:paraId="2BD2CA43" w14:textId="198ABA3E" w:rsidR="008A39E1" w:rsidRPr="00F9156D" w:rsidRDefault="00577421" w:rsidP="0030426D">
      <w:pPr>
        <w:pStyle w:val="rvps2"/>
        <w:shd w:val="clear" w:color="auto" w:fill="FFFFFF"/>
        <w:tabs>
          <w:tab w:val="left" w:pos="-1276"/>
          <w:tab w:val="left" w:pos="-142"/>
        </w:tabs>
        <w:spacing w:before="0" w:beforeAutospacing="0" w:after="0" w:afterAutospacing="0"/>
        <w:ind w:left="-709" w:firstLine="425"/>
        <w:jc w:val="center"/>
        <w:rPr>
          <w:b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>П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>5%</m:t>
              </m:r>
            </m:sub>
          </m:sSub>
          <m:r>
            <w:rPr>
              <w:rFonts w:ascii="Cambria Math" w:hAnsi="Cambria Math"/>
              <w:color w:val="000000" w:themeColor="text1"/>
              <w:sz w:val="26"/>
              <w:szCs w:val="26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</m:ctrlPr>
            </m:naryPr>
            <m:sub/>
            <m:sup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6"/>
                      <w:szCs w:val="26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6"/>
                      <w:szCs w:val="26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 xml:space="preserve"> *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6"/>
                          <w:szCs w:val="26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6"/>
                          <w:szCs w:val="26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26"/>
                      <w:szCs w:val="26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6"/>
                          <w:szCs w:val="26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6"/>
                          <w:szCs w:val="26"/>
                        </w:rPr>
                        <m:t>од.пл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 xml:space="preserve">+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6"/>
                      <w:szCs w:val="26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6"/>
                      <w:szCs w:val="26"/>
                      <w:lang w:val="en-US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6"/>
                          <w:szCs w:val="26"/>
                        </w:rPr>
                        <m:t>Обс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6"/>
                          <w:szCs w:val="26"/>
                        </w:rPr>
                        <m:t>факт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26"/>
                      <w:szCs w:val="26"/>
                    </w:rPr>
                    <m:t>*(</m:t>
                  </m:r>
                </m:e>
              </m:nary>
            </m:e>
          </m:nary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>Ц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6"/>
                  <w:szCs w:val="26"/>
                </w:rPr>
                <m:t>од.пл</m:t>
              </m:r>
            </m:sub>
          </m:sSub>
          <m:r>
            <w:rPr>
              <w:rFonts w:ascii="Cambria Math" w:hAnsi="Cambria Math"/>
              <w:color w:val="000000" w:themeColor="text1"/>
              <w:sz w:val="26"/>
              <w:szCs w:val="26"/>
            </w:rPr>
            <m:t>*5%)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6"/>
              <w:szCs w:val="26"/>
            </w:rPr>
            <m:t xml:space="preserve">  (тис. грн)</m:t>
          </m:r>
          <m:r>
            <m:rPr>
              <m:nor/>
            </m:rPr>
            <w:rPr>
              <w:color w:val="000000" w:themeColor="text1"/>
              <w:sz w:val="26"/>
              <w:szCs w:val="26"/>
            </w:rPr>
            <m:t>,   (7)</m:t>
          </m:r>
        </m:oMath>
      </m:oMathPara>
    </w:p>
    <w:p w14:paraId="50A62762" w14:textId="77777777" w:rsidR="00DB3FB3" w:rsidRPr="00F9156D" w:rsidRDefault="003A336F" w:rsidP="006C185C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val="ru-RU" w:eastAsia="ru-RU"/>
        </w:rPr>
      </w:pPr>
      <w:r w:rsidRPr="00F9156D">
        <w:rPr>
          <w:sz w:val="28"/>
          <w:szCs w:val="28"/>
          <w:lang w:val="ru-RU" w:eastAsia="ru-RU"/>
        </w:rPr>
        <w:t xml:space="preserve">де </w:t>
      </w:r>
      <w:r w:rsidR="00DB3FB3" w:rsidRPr="00F9156D">
        <w:rPr>
          <w:i/>
          <w:sz w:val="28"/>
          <w:szCs w:val="28"/>
          <w:lang w:val="en-US" w:eastAsia="ru-RU"/>
        </w:rPr>
        <w:t>k</w:t>
      </w:r>
      <w:r w:rsidR="00DB3FB3" w:rsidRPr="00F9156D">
        <w:rPr>
          <w:sz w:val="28"/>
          <w:szCs w:val="28"/>
          <w:lang w:val="ru-RU" w:eastAsia="ru-RU"/>
        </w:rPr>
        <w:t xml:space="preserve"> – </w:t>
      </w:r>
      <w:r w:rsidR="00DB3FB3" w:rsidRPr="00F9156D">
        <w:rPr>
          <w:sz w:val="28"/>
          <w:szCs w:val="28"/>
          <w:lang w:eastAsia="ru-RU"/>
        </w:rPr>
        <w:t xml:space="preserve">кількість заходів </w:t>
      </w:r>
      <w:r w:rsidR="002E1103" w:rsidRPr="00F9156D">
        <w:rPr>
          <w:sz w:val="28"/>
          <w:szCs w:val="28"/>
          <w:lang w:eastAsia="ru-RU"/>
        </w:rPr>
        <w:t>ІП</w:t>
      </w:r>
      <w:r w:rsidR="00DB3FB3" w:rsidRPr="00F9156D">
        <w:rPr>
          <w:sz w:val="28"/>
          <w:szCs w:val="28"/>
          <w:lang w:eastAsia="ru-RU"/>
        </w:rPr>
        <w:t xml:space="preserve">, за якими допущено перевищення вартості </w:t>
      </w:r>
      <w:r w:rsidR="0049003B" w:rsidRPr="00F9156D">
        <w:rPr>
          <w:sz w:val="28"/>
          <w:szCs w:val="28"/>
          <w:lang w:eastAsia="ru-RU"/>
        </w:rPr>
        <w:t>до</w:t>
      </w:r>
      <w:r w:rsidR="00E27A49" w:rsidRPr="00F9156D">
        <w:rPr>
          <w:sz w:val="28"/>
          <w:szCs w:val="28"/>
          <w:lang w:eastAsia="ru-RU"/>
        </w:rPr>
        <w:t> </w:t>
      </w:r>
      <w:r w:rsidR="00DB3FB3" w:rsidRPr="00F9156D">
        <w:rPr>
          <w:sz w:val="28"/>
          <w:szCs w:val="28"/>
          <w:lang w:eastAsia="ru-RU"/>
        </w:rPr>
        <w:t>5</w:t>
      </w:r>
      <w:r w:rsidR="0049003B" w:rsidRPr="00F9156D">
        <w:rPr>
          <w:sz w:val="28"/>
          <w:szCs w:val="28"/>
          <w:lang w:eastAsia="ru-RU"/>
        </w:rPr>
        <w:t> </w:t>
      </w:r>
      <w:r w:rsidR="00DB3FB3" w:rsidRPr="00F9156D">
        <w:rPr>
          <w:sz w:val="28"/>
          <w:szCs w:val="28"/>
          <w:lang w:eastAsia="ru-RU"/>
        </w:rPr>
        <w:t>%</w:t>
      </w:r>
      <w:r w:rsidR="0049003B" w:rsidRPr="00F9156D">
        <w:rPr>
          <w:sz w:val="28"/>
          <w:szCs w:val="28"/>
          <w:lang w:eastAsia="ru-RU"/>
        </w:rPr>
        <w:t xml:space="preserve"> включно</w:t>
      </w:r>
      <w:r w:rsidR="00964223" w:rsidRPr="00F9156D">
        <w:rPr>
          <w:sz w:val="28"/>
          <w:szCs w:val="28"/>
          <w:lang w:eastAsia="ru-RU"/>
        </w:rPr>
        <w:t xml:space="preserve"> та фактичний обсяг виконання не перевищує </w:t>
      </w:r>
      <w:r w:rsidR="00202564" w:rsidRPr="00F9156D">
        <w:rPr>
          <w:sz w:val="28"/>
          <w:szCs w:val="28"/>
          <w:lang w:eastAsia="ru-RU"/>
        </w:rPr>
        <w:t>планован</w:t>
      </w:r>
      <w:r w:rsidR="00964223" w:rsidRPr="00F9156D">
        <w:rPr>
          <w:sz w:val="28"/>
          <w:szCs w:val="28"/>
          <w:lang w:eastAsia="ru-RU"/>
        </w:rPr>
        <w:t>ий</w:t>
      </w:r>
      <w:r w:rsidR="00DB3FB3" w:rsidRPr="00F9156D">
        <w:rPr>
          <w:sz w:val="28"/>
          <w:szCs w:val="28"/>
          <w:lang w:eastAsia="ru-RU"/>
        </w:rPr>
        <w:t>;</w:t>
      </w:r>
    </w:p>
    <w:p w14:paraId="1141B98A" w14:textId="77777777" w:rsidR="00E27A49" w:rsidRPr="00F9156D" w:rsidRDefault="00DB3FB3" w:rsidP="006C185C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F9156D">
        <w:rPr>
          <w:i/>
          <w:sz w:val="28"/>
          <w:szCs w:val="28"/>
          <w:lang w:val="en-US" w:eastAsia="ru-RU"/>
        </w:rPr>
        <w:t>t</w:t>
      </w:r>
      <w:r w:rsidRPr="00F9156D">
        <w:rPr>
          <w:sz w:val="28"/>
          <w:szCs w:val="28"/>
          <w:lang w:eastAsia="ru-RU"/>
        </w:rPr>
        <w:t xml:space="preserve"> – кількість заходів </w:t>
      </w:r>
      <w:r w:rsidR="002E1103" w:rsidRPr="00F9156D">
        <w:rPr>
          <w:sz w:val="28"/>
          <w:szCs w:val="28"/>
          <w:lang w:eastAsia="ru-RU"/>
        </w:rPr>
        <w:t>ІП</w:t>
      </w:r>
      <w:r w:rsidRPr="00F9156D">
        <w:rPr>
          <w:sz w:val="28"/>
          <w:szCs w:val="28"/>
          <w:lang w:eastAsia="ru-RU"/>
        </w:rPr>
        <w:t>, за якими допущено перевищення вартості понад</w:t>
      </w:r>
      <w:r w:rsidR="00D62FB1" w:rsidRPr="00F9156D">
        <w:rPr>
          <w:sz w:val="28"/>
          <w:szCs w:val="28"/>
          <w:lang w:eastAsia="ru-RU"/>
        </w:rPr>
        <w:t> </w:t>
      </w:r>
      <w:r w:rsidRPr="00F9156D">
        <w:rPr>
          <w:sz w:val="28"/>
          <w:szCs w:val="28"/>
          <w:lang w:eastAsia="ru-RU"/>
        </w:rPr>
        <w:t>5</w:t>
      </w:r>
      <w:r w:rsidR="00E27A49" w:rsidRPr="00F9156D">
        <w:rPr>
          <w:sz w:val="28"/>
          <w:szCs w:val="28"/>
          <w:lang w:eastAsia="ru-RU"/>
        </w:rPr>
        <w:t> </w:t>
      </w:r>
      <w:r w:rsidRPr="00F9156D">
        <w:rPr>
          <w:sz w:val="28"/>
          <w:szCs w:val="28"/>
          <w:lang w:eastAsia="ru-RU"/>
        </w:rPr>
        <w:t>%</w:t>
      </w:r>
      <w:r w:rsidR="00E27A49" w:rsidRPr="00F9156D">
        <w:rPr>
          <w:sz w:val="28"/>
          <w:szCs w:val="28"/>
          <w:lang w:eastAsia="ru-RU"/>
        </w:rPr>
        <w:t xml:space="preserve"> та фактичний обсяг виконання не перевищує </w:t>
      </w:r>
      <w:r w:rsidR="00202564" w:rsidRPr="00F9156D">
        <w:rPr>
          <w:sz w:val="28"/>
          <w:szCs w:val="28"/>
          <w:lang w:eastAsia="ru-RU"/>
        </w:rPr>
        <w:t>планован</w:t>
      </w:r>
      <w:r w:rsidR="00E27A49" w:rsidRPr="00F9156D">
        <w:rPr>
          <w:sz w:val="28"/>
          <w:szCs w:val="28"/>
          <w:lang w:eastAsia="ru-RU"/>
        </w:rPr>
        <w:t>ий;</w:t>
      </w:r>
    </w:p>
    <w:p w14:paraId="21779BEE" w14:textId="2CBD739C" w:rsidR="00A54140" w:rsidRPr="00F9156D" w:rsidRDefault="00577421" w:rsidP="006C185C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32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24"/>
              </w:rPr>
              <m:t>понад 5%</m:t>
            </m:r>
          </m:sub>
        </m:sSub>
        <m:r>
          <w:rPr>
            <w:rFonts w:ascii="Cambria Math" w:hAnsi="Cambria Math" w:cs="Times New Roman"/>
            <w:color w:val="000000" w:themeColor="text1"/>
            <w:sz w:val="32"/>
          </w:rPr>
          <m:t xml:space="preserve"> </m:t>
        </m:r>
      </m:oMath>
      <w:r w:rsidR="00210E9C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A5414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перевищення вартості заходів ІП </w:t>
      </w:r>
      <w:r w:rsidR="007C148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понад</w:t>
      </w:r>
      <w:r w:rsidR="00A5414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</w:t>
      </w:r>
      <w:r w:rsidR="00D3442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5414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</w:t>
      </w:r>
      <w:r w:rsidR="004802D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4802D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414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розрізі за джерелами фінансування, яка </w:t>
      </w:r>
      <w:r w:rsidR="003E43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визначається за формулою</w:t>
      </w:r>
    </w:p>
    <w:p w14:paraId="04A5C72A" w14:textId="231C3569" w:rsidR="007C1482" w:rsidRPr="00F9156D" w:rsidRDefault="00577421" w:rsidP="00807F7A">
      <w:pPr>
        <w:pStyle w:val="rvps2"/>
        <w:shd w:val="clear" w:color="auto" w:fill="FFFFFF"/>
        <w:spacing w:before="0" w:beforeAutospacing="0" w:after="0" w:afterAutospacing="0"/>
        <w:ind w:left="-142" w:right="-141" w:hanging="567"/>
        <w:jc w:val="center"/>
        <w:rPr>
          <w:color w:val="0070C0"/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0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0"/>
                  <w:szCs w:val="28"/>
                </w:rPr>
                <m:t>П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0"/>
                  <w:szCs w:val="28"/>
                </w:rPr>
                <m:t>понад 5%</m:t>
              </m:r>
            </m:sub>
          </m:sSub>
          <m:r>
            <w:rPr>
              <w:rFonts w:ascii="Cambria Math" w:hAnsi="Cambria Math"/>
              <w:color w:val="000000" w:themeColor="text1"/>
              <w:sz w:val="20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color w:val="000000" w:themeColor="text1"/>
                  <w:sz w:val="20"/>
                  <w:szCs w:val="28"/>
                </w:rPr>
              </m:ctrlPr>
            </m:naryPr>
            <m:sub/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8"/>
                </w:rPr>
                <m:t>р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0"/>
                  <w:szCs w:val="28"/>
                </w:rPr>
                <m:t xml:space="preserve"> *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од.пл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>*1,05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 w:val="20"/>
                  <w:szCs w:val="28"/>
                </w:rPr>
                <m:t>+</m:t>
              </m:r>
              <m:nary>
                <m:naryPr>
                  <m:chr m:val="∑"/>
                  <m:limLoc m:val="undOvr"/>
                  <m:subHide m:val="1"/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</m:ctrlPr>
                </m:naryPr>
                <m:sub/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Обс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пл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 xml:space="preserve"> 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0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0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0"/>
                              <w:szCs w:val="28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0"/>
                              <w:szCs w:val="28"/>
                            </w:rPr>
                            <m:t>од.факт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0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0"/>
                              <w:szCs w:val="28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0"/>
                              <w:szCs w:val="28"/>
                            </w:rPr>
                            <m:t>од.пл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  <w:sz w:val="20"/>
                          <w:szCs w:val="28"/>
                        </w:rPr>
                        <m:t>*1,05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  <w:sz w:val="20"/>
                      <w:szCs w:val="28"/>
                    </w:rPr>
                    <m:t xml:space="preserve"> 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color w:val="000000" w:themeColor="text1"/>
              <w:sz w:val="20"/>
              <w:szCs w:val="28"/>
            </w:rPr>
            <m:t>(тис. грн)</m:t>
          </m:r>
          <m:r>
            <m:rPr>
              <m:nor/>
            </m:rPr>
            <w:rPr>
              <w:color w:val="000000" w:themeColor="text1"/>
              <w:sz w:val="20"/>
              <w:szCs w:val="28"/>
            </w:rPr>
            <m:t>, (8)</m:t>
          </m:r>
        </m:oMath>
      </m:oMathPara>
    </w:p>
    <w:p w14:paraId="66D65798" w14:textId="77777777" w:rsidR="00533F30" w:rsidRPr="00F9156D" w:rsidRDefault="00533F30" w:rsidP="00FC0ABB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F9156D">
        <w:rPr>
          <w:sz w:val="28"/>
          <w:szCs w:val="28"/>
          <w:lang w:eastAsia="ru-RU"/>
        </w:rPr>
        <w:t>де</w:t>
      </w:r>
      <w:r w:rsidR="003A336F" w:rsidRPr="00F9156D">
        <w:rPr>
          <w:sz w:val="28"/>
          <w:szCs w:val="28"/>
          <w:lang w:eastAsia="ru-RU"/>
        </w:rPr>
        <w:t xml:space="preserve"> </w:t>
      </w:r>
      <w:r w:rsidRPr="00F9156D">
        <w:rPr>
          <w:i/>
          <w:sz w:val="28"/>
          <w:szCs w:val="28"/>
          <w:lang w:eastAsia="ru-RU"/>
        </w:rPr>
        <w:t>р</w:t>
      </w:r>
      <w:r w:rsidRPr="00F9156D">
        <w:rPr>
          <w:sz w:val="28"/>
          <w:szCs w:val="28"/>
          <w:lang w:eastAsia="ru-RU"/>
        </w:rPr>
        <w:t xml:space="preserve"> – кількість заходів </w:t>
      </w:r>
      <w:r w:rsidR="002E1103" w:rsidRPr="00F9156D">
        <w:rPr>
          <w:sz w:val="28"/>
          <w:szCs w:val="28"/>
          <w:lang w:eastAsia="ru-RU"/>
        </w:rPr>
        <w:t>ІП</w:t>
      </w:r>
      <w:r w:rsidRPr="00F9156D">
        <w:rPr>
          <w:sz w:val="28"/>
          <w:szCs w:val="28"/>
          <w:lang w:eastAsia="ru-RU"/>
        </w:rPr>
        <w:t xml:space="preserve">, за якими допущено перевищення вартості </w:t>
      </w:r>
      <w:r w:rsidR="00B04DB2" w:rsidRPr="00F9156D">
        <w:rPr>
          <w:sz w:val="28"/>
          <w:szCs w:val="28"/>
          <w:lang w:eastAsia="ru-RU"/>
        </w:rPr>
        <w:t>понад</w:t>
      </w:r>
      <w:r w:rsidR="003771C8" w:rsidRPr="00F9156D">
        <w:rPr>
          <w:sz w:val="28"/>
          <w:szCs w:val="28"/>
          <w:lang w:eastAsia="ru-RU"/>
        </w:rPr>
        <w:t> </w:t>
      </w:r>
      <w:r w:rsidRPr="00F9156D">
        <w:rPr>
          <w:sz w:val="28"/>
          <w:szCs w:val="28"/>
          <w:lang w:eastAsia="ru-RU"/>
        </w:rPr>
        <w:t>5 %</w:t>
      </w:r>
      <w:r w:rsidR="00430956" w:rsidRPr="00F9156D">
        <w:rPr>
          <w:sz w:val="28"/>
          <w:szCs w:val="28"/>
          <w:lang w:eastAsia="ru-RU"/>
        </w:rPr>
        <w:t xml:space="preserve"> та</w:t>
      </w:r>
      <w:r w:rsidR="0003303F" w:rsidRPr="00F9156D">
        <w:rPr>
          <w:sz w:val="28"/>
          <w:szCs w:val="28"/>
          <w:lang w:eastAsia="ru-RU"/>
        </w:rPr>
        <w:t xml:space="preserve"> недовиконання в кількісному вимірі;</w:t>
      </w:r>
    </w:p>
    <w:p w14:paraId="47EB4B0B" w14:textId="77777777" w:rsidR="0003303F" w:rsidRPr="00F9156D" w:rsidRDefault="0003303F" w:rsidP="00FC0ABB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F9156D">
        <w:rPr>
          <w:i/>
          <w:sz w:val="28"/>
          <w:szCs w:val="28"/>
          <w:lang w:val="en-US" w:eastAsia="ru-RU"/>
        </w:rPr>
        <w:t>q</w:t>
      </w:r>
      <w:r w:rsidRPr="00F9156D">
        <w:rPr>
          <w:sz w:val="28"/>
          <w:szCs w:val="28"/>
          <w:lang w:val="ru-RU" w:eastAsia="ru-RU"/>
        </w:rPr>
        <w:t xml:space="preserve"> – </w:t>
      </w:r>
      <w:r w:rsidRPr="00F9156D">
        <w:rPr>
          <w:sz w:val="28"/>
          <w:szCs w:val="28"/>
          <w:lang w:eastAsia="ru-RU"/>
        </w:rPr>
        <w:t xml:space="preserve">кількість заходів </w:t>
      </w:r>
      <w:r w:rsidR="002D38B6" w:rsidRPr="00F9156D">
        <w:rPr>
          <w:sz w:val="28"/>
          <w:szCs w:val="28"/>
          <w:lang w:eastAsia="ru-RU"/>
        </w:rPr>
        <w:t>ІП</w:t>
      </w:r>
      <w:r w:rsidRPr="00F9156D">
        <w:rPr>
          <w:sz w:val="28"/>
          <w:szCs w:val="28"/>
          <w:lang w:eastAsia="ru-RU"/>
        </w:rPr>
        <w:t>, за якими допущено перевищення вартості понад 5</w:t>
      </w:r>
      <w:r w:rsidR="00FC0ABB" w:rsidRPr="00F9156D">
        <w:rPr>
          <w:sz w:val="28"/>
          <w:szCs w:val="28"/>
          <w:lang w:eastAsia="ru-RU"/>
        </w:rPr>
        <w:t> </w:t>
      </w:r>
      <w:r w:rsidRPr="00F9156D">
        <w:rPr>
          <w:sz w:val="28"/>
          <w:szCs w:val="28"/>
          <w:lang w:eastAsia="ru-RU"/>
        </w:rPr>
        <w:t>% та</w:t>
      </w:r>
      <w:r w:rsidRPr="00F9156D">
        <w:rPr>
          <w:sz w:val="28"/>
          <w:szCs w:val="28"/>
          <w:lang w:val="ru-RU" w:eastAsia="ru-RU"/>
        </w:rPr>
        <w:t xml:space="preserve"> </w:t>
      </w:r>
      <w:r w:rsidRPr="00F9156D">
        <w:rPr>
          <w:sz w:val="28"/>
          <w:szCs w:val="28"/>
          <w:lang w:eastAsia="ru-RU"/>
        </w:rPr>
        <w:t xml:space="preserve">перевищення фактичних обсягів над </w:t>
      </w:r>
      <w:r w:rsidR="00202564" w:rsidRPr="00F9156D">
        <w:rPr>
          <w:sz w:val="28"/>
          <w:szCs w:val="28"/>
          <w:lang w:eastAsia="ru-RU"/>
        </w:rPr>
        <w:t>планован</w:t>
      </w:r>
      <w:r w:rsidRPr="00F9156D">
        <w:rPr>
          <w:sz w:val="28"/>
          <w:szCs w:val="28"/>
          <w:lang w:eastAsia="ru-RU"/>
        </w:rPr>
        <w:t>ими в кількісному вимірі</w:t>
      </w:r>
      <w:r w:rsidR="0059631C" w:rsidRPr="00F9156D">
        <w:rPr>
          <w:sz w:val="28"/>
          <w:szCs w:val="28"/>
          <w:lang w:eastAsia="ru-RU"/>
        </w:rPr>
        <w:t>.</w:t>
      </w:r>
    </w:p>
    <w:p w14:paraId="28AAC342" w14:textId="77777777" w:rsidR="00814B43" w:rsidRPr="00F9156D" w:rsidRDefault="006C4628" w:rsidP="00FC0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156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14B43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разі перевищення фактичних обсягів над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814B43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ими розрахунок </w:t>
      </w:r>
      <w:r w:rsidR="00A27D0A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суми перевищення </w:t>
      </w:r>
      <w:r w:rsidR="00814B43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здійснюється виходячи із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814B43" w:rsidRPr="00F9156D">
        <w:rPr>
          <w:rFonts w:ascii="Times New Roman" w:hAnsi="Times New Roman" w:cs="Times New Roman"/>
          <w:sz w:val="28"/>
          <w:szCs w:val="28"/>
          <w:lang w:eastAsia="ru-RU"/>
        </w:rPr>
        <w:t>их показників</w:t>
      </w:r>
      <w:r w:rsidR="00EF57EA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пл</m:t>
            </m:r>
          </m:sub>
        </m:sSub>
      </m:oMath>
      <w:r w:rsidR="00EF57EA" w:rsidRPr="00F9156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D236F" w:rsidRPr="00F9156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A1181C9" w14:textId="77777777" w:rsidR="008D236F" w:rsidRPr="00F9156D" w:rsidRDefault="008D236F" w:rsidP="00FC0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ACC872" w14:textId="7B08ED21" w:rsidR="00450B81" w:rsidRPr="00F9156D" w:rsidRDefault="00450B81" w:rsidP="00FC0AB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коштів невиконання заходів</w:t>
      </w:r>
      <w:r w:rsidR="00AB4D7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ІП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(невиконаних повністю або частково у кількісному ви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рі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90F9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9735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49735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90F9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розрізі за заходами та джерелами фінансування</w:t>
      </w:r>
      <w:r w:rsidR="006E042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ІП</w:t>
      </w:r>
      <w:r w:rsidR="0056304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E43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 w:rsidR="0056304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43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визначається за формулою</w:t>
      </w:r>
    </w:p>
    <w:p w14:paraId="1B92A1BF" w14:textId="0D4AA12C" w:rsidR="00435CBA" w:rsidRPr="00F9156D" w:rsidRDefault="00577421" w:rsidP="00113702">
      <w:pPr>
        <w:pStyle w:val="rvps2"/>
        <w:shd w:val="clear" w:color="auto" w:fill="FFFFFF" w:themeFill="background1"/>
        <w:spacing w:before="0" w:beforeAutospacing="0" w:after="0" w:afterAutospacing="0"/>
        <w:ind w:left="1212"/>
        <w:jc w:val="center"/>
        <w:rPr>
          <w:color w:val="000000" w:themeColor="text1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Cs w:val="28"/>
                </w:rPr>
                <m:t>Ф</m:t>
              </m:r>
            </m:e>
            <m:sub>
              <m:r>
                <w:rPr>
                  <w:rFonts w:ascii="Cambria Math" w:hAnsi="Cambria Math"/>
                  <w:szCs w:val="28"/>
                </w:rPr>
                <m:t>невик</m:t>
              </m:r>
            </m:sub>
          </m:sSub>
          <m:r>
            <w:rPr>
              <w:rFonts w:ascii="Cambria Math" w:hAnsi="Cambria Math"/>
              <w:color w:val="000000" w:themeColor="text1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color w:val="000000" w:themeColor="text1"/>
                  <w:szCs w:val="28"/>
                </w:rPr>
              </m:ctrlPr>
            </m:naryPr>
            <m:sub/>
            <m:sup>
              <m:r>
                <w:rPr>
                  <w:rFonts w:ascii="Cambria Math" w:hAnsi="Cambria Math"/>
                  <w:color w:val="000000" w:themeColor="text1"/>
                  <w:szCs w:val="28"/>
                  <w:lang w:val="en-US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Cs w:val="28"/>
                        </w:rPr>
                        <m:t>од.пл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Cs w:val="28"/>
                    </w:rPr>
                    <m:t>*(Обс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/>
              <w:color w:val="000000" w:themeColor="text1"/>
              <w:szCs w:val="28"/>
            </w:rPr>
            <m:t>(тис. грн)</m:t>
          </m:r>
          <m:r>
            <m:rPr>
              <m:nor/>
            </m:rPr>
            <w:rPr>
              <w:color w:val="000000" w:themeColor="text1"/>
              <w:szCs w:val="28"/>
            </w:rPr>
            <m:t>,   (9)</m:t>
          </m:r>
        </m:oMath>
      </m:oMathPara>
    </w:p>
    <w:p w14:paraId="2299349B" w14:textId="207DF371" w:rsidR="00435CBA" w:rsidRPr="00F9156D" w:rsidRDefault="00B03682" w:rsidP="00807F7A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702" w:rsidRPr="00F9156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кількість заходів </w:t>
      </w:r>
      <w:r w:rsidR="002D38B6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ІП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02B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невиконаних повністю або частково </w:t>
      </w:r>
      <w:r w:rsidR="00497352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49735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02B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кількісному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вимірі</w:t>
      </w:r>
      <w:r w:rsidR="0033479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A83D441" w14:textId="5CA6258C" w:rsidR="00BD1AE8" w:rsidRPr="00F9156D" w:rsidRDefault="00334797" w:rsidP="00FC0ABB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87105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разі </w:t>
      </w:r>
      <w:r w:rsidR="00EF35AE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r w:rsidR="0087105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захід частково</w:t>
      </w:r>
      <w:r w:rsidR="008635BC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 повністю</w:t>
      </w:r>
      <w:r w:rsidR="0087105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профінансовано, але не виконано</w:t>
      </w:r>
      <w:r w:rsidR="008C67B1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6EC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F143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 чи повністю</w:t>
      </w:r>
      <w:r w:rsidR="002266EC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35AE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кількісному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вимірі</w:t>
      </w:r>
      <w:r w:rsidR="003D441A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та/або фактичний обсяг фінансування </w:t>
      </w:r>
      <w:r w:rsidR="00417F0B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дорівнює </w:t>
      </w:r>
      <w:r w:rsidR="003D441A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</w:t>
      </w:r>
      <w:r w:rsidR="00417F0B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3D441A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обсяг</w:t>
      </w:r>
      <w:r w:rsidR="00417F0B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D441A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</w:t>
      </w:r>
      <w:r w:rsidR="002113A5"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113A5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вартісному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вимірі</w:t>
      </w:r>
      <w:r w:rsidR="00307CD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2D1C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D0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сума </w:t>
      </w:r>
      <w:r w:rsidR="005E7730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коштів </w:t>
      </w:r>
      <w:proofErr w:type="spellStart"/>
      <w:r w:rsidR="00C65D0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довиконання</w:t>
      </w:r>
      <w:proofErr w:type="spellEnd"/>
      <w:r w:rsidR="00C65D0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EFA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заходу </w:t>
      </w:r>
      <w:r w:rsidR="00C65D0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 за</w:t>
      </w:r>
      <w:r w:rsidR="00924ED7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D0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формулою</w:t>
      </w:r>
    </w:p>
    <w:p w14:paraId="5E72B96C" w14:textId="41DDAEA3" w:rsidR="00512AE0" w:rsidRPr="00F9156D" w:rsidRDefault="00577421" w:rsidP="00924ED7">
      <w:pPr>
        <w:pStyle w:val="rvps2"/>
        <w:spacing w:before="0" w:beforeAutospacing="0" w:after="0" w:afterAutospacing="0"/>
        <w:ind w:firstLine="851"/>
        <w:jc w:val="center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Ф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довик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</m:ctrlPr>
            </m:naryPr>
            <m:sub/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s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од.пл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*(Обс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m:t>(тис. грн)</m:t>
          </m:r>
          <m:r>
            <m:rPr>
              <m:nor/>
            </m:rPr>
            <w:rPr>
              <w:color w:val="000000" w:themeColor="text1"/>
              <w:sz w:val="28"/>
              <w:szCs w:val="28"/>
            </w:rPr>
            <m:t>,   (10</m:t>
          </m:r>
          <m:r>
            <m:rPr>
              <m:nor/>
            </m:rPr>
            <w:rPr>
              <w:sz w:val="28"/>
              <w:szCs w:val="28"/>
            </w:rPr>
            <m:t>)</m:t>
          </m:r>
        </m:oMath>
      </m:oMathPara>
    </w:p>
    <w:p w14:paraId="2826B338" w14:textId="1AF0F19F" w:rsidR="0052169F" w:rsidRPr="00F9156D" w:rsidRDefault="0052169F" w:rsidP="0052169F">
      <w:pPr>
        <w:pStyle w:val="a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156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кількість заходів ІП,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невиконаних повністю або частково у кількісному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вимірі</w:t>
      </w:r>
      <w:r w:rsidR="00564AD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які </w:t>
      </w:r>
      <w:r w:rsidR="00564AD9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 чи повністю профінансовано та/або</w:t>
      </w:r>
      <w:r w:rsidR="004028E9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якими</w:t>
      </w:r>
      <w:r w:rsidR="00564AD9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фактичний обсяг фінансування </w:t>
      </w:r>
      <w:r w:rsidR="00377051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дорівнює </w:t>
      </w:r>
      <w:r w:rsidR="00564AD9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</w:t>
      </w:r>
      <w:r w:rsidR="00377051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564AD9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обсяг</w:t>
      </w:r>
      <w:r w:rsidR="00377051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64AD9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</w:t>
      </w:r>
      <w:r w:rsidR="00520BF0"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20BF0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вартісному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вимірі</w:t>
      </w:r>
      <w:r w:rsidR="00520BF0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заходом ІП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FB6360B" w14:textId="77777777" w:rsidR="00917C46" w:rsidRPr="00F9156D" w:rsidRDefault="00917C46" w:rsidP="0052169F">
      <w:pPr>
        <w:pStyle w:val="a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4447DF" w14:textId="3DD23F10" w:rsidR="00450B81" w:rsidRPr="00F9156D" w:rsidRDefault="00450B81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 xml:space="preserve">суми коштів фінансування заходів, не передбачених </w:t>
      </w:r>
      <w:r w:rsidR="002D38B6" w:rsidRPr="00F9156D">
        <w:rPr>
          <w:rFonts w:ascii="Times New Roman" w:hAnsi="Times New Roman" w:cs="Times New Roman"/>
          <w:sz w:val="28"/>
          <w:szCs w:val="28"/>
        </w:rPr>
        <w:t>ІП</w:t>
      </w:r>
      <w:r w:rsidR="00142CC2" w:rsidRPr="00F9156D">
        <w:rPr>
          <w:rFonts w:ascii="Times New Roman" w:hAnsi="Times New Roman" w:cs="Times New Roman"/>
          <w:sz w:val="28"/>
          <w:szCs w:val="28"/>
        </w:rPr>
        <w:t>, а також</w:t>
      </w:r>
      <w:r w:rsidR="00E55BC1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026B08" w:rsidRPr="00F9156D">
        <w:rPr>
          <w:rFonts w:ascii="Times New Roman" w:hAnsi="Times New Roman" w:cs="Times New Roman"/>
          <w:sz w:val="28"/>
          <w:szCs w:val="28"/>
        </w:rPr>
        <w:t xml:space="preserve"> заходів</w:t>
      </w:r>
      <w:r w:rsidR="00142CC2" w:rsidRPr="00F9156D">
        <w:rPr>
          <w:rFonts w:ascii="Times New Roman" w:hAnsi="Times New Roman" w:cs="Times New Roman"/>
          <w:sz w:val="28"/>
          <w:szCs w:val="28"/>
        </w:rPr>
        <w:t xml:space="preserve"> ІП</w:t>
      </w:r>
      <w:r w:rsidR="00026B08" w:rsidRPr="00F9156D">
        <w:rPr>
          <w:rFonts w:ascii="Times New Roman" w:hAnsi="Times New Roman" w:cs="Times New Roman"/>
          <w:sz w:val="28"/>
          <w:szCs w:val="28"/>
        </w:rPr>
        <w:t xml:space="preserve">, за якими </w:t>
      </w:r>
      <w:r w:rsidR="00026B0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фактично виконаний обсяг </w:t>
      </w:r>
      <w:r w:rsidR="0049735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97352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6B08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кількісному </w:t>
      </w:r>
      <w:r w:rsidR="009B2D63" w:rsidRPr="00F9156D">
        <w:rPr>
          <w:rFonts w:ascii="Times New Roman" w:hAnsi="Times New Roman" w:cs="Times New Roman"/>
          <w:sz w:val="28"/>
          <w:szCs w:val="28"/>
          <w:lang w:eastAsia="ru-RU"/>
        </w:rPr>
        <w:t>вимірі</w:t>
      </w:r>
      <w:r w:rsidR="001D162E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перевищує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планован</w:t>
      </w:r>
      <w:r w:rsidR="001D162E" w:rsidRPr="00F9156D">
        <w:rPr>
          <w:rFonts w:ascii="Times New Roman" w:hAnsi="Times New Roman" w:cs="Times New Roman"/>
          <w:sz w:val="28"/>
          <w:szCs w:val="28"/>
          <w:lang w:eastAsia="ru-RU"/>
        </w:rPr>
        <w:t>ий показник</w:t>
      </w:r>
      <w:r w:rsidR="002D38B6" w:rsidRPr="00F9156D">
        <w:rPr>
          <w:rFonts w:ascii="Times New Roman" w:hAnsi="Times New Roman" w:cs="Times New Roman"/>
          <w:sz w:val="28"/>
          <w:szCs w:val="28"/>
        </w:rPr>
        <w:t>,</w:t>
      </w:r>
      <w:r w:rsidR="00990F9A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497352">
        <w:rPr>
          <w:rFonts w:ascii="Times New Roman" w:hAnsi="Times New Roman" w:cs="Times New Roman"/>
          <w:sz w:val="28"/>
          <w:szCs w:val="28"/>
        </w:rPr>
        <w:t>у</w:t>
      </w:r>
      <w:r w:rsidR="00497352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990F9A" w:rsidRPr="00F9156D">
        <w:rPr>
          <w:rFonts w:ascii="Times New Roman" w:hAnsi="Times New Roman" w:cs="Times New Roman"/>
          <w:sz w:val="28"/>
          <w:szCs w:val="28"/>
        </w:rPr>
        <w:t>розрізі за заходами та джерелами фінансування</w:t>
      </w:r>
      <w:r w:rsidR="003E434A" w:rsidRPr="00F9156D">
        <w:rPr>
          <w:rFonts w:ascii="Times New Roman" w:hAnsi="Times New Roman" w:cs="Times New Roman"/>
          <w:sz w:val="28"/>
          <w:szCs w:val="28"/>
        </w:rPr>
        <w:t xml:space="preserve">, що </w:t>
      </w:r>
      <w:r w:rsidR="003E434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визначається за формулою</w:t>
      </w:r>
    </w:p>
    <w:p w14:paraId="228603DD" w14:textId="33E1157E" w:rsidR="00011332" w:rsidRPr="00F9156D" w:rsidRDefault="00577421" w:rsidP="005137E9">
      <w:pPr>
        <w:pStyle w:val="rvps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незатвердж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*(Обс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(тис. грн)</m:t>
          </m:r>
          <m:r>
            <m:rPr>
              <m:nor/>
            </m:rPr>
            <w:rPr>
              <w:sz w:val="28"/>
              <w:szCs w:val="28"/>
            </w:rPr>
            <m:t>,   (11)</m:t>
          </m:r>
        </m:oMath>
      </m:oMathPara>
    </w:p>
    <w:p w14:paraId="146EC289" w14:textId="5EFB9742" w:rsidR="006F261A" w:rsidRPr="00F9156D" w:rsidRDefault="00831123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</w:t>
      </w:r>
      <w:r w:rsidR="003A336F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FCB" w:rsidRPr="00F9156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кількість заходів,</w:t>
      </w:r>
      <w:r w:rsidRPr="00F9156D">
        <w:rPr>
          <w:rFonts w:ascii="Times New Roman" w:hAnsi="Times New Roman" w:cs="Times New Roman"/>
          <w:sz w:val="28"/>
          <w:szCs w:val="28"/>
        </w:rPr>
        <w:t xml:space="preserve"> не</w:t>
      </w:r>
      <w:r w:rsidR="006E0042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Pr="00F9156D">
        <w:rPr>
          <w:rFonts w:ascii="Times New Roman" w:hAnsi="Times New Roman" w:cs="Times New Roman"/>
          <w:sz w:val="28"/>
          <w:szCs w:val="28"/>
        </w:rPr>
        <w:t xml:space="preserve">передбачених </w:t>
      </w:r>
      <w:r w:rsidR="002D38B6" w:rsidRPr="00F9156D">
        <w:rPr>
          <w:rFonts w:ascii="Times New Roman" w:hAnsi="Times New Roman" w:cs="Times New Roman"/>
          <w:sz w:val="28"/>
          <w:szCs w:val="28"/>
        </w:rPr>
        <w:t>ІП</w:t>
      </w:r>
      <w:r w:rsidR="000F2082" w:rsidRPr="00F9156D">
        <w:rPr>
          <w:rFonts w:ascii="Times New Roman" w:hAnsi="Times New Roman" w:cs="Times New Roman"/>
          <w:sz w:val="28"/>
          <w:szCs w:val="28"/>
        </w:rPr>
        <w:t>, та заходів</w:t>
      </w:r>
      <w:r w:rsidR="005D48A7" w:rsidRPr="00F9156D">
        <w:rPr>
          <w:rFonts w:ascii="Times New Roman" w:hAnsi="Times New Roman" w:cs="Times New Roman"/>
          <w:sz w:val="28"/>
          <w:szCs w:val="28"/>
        </w:rPr>
        <w:t xml:space="preserve"> ІП</w:t>
      </w:r>
      <w:r w:rsidR="000F2082" w:rsidRPr="00F9156D">
        <w:rPr>
          <w:rFonts w:ascii="Times New Roman" w:hAnsi="Times New Roman" w:cs="Times New Roman"/>
          <w:sz w:val="28"/>
          <w:szCs w:val="28"/>
        </w:rPr>
        <w:t>,</w:t>
      </w:r>
      <w:r w:rsidR="001D162E" w:rsidRPr="00F9156D">
        <w:rPr>
          <w:rFonts w:ascii="Times New Roman" w:hAnsi="Times New Roman" w:cs="Times New Roman"/>
          <w:sz w:val="28"/>
          <w:szCs w:val="28"/>
        </w:rPr>
        <w:t xml:space="preserve"> за якими </w:t>
      </w:r>
      <w:r w:rsidR="001D162E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фактично виконаний обсяг </w:t>
      </w:r>
      <w:r w:rsidR="0049735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97352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162E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кількісному </w:t>
      </w:r>
      <w:r w:rsidR="009B2D63" w:rsidRPr="00F9156D">
        <w:rPr>
          <w:rFonts w:ascii="Times New Roman" w:hAnsi="Times New Roman" w:cs="Times New Roman"/>
          <w:sz w:val="28"/>
          <w:szCs w:val="28"/>
          <w:lang w:eastAsia="ru-RU"/>
        </w:rPr>
        <w:t>вимірі</w:t>
      </w:r>
      <w:r w:rsidR="001D162E" w:rsidRPr="00F9156D">
        <w:rPr>
          <w:rFonts w:ascii="Times New Roman" w:hAnsi="Times New Roman" w:cs="Times New Roman"/>
          <w:sz w:val="28"/>
          <w:szCs w:val="28"/>
          <w:lang w:eastAsia="ru-RU"/>
        </w:rPr>
        <w:t xml:space="preserve"> перевищує </w:t>
      </w:r>
      <w:r w:rsidR="00202564" w:rsidRPr="00F9156D">
        <w:rPr>
          <w:rFonts w:ascii="Times New Roman" w:hAnsi="Times New Roman" w:cs="Times New Roman"/>
          <w:sz w:val="28"/>
          <w:szCs w:val="28"/>
          <w:lang w:eastAsia="ru-RU"/>
        </w:rPr>
        <w:t>планова</w:t>
      </w:r>
      <w:r w:rsidR="001D162E" w:rsidRPr="00F9156D">
        <w:rPr>
          <w:rFonts w:ascii="Times New Roman" w:hAnsi="Times New Roman" w:cs="Times New Roman"/>
          <w:sz w:val="28"/>
          <w:szCs w:val="28"/>
          <w:lang w:eastAsia="ru-RU"/>
        </w:rPr>
        <w:t>ний показник</w:t>
      </w:r>
      <w:r w:rsidR="00D72A8C" w:rsidRPr="00F9156D">
        <w:rPr>
          <w:rFonts w:ascii="Times New Roman" w:hAnsi="Times New Roman" w:cs="Times New Roman"/>
          <w:sz w:val="28"/>
          <w:szCs w:val="28"/>
        </w:rPr>
        <w:t xml:space="preserve">, </w:t>
      </w:r>
      <w:r w:rsidR="00D72A8C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окрім </w:t>
      </w:r>
      <w:r w:rsidR="002E25DA" w:rsidRPr="00F9156D">
        <w:rPr>
          <w:rFonts w:ascii="Times New Roman" w:hAnsi="Times New Roman" w:cs="Times New Roman"/>
          <w:sz w:val="28"/>
          <w:szCs w:val="28"/>
          <w:lang w:eastAsia="uk-UA"/>
        </w:rPr>
        <w:t>заход</w:t>
      </w:r>
      <w:r w:rsidR="00D72A8C" w:rsidRPr="00F9156D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CD69F2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E25CF0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ІП </w:t>
      </w:r>
      <w:r w:rsidR="008419AB" w:rsidRPr="00F9156D">
        <w:rPr>
          <w:rFonts w:ascii="Times New Roman" w:hAnsi="Times New Roman" w:cs="Times New Roman"/>
          <w:sz w:val="28"/>
          <w:szCs w:val="28"/>
          <w:lang w:eastAsia="uk-UA"/>
        </w:rPr>
        <w:t>р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озділу</w:t>
      </w:r>
      <w:r w:rsidR="006D00D2" w:rsidRPr="00F9156D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="006D00D2" w:rsidRPr="00F9156D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E25CF0" w:rsidRPr="00F9156D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Розподільні газопроводи</w:t>
      </w:r>
      <w:r w:rsidR="00E25CF0" w:rsidRPr="00F9156D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4964ED" w:rsidRPr="00F9156D">
        <w:rPr>
          <w:rFonts w:ascii="Times New Roman" w:hAnsi="Times New Roman" w:cs="Times New Roman"/>
          <w:sz w:val="28"/>
          <w:szCs w:val="28"/>
          <w:lang w:eastAsia="uk-UA"/>
        </w:rPr>
        <w:t>, за якими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відхилення </w:t>
      </w:r>
      <w:r w:rsidR="00D52F06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обсягів 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фактичного виконання</w:t>
      </w:r>
      <w:r w:rsidR="00D52F06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964ED" w:rsidRPr="00F9156D">
        <w:rPr>
          <w:rFonts w:ascii="Times New Roman" w:hAnsi="Times New Roman" w:cs="Times New Roman"/>
          <w:sz w:val="28"/>
          <w:szCs w:val="28"/>
          <w:lang w:eastAsia="uk-UA"/>
        </w:rPr>
        <w:t>становить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більше ніж 5</w:t>
      </w:r>
      <w:r w:rsidR="000E6602" w:rsidRPr="00F9156D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% від </w:t>
      </w:r>
      <w:r w:rsidR="00202564" w:rsidRPr="00F9156D">
        <w:rPr>
          <w:rFonts w:ascii="Times New Roman" w:hAnsi="Times New Roman" w:cs="Times New Roman"/>
          <w:sz w:val="28"/>
          <w:szCs w:val="28"/>
          <w:lang w:eastAsia="uk-UA"/>
        </w:rPr>
        <w:t>планован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их обсягів </w:t>
      </w:r>
      <w:r w:rsidR="00D73494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D73494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кількісному </w:t>
      </w:r>
      <w:r w:rsidR="009B2D63" w:rsidRPr="00F9156D">
        <w:rPr>
          <w:rFonts w:ascii="Times New Roman" w:hAnsi="Times New Roman" w:cs="Times New Roman"/>
          <w:sz w:val="28"/>
          <w:szCs w:val="28"/>
          <w:lang w:eastAsia="uk-UA"/>
        </w:rPr>
        <w:t>вимірі</w:t>
      </w:r>
      <w:r w:rsidR="00B750F4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 w:rsidR="00D73494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D73494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750F4" w:rsidRPr="00F9156D">
        <w:rPr>
          <w:rFonts w:ascii="Times New Roman" w:hAnsi="Times New Roman" w:cs="Times New Roman"/>
          <w:sz w:val="28"/>
          <w:szCs w:val="28"/>
          <w:lang w:eastAsia="uk-UA"/>
        </w:rPr>
        <w:t>км)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з</w:t>
      </w:r>
      <w:r w:rsidR="00D72A8C" w:rsidRPr="00F9156D">
        <w:rPr>
          <w:rFonts w:ascii="Times New Roman" w:hAnsi="Times New Roman" w:cs="Times New Roman"/>
          <w:sz w:val="28"/>
          <w:szCs w:val="28"/>
          <w:lang w:eastAsia="uk-UA"/>
        </w:rPr>
        <w:t>а умови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</w:t>
      </w:r>
      <w:r w:rsidR="00D72A8C" w:rsidRPr="00F9156D"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внесення змін до </w:t>
      </w:r>
      <w:proofErr w:type="spellStart"/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проєктно</w:t>
      </w:r>
      <w:proofErr w:type="spellEnd"/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-кошторисної документації. Відомості про внесення змін до </w:t>
      </w:r>
      <w:proofErr w:type="spellStart"/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проєктно</w:t>
      </w:r>
      <w:proofErr w:type="spellEnd"/>
      <w:r w:rsidR="00137EC5" w:rsidRPr="00F9156D">
        <w:rPr>
          <w:rFonts w:ascii="Times New Roman" w:hAnsi="Times New Roman" w:cs="Times New Roman"/>
          <w:sz w:val="28"/>
          <w:szCs w:val="28"/>
          <w:lang w:eastAsia="uk-UA"/>
        </w:rPr>
        <w:t>-кошторисної документації при фактичному виконанні відповідних заходів ІП мають бути відображені в акті перевірки.</w:t>
      </w:r>
      <w:r w:rsidR="000F2082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При цьому для заходів, що не були передбачені ІП, </w:t>
      </w:r>
      <w:r w:rsidR="001F5C90" w:rsidRPr="00F9156D">
        <w:rPr>
          <w:rFonts w:ascii="Times New Roman" w:hAnsi="Times New Roman" w:cs="Times New Roman"/>
          <w:sz w:val="28"/>
          <w:szCs w:val="28"/>
          <w:lang w:eastAsia="uk-UA"/>
        </w:rPr>
        <w:t>для</w:t>
      </w:r>
      <w:r w:rsidR="007F1C23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ціл</w:t>
      </w:r>
      <w:r w:rsidR="001F5C90" w:rsidRPr="00F9156D">
        <w:rPr>
          <w:rFonts w:ascii="Times New Roman" w:hAnsi="Times New Roman" w:cs="Times New Roman"/>
          <w:sz w:val="28"/>
          <w:szCs w:val="28"/>
          <w:lang w:eastAsia="uk-UA"/>
        </w:rPr>
        <w:t>ей</w:t>
      </w:r>
      <w:r w:rsidR="007F1C23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розрахунку </w:t>
      </w:r>
      <w:r w:rsidR="00202564" w:rsidRPr="00F9156D">
        <w:rPr>
          <w:rFonts w:ascii="Times New Roman" w:hAnsi="Times New Roman" w:cs="Times New Roman"/>
          <w:sz w:val="28"/>
          <w:szCs w:val="28"/>
          <w:lang w:eastAsia="uk-UA"/>
        </w:rPr>
        <w:t>планова</w:t>
      </w:r>
      <w:r w:rsidR="00416160" w:rsidRPr="00F9156D">
        <w:rPr>
          <w:rFonts w:ascii="Times New Roman" w:hAnsi="Times New Roman" w:cs="Times New Roman"/>
          <w:sz w:val="28"/>
          <w:szCs w:val="28"/>
          <w:lang w:eastAsia="uk-UA"/>
        </w:rPr>
        <w:t>ний обсяг</w:t>
      </w:r>
      <w:r w:rsidR="005955E4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416160" w:rsidRPr="00F9156D">
        <w:rPr>
          <w:rFonts w:ascii="Times New Roman" w:hAnsi="Times New Roman" w:cs="Times New Roman"/>
          <w:sz w:val="28"/>
          <w:szCs w:val="28"/>
          <w:lang w:eastAsia="uk-UA"/>
        </w:rPr>
        <w:t xml:space="preserve"> приймається рівним 0</w:t>
      </w:r>
      <w:r w:rsidR="00864A7A" w:rsidRPr="00F9156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829BA6A" w14:textId="77777777" w:rsidR="002930E6" w:rsidRPr="00F9156D" w:rsidRDefault="002930E6" w:rsidP="00496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E15AA2" w14:textId="77777777" w:rsidR="00CC047E" w:rsidRPr="00F9156D" w:rsidRDefault="00CC047E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hAnsi="Times New Roman" w:cs="Times New Roman"/>
          <w:sz w:val="28"/>
          <w:szCs w:val="28"/>
        </w:rPr>
        <w:t xml:space="preserve">суми коштів, </w:t>
      </w:r>
      <w:r w:rsidR="00732CF4" w:rsidRPr="00F9156D">
        <w:rPr>
          <w:rFonts w:ascii="Times New Roman" w:hAnsi="Times New Roman" w:cs="Times New Roman"/>
          <w:sz w:val="28"/>
          <w:szCs w:val="28"/>
        </w:rPr>
        <w:t>використа</w:t>
      </w:r>
      <w:r w:rsidRPr="00F9156D">
        <w:rPr>
          <w:rFonts w:ascii="Times New Roman" w:hAnsi="Times New Roman" w:cs="Times New Roman"/>
          <w:sz w:val="28"/>
          <w:szCs w:val="28"/>
        </w:rPr>
        <w:t>них на виконання заходів ІП в умовах недостатності коштів (</w:t>
      </w:r>
      <w:r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понад нараховані джерела </w:t>
      </w:r>
      <w:r w:rsidRPr="00F9156D">
        <w:rPr>
          <w:rFonts w:ascii="Times New Roman" w:hAnsi="Times New Roman" w:cs="Times New Roman"/>
          <w:sz w:val="28"/>
          <w:szCs w:val="28"/>
        </w:rPr>
        <w:t xml:space="preserve">фінансування ІП), а також суми коштів, </w:t>
      </w:r>
      <w:r w:rsidR="00732CF4" w:rsidRPr="00F9156D">
        <w:rPr>
          <w:rFonts w:ascii="Times New Roman" w:hAnsi="Times New Roman" w:cs="Times New Roman"/>
          <w:sz w:val="28"/>
          <w:szCs w:val="28"/>
        </w:rPr>
        <w:t>використа</w:t>
      </w:r>
      <w:r w:rsidRPr="00F9156D">
        <w:rPr>
          <w:rFonts w:ascii="Times New Roman" w:hAnsi="Times New Roman" w:cs="Times New Roman"/>
          <w:sz w:val="28"/>
          <w:szCs w:val="28"/>
        </w:rPr>
        <w:t>них на перевищення вартості заходів ІП, що не покрите економією в розрізі за джерелами фінансування</w:t>
      </w:r>
      <w:r w:rsidR="00910715" w:rsidRPr="00F9156D">
        <w:rPr>
          <w:rFonts w:ascii="Times New Roman" w:hAnsi="Times New Roman" w:cs="Times New Roman"/>
          <w:sz w:val="28"/>
          <w:szCs w:val="28"/>
        </w:rPr>
        <w:t>, та/або</w:t>
      </w:r>
      <w:r w:rsidRPr="00F9156D">
        <w:rPr>
          <w:rFonts w:ascii="Times New Roman" w:hAnsi="Times New Roman" w:cs="Times New Roman"/>
          <w:sz w:val="28"/>
          <w:szCs w:val="28"/>
        </w:rPr>
        <w:t xml:space="preserve"> із відображенням інформації щодо джерел надходження зазначених коштів;</w:t>
      </w:r>
    </w:p>
    <w:p w14:paraId="275EE8DF" w14:textId="77777777" w:rsidR="001810AB" w:rsidRPr="00F9156D" w:rsidRDefault="001810AB" w:rsidP="00BF6479">
      <w:pPr>
        <w:pStyle w:val="ac"/>
        <w:shd w:val="clear" w:color="auto" w:fill="FFFFFF"/>
        <w:tabs>
          <w:tab w:val="left" w:pos="1276"/>
        </w:tabs>
        <w:spacing w:after="6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F187BC3" w14:textId="74E6B1EA" w:rsidR="00450B81" w:rsidRPr="00F9156D" w:rsidRDefault="00450B81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 xml:space="preserve">суми коштів фінансування за заходами </w:t>
      </w:r>
      <w:r w:rsidR="00F52982" w:rsidRPr="00F9156D">
        <w:rPr>
          <w:rFonts w:ascii="Times New Roman" w:hAnsi="Times New Roman" w:cs="Times New Roman"/>
          <w:sz w:val="28"/>
          <w:szCs w:val="28"/>
        </w:rPr>
        <w:t>ІП</w:t>
      </w:r>
      <w:r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D73494">
        <w:rPr>
          <w:rFonts w:ascii="Times New Roman" w:hAnsi="Times New Roman" w:cs="Times New Roman"/>
          <w:sz w:val="28"/>
          <w:szCs w:val="28"/>
        </w:rPr>
        <w:t>у</w:t>
      </w:r>
      <w:r w:rsidR="00D73494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Pr="00F9156D">
        <w:rPr>
          <w:rFonts w:ascii="Times New Roman" w:hAnsi="Times New Roman" w:cs="Times New Roman"/>
          <w:sz w:val="28"/>
          <w:szCs w:val="28"/>
        </w:rPr>
        <w:t>разі здійснення такого фінансування до моменту затвердження відповідного плану розвитку, крім форс-мажорних обставин (обставин непереборної сили), засвідчених Торгово-промисловою палатою України та підтверджених відповідним сертифікатом</w:t>
      </w:r>
      <w:r w:rsidR="00922041" w:rsidRPr="00F9156D">
        <w:rPr>
          <w:rFonts w:ascii="Times New Roman" w:hAnsi="Times New Roman" w:cs="Times New Roman"/>
          <w:sz w:val="28"/>
          <w:szCs w:val="28"/>
        </w:rPr>
        <w:t>;</w:t>
      </w:r>
    </w:p>
    <w:p w14:paraId="6950F65A" w14:textId="77777777" w:rsidR="003132AB" w:rsidRPr="00F9156D" w:rsidRDefault="003132AB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6E9D5E" w14:textId="4F84DD09" w:rsidR="00967C36" w:rsidRPr="00F9156D" w:rsidRDefault="0033426B" w:rsidP="00B55459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сум</w:t>
      </w:r>
      <w:r w:rsidR="00A54140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864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використаних </w:t>
      </w:r>
      <w:r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коштів, </w:t>
      </w:r>
      <w:r w:rsidR="005B072C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визначен</w:t>
      </w:r>
      <w:r w:rsidR="00F4378B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5B072C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 </w:t>
      </w:r>
      <w:r w:rsidR="00202564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планован</w:t>
      </w:r>
      <w:r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і тарифні джерела фінансування відповідних інвестиційних програ</w:t>
      </w:r>
      <w:r w:rsidR="00635CC0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0C54E1" w:rsidRPr="00F91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B554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рішень </w:t>
      </w:r>
      <w:r w:rsidR="000C54E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НКРЕКП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забезпечення безпеки розподілу природного газу під час дії воєнного стану в Україні;</w:t>
      </w:r>
    </w:p>
    <w:p w14:paraId="0C5A82E9" w14:textId="77777777" w:rsidR="000C54E1" w:rsidRPr="00F9156D" w:rsidRDefault="000C54E1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980653" w14:textId="0CFF3C3C" w:rsidR="00C609AA" w:rsidRPr="00F9156D" w:rsidRDefault="00C609AA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суми використан</w:t>
      </w:r>
      <w:r w:rsidR="003A336F" w:rsidRPr="00F9156D">
        <w:rPr>
          <w:rFonts w:ascii="Times New Roman" w:hAnsi="Times New Roman" w:cs="Times New Roman"/>
          <w:sz w:val="28"/>
          <w:szCs w:val="28"/>
        </w:rPr>
        <w:t>их</w:t>
      </w:r>
      <w:r w:rsidRPr="00F9156D">
        <w:rPr>
          <w:rFonts w:ascii="Times New Roman" w:hAnsi="Times New Roman" w:cs="Times New Roman"/>
          <w:sz w:val="28"/>
          <w:szCs w:val="28"/>
        </w:rPr>
        <w:t xml:space="preserve"> коштів</w:t>
      </w:r>
      <w:r w:rsidR="00F8418A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202564" w:rsidRPr="00F9156D">
        <w:rPr>
          <w:rFonts w:ascii="Times New Roman" w:hAnsi="Times New Roman" w:cs="Times New Roman"/>
          <w:sz w:val="28"/>
          <w:szCs w:val="28"/>
        </w:rPr>
        <w:t>планован</w:t>
      </w:r>
      <w:r w:rsidR="00F8418A" w:rsidRPr="00F9156D">
        <w:rPr>
          <w:rFonts w:ascii="Times New Roman" w:hAnsi="Times New Roman" w:cs="Times New Roman"/>
          <w:sz w:val="28"/>
          <w:szCs w:val="28"/>
        </w:rPr>
        <w:t xml:space="preserve">ого прибутку, залучених коштів (гуманітарна, фінансова допомога, кредити, гранти), бюджетних коштів, коштів, передбачених мобілізаційним завданням (замовленням), коштів, отриманих від здійснення діяльності, </w:t>
      </w:r>
      <w:r w:rsidR="003A336F" w:rsidRPr="00F9156D">
        <w:rPr>
          <w:rFonts w:ascii="Times New Roman" w:hAnsi="Times New Roman" w:cs="Times New Roman"/>
          <w:sz w:val="28"/>
          <w:szCs w:val="28"/>
        </w:rPr>
        <w:t>пов’язаної</w:t>
      </w:r>
      <w:r w:rsidR="00F8418A" w:rsidRPr="00F9156D">
        <w:rPr>
          <w:rFonts w:ascii="Times New Roman" w:hAnsi="Times New Roman" w:cs="Times New Roman"/>
          <w:sz w:val="28"/>
          <w:szCs w:val="28"/>
        </w:rPr>
        <w:t xml:space="preserve"> та не </w:t>
      </w:r>
      <w:r w:rsidR="003A336F" w:rsidRPr="00F9156D">
        <w:rPr>
          <w:rFonts w:ascii="Times New Roman" w:hAnsi="Times New Roman" w:cs="Times New Roman"/>
          <w:sz w:val="28"/>
          <w:szCs w:val="28"/>
        </w:rPr>
        <w:t>пов’язаної</w:t>
      </w:r>
      <w:r w:rsidR="00F8418A" w:rsidRPr="00F9156D">
        <w:rPr>
          <w:rFonts w:ascii="Times New Roman" w:hAnsi="Times New Roman" w:cs="Times New Roman"/>
          <w:sz w:val="28"/>
          <w:szCs w:val="28"/>
        </w:rPr>
        <w:t xml:space="preserve"> з транспортуванням, розподілом, зберіганням (закачуванням, відбором) природного газу та інших не заборонених законодавством коштів</w:t>
      </w:r>
      <w:r w:rsidR="009D72C8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B554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рішень </w:t>
      </w:r>
      <w:r w:rsidR="00FA418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НКРЕКП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забезпечення безпеки розподілу природного газу під час дії воєнного стану в Україні</w:t>
      </w:r>
      <w:r w:rsidRPr="00F9156D">
        <w:rPr>
          <w:rFonts w:ascii="Times New Roman" w:hAnsi="Times New Roman" w:cs="Times New Roman"/>
          <w:sz w:val="28"/>
          <w:szCs w:val="28"/>
        </w:rPr>
        <w:t>;</w:t>
      </w:r>
    </w:p>
    <w:p w14:paraId="30377C90" w14:textId="77777777" w:rsidR="00967C36" w:rsidRPr="00F9156D" w:rsidRDefault="00967C36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BB2750E" w14:textId="77777777" w:rsidR="008754AA" w:rsidRPr="00F9156D" w:rsidRDefault="008754AA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 xml:space="preserve">фактична сума частини чистого прибутку (дивідендів) </w:t>
      </w:r>
      <w:r w:rsidR="00FB5B96" w:rsidRPr="00F9156D">
        <w:rPr>
          <w:rFonts w:ascii="Times New Roman" w:hAnsi="Times New Roman" w:cs="Times New Roman"/>
          <w:sz w:val="28"/>
          <w:szCs w:val="28"/>
        </w:rPr>
        <w:t>у</w:t>
      </w:r>
      <w:r w:rsidRPr="00F9156D">
        <w:rPr>
          <w:rFonts w:ascii="Times New Roman" w:hAnsi="Times New Roman" w:cs="Times New Roman"/>
          <w:sz w:val="28"/>
          <w:szCs w:val="28"/>
        </w:rPr>
        <w:t xml:space="preserve"> частині здійснення ліцензованої діяльності з розподілу на державну частку акцій, нараховану за підсумками попереднього року та виплачену у звітному році відповідно до платіжних доручень, наданих ліцензіатом;</w:t>
      </w:r>
    </w:p>
    <w:p w14:paraId="684184A2" w14:textId="77777777" w:rsidR="00F21D1F" w:rsidRPr="00F9156D" w:rsidRDefault="00F21D1F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A1FEE" w14:textId="5D025425" w:rsidR="008754AA" w:rsidRPr="00F9156D" w:rsidRDefault="008754AA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сума сплаченого податку на прибуток</w:t>
      </w:r>
      <w:r w:rsidR="00443E48" w:rsidRPr="00F9156D">
        <w:rPr>
          <w:rFonts w:ascii="Times New Roman" w:hAnsi="Times New Roman" w:cs="Times New Roman"/>
          <w:sz w:val="28"/>
          <w:szCs w:val="28"/>
        </w:rPr>
        <w:t xml:space="preserve"> у</w:t>
      </w:r>
      <w:r w:rsidRPr="00F9156D">
        <w:rPr>
          <w:rFonts w:ascii="Times New Roman" w:hAnsi="Times New Roman" w:cs="Times New Roman"/>
          <w:sz w:val="28"/>
          <w:szCs w:val="28"/>
        </w:rPr>
        <w:t xml:space="preserve"> звітному році в частині здійснення ліцензованої діяльності з розподілу природного газу, яка була нарахована за підсумками попереднього року та виплачена у звітному році </w:t>
      </w:r>
      <w:r w:rsidRPr="00F9156D">
        <w:rPr>
          <w:rFonts w:ascii="Times New Roman" w:hAnsi="Times New Roman" w:cs="Times New Roman"/>
          <w:sz w:val="28"/>
          <w:szCs w:val="28"/>
        </w:rPr>
        <w:lastRenderedPageBreak/>
        <w:t>відповідно до платіжних доручень та податкової декларації з податку на прибуток підприємств, наданих ліцензіатом</w:t>
      </w:r>
      <w:r w:rsidR="00F21D1F" w:rsidRPr="00F9156D">
        <w:rPr>
          <w:rFonts w:ascii="Times New Roman" w:hAnsi="Times New Roman" w:cs="Times New Roman"/>
          <w:sz w:val="28"/>
          <w:szCs w:val="28"/>
        </w:rPr>
        <w:t>;</w:t>
      </w:r>
    </w:p>
    <w:p w14:paraId="31F7C893" w14:textId="77777777" w:rsidR="00F21D1F" w:rsidRPr="00F9156D" w:rsidRDefault="00F21D1F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D68473" w14:textId="77777777" w:rsidR="008754AA" w:rsidRPr="00F9156D" w:rsidRDefault="008754AA" w:rsidP="00986AAB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дохід, отриманий у звітному році від надання в оренду/суборенду основних засобів (активів), які знаходяться на балансі ліцензіата, належать до основної діяльності ліцензіата та/або є об</w:t>
      </w:r>
      <w:r w:rsidR="00B20654" w:rsidRPr="00F9156D">
        <w:rPr>
          <w:rFonts w:ascii="Times New Roman" w:hAnsi="Times New Roman" w:cs="Times New Roman"/>
          <w:sz w:val="28"/>
          <w:szCs w:val="28"/>
        </w:rPr>
        <w:t>’</w:t>
      </w:r>
      <w:r w:rsidRPr="00F9156D">
        <w:rPr>
          <w:rFonts w:ascii="Times New Roman" w:hAnsi="Times New Roman" w:cs="Times New Roman"/>
          <w:sz w:val="28"/>
          <w:szCs w:val="28"/>
        </w:rPr>
        <w:t>єктом державної власності;</w:t>
      </w:r>
    </w:p>
    <w:p w14:paraId="05A3E97A" w14:textId="77777777" w:rsidR="00F24C50" w:rsidRPr="00F9156D" w:rsidRDefault="00F24C50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09B8C" w14:textId="77777777" w:rsidR="00E3768A" w:rsidRPr="00F9156D" w:rsidRDefault="00E3768A" w:rsidP="00E3768A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n1034"/>
      <w:bookmarkStart w:id="19" w:name="n1036"/>
      <w:bookmarkStart w:id="20" w:name="n1039"/>
      <w:bookmarkStart w:id="21" w:name="n1033"/>
      <w:bookmarkStart w:id="22" w:name="n1046"/>
      <w:bookmarkStart w:id="23" w:name="n1047"/>
      <w:bookmarkStart w:id="24" w:name="n1048"/>
      <w:bookmarkStart w:id="25" w:name="n1049"/>
      <w:bookmarkStart w:id="26" w:name="n1050"/>
      <w:bookmarkStart w:id="27" w:name="n1051"/>
      <w:bookmarkStart w:id="28" w:name="n1052"/>
      <w:bookmarkStart w:id="29" w:name="n1053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F9156D">
        <w:rPr>
          <w:rFonts w:ascii="Times New Roman" w:hAnsi="Times New Roman" w:cs="Times New Roman"/>
          <w:sz w:val="28"/>
          <w:szCs w:val="28"/>
        </w:rPr>
        <w:t>кількість абонентів (населення) без комерційного обліку;</w:t>
      </w:r>
    </w:p>
    <w:p w14:paraId="559C4CD5" w14:textId="77777777" w:rsidR="00F24C50" w:rsidRPr="00F9156D" w:rsidRDefault="00F24C50" w:rsidP="004966FD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C74B2" w14:textId="77777777" w:rsidR="00E3768A" w:rsidRPr="00F9156D" w:rsidRDefault="00E3768A" w:rsidP="00E3768A">
      <w:pPr>
        <w:pStyle w:val="ac"/>
        <w:numPr>
          <w:ilvl w:val="0"/>
          <w:numId w:val="8"/>
        </w:numPr>
        <w:shd w:val="clear" w:color="auto" w:fill="FFFFFF"/>
        <w:tabs>
          <w:tab w:val="left" w:pos="1276"/>
        </w:tabs>
        <w:spacing w:after="6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кількість індивідуальних лічильників на складі</w:t>
      </w:r>
      <w:r w:rsidR="000E2E84" w:rsidRPr="00F9156D">
        <w:rPr>
          <w:rFonts w:ascii="Times New Roman" w:hAnsi="Times New Roman" w:cs="Times New Roman"/>
          <w:sz w:val="28"/>
          <w:szCs w:val="28"/>
        </w:rPr>
        <w:t xml:space="preserve"> для</w:t>
      </w:r>
      <w:r w:rsidRPr="00F9156D">
        <w:rPr>
          <w:rFonts w:ascii="Times New Roman" w:hAnsi="Times New Roman" w:cs="Times New Roman"/>
          <w:sz w:val="28"/>
          <w:szCs w:val="28"/>
        </w:rPr>
        <w:t>:</w:t>
      </w:r>
    </w:p>
    <w:p w14:paraId="7255D163" w14:textId="77777777" w:rsidR="00E3768A" w:rsidRPr="00F9156D" w:rsidRDefault="00E3768A" w:rsidP="00E3768A">
      <w:pPr>
        <w:pStyle w:val="ac"/>
        <w:shd w:val="clear" w:color="auto" w:fill="FFFFFF"/>
        <w:tabs>
          <w:tab w:val="left" w:pos="1276"/>
        </w:tabs>
        <w:spacing w:after="6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встановлення населенню;</w:t>
      </w:r>
    </w:p>
    <w:p w14:paraId="614EC56A" w14:textId="77777777" w:rsidR="00E3768A" w:rsidRPr="00F9156D" w:rsidRDefault="00E3768A" w:rsidP="00E3768A">
      <w:pPr>
        <w:pStyle w:val="ac"/>
        <w:shd w:val="clear" w:color="auto" w:fill="FFFFFF"/>
        <w:tabs>
          <w:tab w:val="left" w:pos="1276"/>
        </w:tabs>
        <w:spacing w:after="6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заміни індивідуальних лічильників;</w:t>
      </w:r>
    </w:p>
    <w:p w14:paraId="25F8567D" w14:textId="77777777" w:rsidR="00E3768A" w:rsidRPr="00F9156D" w:rsidRDefault="00E3768A" w:rsidP="00E3768A">
      <w:pPr>
        <w:pStyle w:val="ac"/>
        <w:shd w:val="clear" w:color="auto" w:fill="FFFFFF"/>
        <w:tabs>
          <w:tab w:val="left" w:pos="1276"/>
        </w:tabs>
        <w:spacing w:after="6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F9156D">
        <w:rPr>
          <w:rFonts w:ascii="Times New Roman" w:hAnsi="Times New Roman" w:cs="Times New Roman"/>
          <w:sz w:val="28"/>
          <w:szCs w:val="28"/>
        </w:rPr>
        <w:t>обмінного фонду</w:t>
      </w:r>
      <w:r w:rsidR="00F24C50" w:rsidRPr="00F9156D">
        <w:rPr>
          <w:rFonts w:ascii="Times New Roman" w:hAnsi="Times New Roman" w:cs="Times New Roman"/>
          <w:sz w:val="28"/>
          <w:szCs w:val="28"/>
        </w:rPr>
        <w:t>.</w:t>
      </w:r>
    </w:p>
    <w:p w14:paraId="76D97369" w14:textId="77777777" w:rsidR="00E3768A" w:rsidRPr="00F9156D" w:rsidRDefault="00E3768A" w:rsidP="00496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2D7F14" w14:textId="3A41E275" w:rsidR="00C5796D" w:rsidRPr="00F9156D" w:rsidRDefault="00C5796D" w:rsidP="00F91505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7.</w:t>
      </w:r>
      <w:r w:rsidR="00625EA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501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Загальна сума невикористаних коштів планованих джерел </w:t>
      </w:r>
      <w:r w:rsidR="002F5BB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ІП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звітний рік</w:t>
      </w:r>
      <w:r w:rsidR="0000607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визначається як сума складових за формулою</w:t>
      </w:r>
    </w:p>
    <w:p w14:paraId="5F70E686" w14:textId="0C99888F" w:rsidR="00C5796D" w:rsidRPr="00F9156D" w:rsidRDefault="00577421" w:rsidP="00571D92">
      <w:pPr>
        <w:pStyle w:val="ac"/>
        <w:shd w:val="clear" w:color="auto" w:fill="FFFFFF"/>
        <w:spacing w:after="6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ІП</m:t>
            </m:r>
          </m:sub>
        </m:sSub>
      </m:oMath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невик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незатвердж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/>
        </m:sSub>
        <m:r>
          <w:rPr>
            <w:rFonts w:ascii="Cambria Math" w:hAnsi="Cambria Math" w:cs="Times New Roman"/>
            <w:sz w:val="28"/>
            <w:szCs w:val="28"/>
          </w:rPr>
          <m:t>+</m:t>
        </m:r>
      </m:oMath>
      <w:r w:rsidR="00C5796D" w:rsidRPr="00F9156D">
        <w:rPr>
          <w:rFonts w:ascii="Times New Roman" w:eastAsia="Times New Roman" w:hAnsi="Times New Roman" w:cs="Times New Roman"/>
          <w:sz w:val="3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заг</m:t>
            </m:r>
          </m:sub>
        </m:sSub>
      </m:oMath>
      <w:r w:rsidR="00C5796D" w:rsidRPr="00A27F99">
        <w:rPr>
          <w:rFonts w:ascii="Cambria Math" w:eastAsia="Times New Roman" w:hAnsi="Cambria Math" w:cs="Times New Roman"/>
          <w:sz w:val="32"/>
        </w:rPr>
        <w:t xml:space="preserve"> </w:t>
      </w:r>
      <w:r w:rsidR="00C5796D" w:rsidRPr="00A27F99">
        <w:rPr>
          <w:rFonts w:ascii="Cambria Math" w:eastAsia="Times New Roman" w:hAnsi="Cambria Math" w:cs="Times New Roman"/>
          <w:sz w:val="28"/>
          <w:szCs w:val="28"/>
          <w:lang w:eastAsia="uk-UA"/>
        </w:rPr>
        <w:t>(тис. грн)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  (1</w:t>
      </w:r>
      <w:r w:rsidR="00A06F1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14:paraId="3F984C90" w14:textId="77777777" w:rsidR="00C5796D" w:rsidRPr="00F9156D" w:rsidRDefault="00C5796D" w:rsidP="00DE3230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де</w:t>
      </w:r>
      <w:r w:rsidR="000E2E8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невик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323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коштів невиконання заходів</w:t>
      </w:r>
      <w:r w:rsidRPr="00F9156D" w:rsidDel="00D62D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ІП;</w:t>
      </w:r>
    </w:p>
    <w:p w14:paraId="50BE05BB" w14:textId="77777777" w:rsidR="00C5796D" w:rsidRPr="00F9156D" w:rsidRDefault="00577421" w:rsidP="00DE3230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незатвердж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5796D"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суми коштів фінансування заходів, не передбачених ІП та профінансованих за рахунок коштів затверджених джерел фінансування ІП;</w:t>
      </w:r>
    </w:p>
    <w:p w14:paraId="24EEB379" w14:textId="77777777" w:rsidR="00C5796D" w:rsidRPr="00F9156D" w:rsidRDefault="00577421" w:rsidP="00C5796D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5796D" w:rsidRPr="00F91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суми коштів фінансування за заходами ІП до моменту затвердження відповідного плану розвитку, крім форс-мажорних обставин (обставин непереборної сили), засвідчених Торгово-промисловою палатою України та підтверджених відповідним сертифікатом</w:t>
      </w:r>
      <w:r w:rsidR="00625EA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467E8F1" w14:textId="766CF895" w:rsidR="00C5796D" w:rsidRPr="00F9156D" w:rsidRDefault="00577421" w:rsidP="00C5796D">
      <w:pPr>
        <w:shd w:val="clear" w:color="auto" w:fill="FFFFFF"/>
        <w:spacing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/>
        </m:sSub>
      </m:oMath>
      <w:r w:rsidR="00C5796D" w:rsidRPr="00F9156D">
        <w:rPr>
          <w:rFonts w:ascii="Times New Roman" w:hAnsi="Times New Roman" w:cs="Times New Roman"/>
          <w:sz w:val="28"/>
          <w:szCs w:val="28"/>
        </w:rPr>
        <w:t xml:space="preserve"> </w:t>
      </w:r>
      <w:r w:rsidR="00C5796D" w:rsidRPr="00F9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5796D" w:rsidRPr="00F9156D">
        <w:rPr>
          <w:rFonts w:ascii="Times New Roman" w:hAnsi="Times New Roman" w:cs="Times New Roman"/>
          <w:sz w:val="28"/>
          <w:szCs w:val="28"/>
        </w:rPr>
        <w:t>суми коштів</w:t>
      </w:r>
      <w:r w:rsidR="00D01864" w:rsidRPr="00F9156D">
        <w:rPr>
          <w:rFonts w:ascii="Times New Roman" w:hAnsi="Times New Roman" w:cs="Times New Roman"/>
          <w:sz w:val="28"/>
          <w:szCs w:val="28"/>
        </w:rPr>
        <w:t xml:space="preserve">, визначених як плановані тарифні джерела фінансування відповідних </w:t>
      </w:r>
      <w:r w:rsidR="00BF57DE" w:rsidRPr="00F9156D">
        <w:rPr>
          <w:rFonts w:ascii="Times New Roman" w:hAnsi="Times New Roman" w:cs="Times New Roman"/>
          <w:sz w:val="28"/>
          <w:szCs w:val="28"/>
        </w:rPr>
        <w:t xml:space="preserve">ІП, </w:t>
      </w:r>
      <w:r w:rsidR="00D01864" w:rsidRPr="00F9156D">
        <w:rPr>
          <w:rFonts w:ascii="Times New Roman" w:hAnsi="Times New Roman" w:cs="Times New Roman"/>
          <w:sz w:val="28"/>
          <w:szCs w:val="28"/>
        </w:rPr>
        <w:t xml:space="preserve">використаних на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 w:rsidR="00B554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рішень </w:t>
      </w:r>
      <w:r w:rsidR="003E18A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НКРЕКП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забезпечення безпеки розподілу природного газу під час дії воєнного стану в Україні</w:t>
      </w:r>
      <w:r w:rsidR="00625EA2" w:rsidRPr="00F9156D">
        <w:rPr>
          <w:rFonts w:ascii="Times New Roman" w:hAnsi="Times New Roman" w:cs="Times New Roman"/>
          <w:sz w:val="28"/>
          <w:szCs w:val="28"/>
        </w:rPr>
        <w:t>;</w:t>
      </w:r>
    </w:p>
    <w:p w14:paraId="51606A66" w14:textId="5734537A" w:rsidR="009822EE" w:rsidRPr="00F9156D" w:rsidRDefault="00577421" w:rsidP="009822EE">
      <w:pPr>
        <w:shd w:val="clear" w:color="auto" w:fill="FFFFFF"/>
        <w:spacing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– </m:t>
        </m:r>
      </m:oMath>
      <w:r w:rsidR="009822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суми коштів </w:t>
      </w:r>
      <w:r w:rsidR="00B13B2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загальної </w:t>
      </w:r>
      <w:r w:rsidR="009822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економії, яка визначається шляхом зменшення економії при фактичному виконанні заходів ІП </w:t>
      </w:r>
      <w:r w:rsidR="00316BE0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16B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22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кількісному </w:t>
      </w:r>
      <w:r w:rsidR="009B2D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вимірі</w:t>
      </w:r>
      <w:r w:rsidR="009822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суму перевищення вартості заходів ІП до 5 % включно (</w:t>
      </w:r>
      <w:r w:rsidR="00316BE0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16B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22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межах покриття економією), та розраховується за формулою</w:t>
      </w:r>
    </w:p>
    <w:p w14:paraId="7ADEA6D7" w14:textId="13EDE98D" w:rsidR="009822EE" w:rsidRPr="00F9156D" w:rsidRDefault="00577421" w:rsidP="009822EE">
      <w:pPr>
        <w:pStyle w:val="rvps2"/>
        <w:shd w:val="clear" w:color="auto" w:fill="FFFFFF"/>
        <w:spacing w:before="0" w:beforeAutospacing="0" w:after="0" w:afterAutospacing="0"/>
        <w:ind w:left="709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Е-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5%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&gt;0  (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тис. грн)</m:t>
          </m:r>
          <m:r>
            <m:rPr>
              <m:nor/>
            </m:rPr>
            <w:rPr>
              <w:sz w:val="28"/>
              <w:szCs w:val="28"/>
            </w:rPr>
            <m:t>,   (13)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6162D6D5" w14:textId="0D7366D6" w:rsidR="00470640" w:rsidRPr="00F9156D" w:rsidRDefault="00470640" w:rsidP="00470640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відсутності затвердженої ІП Оператора ГРМ на відповідний звітний період, сума коштів, визначених </w:t>
      </w:r>
      <w:r w:rsidR="00316BE0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16B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структурі затвердженого тарифу як плановані тарифні джерела фінансування ІП на звітний рік, за</w:t>
      </w:r>
      <w:r w:rsidR="0039309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виключенням коштів, визначених як плановані тарифні джерела фінансування відповідних ІП, використаних Оператором ГРМ </w:t>
      </w:r>
      <w:r w:rsidR="00D01864" w:rsidRPr="00F9156D">
        <w:rPr>
          <w:rFonts w:ascii="Times New Roman" w:hAnsi="Times New Roman" w:cs="Times New Roman"/>
          <w:sz w:val="28"/>
          <w:szCs w:val="28"/>
        </w:rPr>
        <w:t xml:space="preserve">на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 w:rsidR="00B554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рішень </w:t>
      </w:r>
      <w:r w:rsidR="003A525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НКРЕКП</w:t>
      </w:r>
      <w:r w:rsidR="00D018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забезпечення безпеки розподілу природного газу під час дії воєнного стану в Україні</w:t>
      </w:r>
      <w:r w:rsidR="002C257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враховується як </w:t>
      </w:r>
      <w:r w:rsidR="00436E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невикористаних коштів планованих джерел </w:t>
      </w:r>
      <w:r w:rsidR="00484463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інвестиційної програми.</w:t>
      </w:r>
    </w:p>
    <w:p w14:paraId="27D88159" w14:textId="77777777" w:rsidR="006A4EFE" w:rsidRPr="00F9156D" w:rsidRDefault="006A4EFE" w:rsidP="00496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7E6F040" w14:textId="77777777" w:rsidR="00FA5CD5" w:rsidRPr="00F9156D" w:rsidRDefault="006A4EFE" w:rsidP="00F662A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8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Загальна сума додатково отриманого доходу</w:t>
      </w:r>
      <w:r w:rsidR="007A0B2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недоотриманого доходу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ліцензованої діяльності у звітному році визначається як сума таких складових:</w:t>
      </w:r>
    </w:p>
    <w:p w14:paraId="319B9494" w14:textId="77777777" w:rsidR="00927F16" w:rsidRPr="00F9156D" w:rsidRDefault="00927F16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9FB6A0" w14:textId="77777777" w:rsidR="002A4CE6" w:rsidRPr="00F9156D" w:rsidRDefault="009E61CE" w:rsidP="002A4CE6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n38"/>
      <w:bookmarkStart w:id="31" w:name="n39"/>
      <w:bookmarkStart w:id="32" w:name="n41"/>
      <w:bookmarkStart w:id="33" w:name="n42"/>
      <w:bookmarkStart w:id="34" w:name="n1054"/>
      <w:bookmarkStart w:id="35" w:name="n1055"/>
      <w:bookmarkEnd w:id="30"/>
      <w:bookmarkEnd w:id="31"/>
      <w:bookmarkEnd w:id="32"/>
      <w:bookmarkEnd w:id="33"/>
      <w:bookmarkEnd w:id="34"/>
      <w:bookmarkEnd w:id="35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r w:rsidR="00A9084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додатково отриманий (недоотриманий) дохід ліцензіата внаслідок збільшення (зменшення) фактичного обсягу наданих послуг порівняно з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</w:t>
      </w:r>
      <w:r w:rsidR="00A9084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аним, врахованим у встановленій структурі тарифу на послуги розподілу природного газу</w:t>
      </w:r>
      <w:r w:rsidR="00927F1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22DEF31" w14:textId="77777777" w:rsidR="00927F16" w:rsidRPr="00F9156D" w:rsidRDefault="00927F16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3E0731" w14:textId="77777777" w:rsidR="00340267" w:rsidRPr="00F9156D" w:rsidRDefault="002A4CE6" w:rsidP="00F662AB">
      <w:pPr>
        <w:pStyle w:val="ac"/>
        <w:shd w:val="clear" w:color="auto" w:fill="FFFFFF"/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2569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9309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9084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недофінансування статей витрат структури тарифу у звітному році, окрім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41A694DA" w14:textId="5FA05D2F" w:rsidR="00340267" w:rsidRPr="00F9156D" w:rsidRDefault="002B78B8" w:rsidP="00F662AB">
      <w:pPr>
        <w:pStyle w:val="ac"/>
        <w:shd w:val="clear" w:color="auto" w:fill="FFFFFF"/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невикористаних коштів планованих джерел </w:t>
      </w:r>
      <w:r w:rsidR="00A9084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інвестиційної програми за звітний рік,</w:t>
      </w:r>
    </w:p>
    <w:p w14:paraId="2EA955EC" w14:textId="1F3CC85B" w:rsidR="00340267" w:rsidRPr="00F9156D" w:rsidRDefault="00A90841" w:rsidP="00F662AB">
      <w:pPr>
        <w:pStyle w:val="ac"/>
        <w:shd w:val="clear" w:color="auto" w:fill="FFFFFF"/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недофінансування витрат на оплату праці, у разі зменшення суб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єктом господарювання з розподілу природного газу таких витрат з метою оптимізації штату працівників</w:t>
      </w:r>
      <w:r w:rsidR="00080D0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безпосередньо задіяних при здійсненні діяльності з розподілу природного газу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(за умови дотримання норм технічної безпеки надання послуг розподілу природного газу)</w:t>
      </w:r>
      <w:r w:rsidR="00316BE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випадку направлення такої економії коштів для фінансування заходів з підвищення рівня середньомісячної заробітної плати працівникі</w:t>
      </w:r>
      <w:r w:rsidR="00EE243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в, безпосередньо задіяних при здійсненні діяльності з розподілу природного газу,</w:t>
      </w:r>
      <w:r w:rsidR="0054442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C096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році, наступному за </w:t>
      </w:r>
      <w:r w:rsidR="00EE243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звітним роком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15219B3" w14:textId="37FEBC36" w:rsidR="000741D2" w:rsidRPr="00F9156D" w:rsidRDefault="00A90841" w:rsidP="00B55459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суми недофінансування </w:t>
      </w:r>
      <w:r w:rsidR="00C27E4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витрат, пов</w:t>
      </w:r>
      <w:r w:rsidR="00316B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C27E4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язаних з використанням природного газу на ВТВ та власні потреби, за рахунок зменшення обсягів ВТВ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порівняно з затвердженими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у випадку направлення такої економії кошті</w:t>
      </w:r>
      <w:r w:rsidR="00EE243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у звітному році або у році, наступному за звітним роком, 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фінансування </w:t>
      </w:r>
      <w:r w:rsidR="00C27E4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 з підвищення рівня середньомісячної заробітної плати працівників</w:t>
      </w:r>
      <w:r w:rsidR="00EE243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безпосередньо задіяних при здійсненні діяльності з розподілу природного газу, </w:t>
      </w:r>
      <w:r w:rsidR="00316BE0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316BE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7E4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обсягах не більше 50 % від економії коштів, та/або для фінансування 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передбачених </w:t>
      </w:r>
      <w:r w:rsidR="00A97B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розділами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97B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97B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34026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VІ та IX інвестиційної програми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5B0AF23" w14:textId="77777777" w:rsidR="00814F89" w:rsidRPr="00F9156D" w:rsidRDefault="00132BE4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Загальна сума додатково отриманого доходу </w:t>
      </w:r>
      <w:r w:rsidR="001E603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 бути збільшена на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87A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суму невикористаних коштів планованих джерел </w:t>
      </w:r>
      <w:r w:rsidR="00814F8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інвестиційної програми за звітний рік, визначен</w:t>
      </w:r>
      <w:r w:rsidR="00687A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814F8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пункту 7 </w:t>
      </w:r>
      <w:r w:rsidR="001B4BF0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цієї Методики.</w:t>
      </w:r>
    </w:p>
    <w:p w14:paraId="563B93A7" w14:textId="77777777" w:rsidR="001E603B" w:rsidRPr="00F9156D" w:rsidRDefault="001E603B" w:rsidP="001E603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Загальна сума недоотриманого доходу має бути зменшена на </w:t>
      </w:r>
      <w:r w:rsidR="00687A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суму невикористаних коштів планованих джерел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інвестиційної програми за звітний рік, визначен</w:t>
      </w:r>
      <w:r w:rsidR="00687A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пункту 7 цієї Методики.</w:t>
      </w:r>
    </w:p>
    <w:p w14:paraId="469C4183" w14:textId="77777777" w:rsidR="000D28D6" w:rsidRPr="00F9156D" w:rsidRDefault="000D28D6" w:rsidP="00B55459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38A223E" w14:textId="77777777" w:rsidR="004C18EE" w:rsidRPr="00F9156D" w:rsidRDefault="00A7769D" w:rsidP="00700896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1056"/>
      <w:bookmarkStart w:id="37" w:name="n1057"/>
      <w:bookmarkEnd w:id="36"/>
      <w:bookmarkEnd w:id="37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 Розмір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єктивних чинників недофінансування ліцензованої діяльності</w:t>
      </w:r>
      <w:r w:rsidR="005065F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B78B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окрім суми невикористаних коштів планованих джерел інвестиційної програми за звітний рік</w:t>
      </w:r>
      <w:r w:rsidR="005065F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визначається як сума таких чинників:</w:t>
      </w:r>
    </w:p>
    <w:p w14:paraId="155094B2" w14:textId="77777777" w:rsidR="00B35BD2" w:rsidRPr="00F9156D" w:rsidRDefault="00B35BD2" w:rsidP="00B55459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6520FE" w14:textId="77777777" w:rsidR="004C18EE" w:rsidRPr="00F9156D" w:rsidRDefault="004C18EE" w:rsidP="00700896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різниця між фактично сплаченим та </w:t>
      </w:r>
      <w:r w:rsidR="009D468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передбаченим затвердженою</w:t>
      </w:r>
      <w:r w:rsidR="002047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структурою тарифу</w:t>
      </w:r>
      <w:r w:rsidRPr="00F9156D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податком на прибуток у звітному році в частині здійснення ліцензованої діяльності з розподілу природного газу;</w:t>
      </w:r>
    </w:p>
    <w:p w14:paraId="75AF902E" w14:textId="77777777" w:rsidR="00B35BD2" w:rsidRPr="00F9156D" w:rsidRDefault="00B35BD2" w:rsidP="00B55459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3B21BB" w14:textId="4287275A" w:rsidR="004C18EE" w:rsidRPr="00F9156D" w:rsidRDefault="004C18EE" w:rsidP="00700896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r w:rsidR="008B78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різниця між фактично сплаченою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звітному році сум</w:t>
      </w:r>
      <w:r w:rsidR="008B78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частини чистого прибутку (дивідендів) 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97B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частині здійснення ліцензованої діяльності з розподілу природного газу на державну частку акцій за підсумками попереднього року, що передує звітному року</w:t>
      </w:r>
      <w:r w:rsidR="000741D2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B785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передбаченим затвердженою структурою тарифу чистим прибутком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689E7DC" w14:textId="77777777" w:rsidR="00B35BD2" w:rsidRPr="00F9156D" w:rsidRDefault="00B35BD2" w:rsidP="00B55459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90D68A" w14:textId="55FD8953" w:rsidR="004C18EE" w:rsidRPr="00F9156D" w:rsidRDefault="004C18EE" w:rsidP="00700896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3) фактичні витрати, понесені у звітному році, пов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язані з обслуговуванням кредитів, залучених у банківських установах (погашення основної суми запозичення, сплата відсотків за користування кредитом), </w:t>
      </w:r>
      <w:r w:rsidR="004534B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включенням відповідних заходів до інвестиційної програми ліцензіата.</w:t>
      </w:r>
    </w:p>
    <w:p w14:paraId="66832A06" w14:textId="77777777" w:rsidR="00646004" w:rsidRPr="00F9156D" w:rsidRDefault="00646004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1061"/>
      <w:bookmarkEnd w:id="38"/>
    </w:p>
    <w:p w14:paraId="50F0035E" w14:textId="77777777" w:rsidR="00AE3EC6" w:rsidRPr="00F9156D" w:rsidRDefault="00A7769D" w:rsidP="00700896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FA5CD5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A5D1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формуванні проєктів рішень НКРЕКП за результатами перевірок дотримання суб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3A5D1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єктами господарювання вимог законодавства та ліцензійних умов провадження господарської діяльності з розподілу природного газу </w:t>
      </w:r>
      <w:r w:rsidR="00AE3EC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такі проєкти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році.</w:t>
      </w:r>
    </w:p>
    <w:p w14:paraId="22BE092A" w14:textId="77777777" w:rsidR="00FA5CD5" w:rsidRPr="00F9156D" w:rsidRDefault="00FA5CD5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Підсумкова сума </w:t>
      </w:r>
      <w:r w:rsidR="00AE3EC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ково отриманого або недоотриманого доходу від здійснення ліцензованої діяльності у звітному році визначається як різниця між сумою, розрахованою відповідно до </w:t>
      </w:r>
      <w:hyperlink r:id="rId10" w:anchor="n1053" w:history="1">
        <w:r w:rsidR="00A7769D" w:rsidRPr="00F9156D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пункту 8</w:t>
        </w:r>
      </w:hyperlink>
      <w:r w:rsidR="00A7769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02CCF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цієї Методики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 розміром об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єктивних чинників недофінансування ліцензованої діяльності, зазначених у пункті </w:t>
      </w:r>
      <w:r w:rsidR="00A7769D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 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цієї Методики</w:t>
      </w:r>
      <w:r w:rsidR="009E554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F7245D4" w14:textId="7A8A28FD" w:rsidR="00BA77DC" w:rsidRPr="00F9156D" w:rsidRDefault="00EC3A30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  <w:lang w:eastAsia="uk-UA"/>
        </w:rPr>
      </w:pPr>
      <w:bookmarkStart w:id="39" w:name="n1062"/>
      <w:bookmarkStart w:id="40" w:name="n1063"/>
      <w:bookmarkStart w:id="41" w:name="n1064"/>
      <w:bookmarkStart w:id="42" w:name="n1065"/>
      <w:bookmarkStart w:id="43" w:name="_Hlk152075745"/>
      <w:bookmarkEnd w:id="39"/>
      <w:bookmarkEnd w:id="40"/>
      <w:bookmarkEnd w:id="41"/>
      <w:bookmarkEnd w:id="42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Позитивна сума</w:t>
      </w:r>
      <w:r w:rsidR="00CE03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E3EC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(додатково отриманий дохід)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E3EC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може бути визначен</w:t>
      </w:r>
      <w:r w:rsidR="00CE03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09A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НКРЕКП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джерело</w:t>
      </w:r>
      <w:r w:rsidR="00AE3EC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фінансування </w:t>
      </w:r>
      <w:r w:rsidR="00222447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інвестиційної програми</w:t>
      </w:r>
      <w:r w:rsidR="00BA77DC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63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рік</w:t>
      </w:r>
      <w:r w:rsidR="00C230B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A97B0A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97B0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30B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 здійснено перевірку</w:t>
      </w:r>
      <w:r w:rsidR="006E640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або </w:t>
      </w:r>
      <w:r w:rsidR="0096481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6E640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</w:t>
      </w:r>
      <w:r w:rsidR="0096481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="006E640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964811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C230B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умови виконання</w:t>
      </w:r>
      <w:r w:rsidR="003D4C6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D0B0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 менше 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95</w:t>
      </w:r>
      <w:r w:rsidR="000E2E8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заходів </w:t>
      </w:r>
      <w:r w:rsidR="00105BA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ІП</w:t>
      </w:r>
      <w:r w:rsidR="0012063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6BB7" w:rsidRPr="00F9156D">
        <w:rPr>
          <w:rFonts w:ascii="Times New Roman" w:eastAsia="Times New Roman" w:hAnsi="Times New Roman" w:cs="Times New Roman"/>
          <w:sz w:val="28"/>
          <w:szCs w:val="28"/>
        </w:rPr>
        <w:t>станом на останнє число звітного календарного року</w:t>
      </w:r>
      <w:r w:rsidR="00105BA6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DEDD15A" w14:textId="21536B12" w:rsidR="002C3F05" w:rsidRPr="00F9156D" w:rsidRDefault="002C3F05" w:rsidP="00B55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іншому випадку така сума </w:t>
      </w:r>
      <w:r w:rsidR="00CE03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може бути врахована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коригування в сторону зменшення</w:t>
      </w:r>
      <w:r w:rsidR="00B33CF9" w:rsidRPr="00F9156D">
        <w:rPr>
          <w:rFonts w:ascii="Times New Roman" w:hAnsi="Times New Roman" w:cs="Times New Roman"/>
        </w:rPr>
        <w:t xml:space="preserve"> </w:t>
      </w:r>
      <w:r w:rsidR="00B33CF9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розгляді питання щодо коригування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аної річної тарифної виручки при наступному перегляді тарифу на послуги розподілу природного газу.</w:t>
      </w:r>
    </w:p>
    <w:p w14:paraId="77851C92" w14:textId="183F6071" w:rsidR="001558FD" w:rsidRPr="00F9156D" w:rsidRDefault="00FA5CD5" w:rsidP="00CF0BD1">
      <w:pPr>
        <w:shd w:val="clear" w:color="auto" w:fill="FFFFFF"/>
        <w:spacing w:after="60" w:line="240" w:lineRule="auto"/>
        <w:ind w:firstLine="709"/>
        <w:jc w:val="both"/>
        <w:rPr>
          <w:rFonts w:ascii="Times New Roman" w:hAnsi="Times New Roman" w:cs="Times New Roman"/>
        </w:rPr>
      </w:pPr>
      <w:bookmarkStart w:id="44" w:name="n1066"/>
      <w:bookmarkEnd w:id="43"/>
      <w:bookmarkEnd w:id="44"/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="00B2065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ємна сума</w:t>
      </w:r>
      <w:r w:rsidR="00CE03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(недоотриманий дохід)</w:t>
      </w:r>
      <w:r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032A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може бути врахована 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як коригування в сторону збільшення</w:t>
      </w:r>
      <w:r w:rsidR="00BB56F8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розгляді питання щодо коригування</w:t>
      </w:r>
      <w:r w:rsidR="001E603B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02564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</w:t>
      </w:r>
      <w:r w:rsidR="004C18EE" w:rsidRPr="00F91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ної річної тарифної виручки при наступному перегляді тарифу на послуги розподілу природного газу.</w:t>
      </w:r>
      <w:bookmarkStart w:id="45" w:name="n1067"/>
      <w:bookmarkStart w:id="46" w:name="n1069"/>
      <w:bookmarkStart w:id="47" w:name="_GoBack"/>
      <w:bookmarkEnd w:id="45"/>
      <w:bookmarkEnd w:id="46"/>
      <w:bookmarkEnd w:id="47"/>
    </w:p>
    <w:sectPr w:rsidR="001558FD" w:rsidRPr="00F9156D" w:rsidSect="00AA1D2E">
      <w:headerReference w:type="default" r:id="rId11"/>
      <w:pgSz w:w="11906" w:h="16838"/>
      <w:pgMar w:top="1134" w:right="567" w:bottom="1134" w:left="1701" w:header="709" w:footer="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EFAFA" w14:textId="77777777" w:rsidR="00577421" w:rsidRDefault="00577421" w:rsidP="00324E5E">
      <w:pPr>
        <w:spacing w:after="0" w:line="240" w:lineRule="auto"/>
      </w:pPr>
      <w:r>
        <w:separator/>
      </w:r>
    </w:p>
  </w:endnote>
  <w:endnote w:type="continuationSeparator" w:id="0">
    <w:p w14:paraId="1EC705FB" w14:textId="77777777" w:rsidR="00577421" w:rsidRDefault="00577421" w:rsidP="00324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A79AB" w14:textId="77777777" w:rsidR="00577421" w:rsidRDefault="00577421" w:rsidP="00324E5E">
      <w:pPr>
        <w:spacing w:after="0" w:line="240" w:lineRule="auto"/>
      </w:pPr>
      <w:r>
        <w:separator/>
      </w:r>
    </w:p>
  </w:footnote>
  <w:footnote w:type="continuationSeparator" w:id="0">
    <w:p w14:paraId="54D164E4" w14:textId="77777777" w:rsidR="00577421" w:rsidRDefault="00577421" w:rsidP="00324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999219268"/>
      <w:docPartObj>
        <w:docPartGallery w:val="Page Numbers (Top of Page)"/>
        <w:docPartUnique/>
      </w:docPartObj>
    </w:sdtPr>
    <w:sdtEndPr/>
    <w:sdtContent>
      <w:p w14:paraId="046E71B1" w14:textId="77777777" w:rsidR="00316BE0" w:rsidRPr="00B20654" w:rsidRDefault="00316BE0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06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06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06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B206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0C5098" w14:textId="77777777" w:rsidR="00316BE0" w:rsidRPr="00B20654" w:rsidRDefault="00316BE0">
    <w:pPr>
      <w:pStyle w:val="af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E3718"/>
    <w:multiLevelType w:val="hybridMultilevel"/>
    <w:tmpl w:val="DD70C868"/>
    <w:lvl w:ilvl="0" w:tplc="04220011">
      <w:start w:val="1"/>
      <w:numFmt w:val="decimal"/>
      <w:lvlText w:val="%1)"/>
      <w:lvlJc w:val="left"/>
      <w:pPr>
        <w:ind w:left="2629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53D2344"/>
    <w:multiLevelType w:val="hybridMultilevel"/>
    <w:tmpl w:val="A96057EE"/>
    <w:lvl w:ilvl="0" w:tplc="64EE9D94">
      <w:start w:val="1"/>
      <w:numFmt w:val="decimal"/>
      <w:lvlText w:val="%1)"/>
      <w:lvlJc w:val="left"/>
      <w:pPr>
        <w:ind w:left="435" w:hanging="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54286"/>
    <w:multiLevelType w:val="hybridMultilevel"/>
    <w:tmpl w:val="E9A297D0"/>
    <w:lvl w:ilvl="0" w:tplc="6F56CAF0">
      <w:start w:val="5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1C61464"/>
    <w:multiLevelType w:val="multilevel"/>
    <w:tmpl w:val="0D2CBF26"/>
    <w:lvl w:ilvl="0">
      <w:start w:val="1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BEA0B27"/>
    <w:multiLevelType w:val="hybridMultilevel"/>
    <w:tmpl w:val="3504297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3A0C21"/>
    <w:multiLevelType w:val="hybridMultilevel"/>
    <w:tmpl w:val="40E4C522"/>
    <w:lvl w:ilvl="0" w:tplc="04220011">
      <w:start w:val="1"/>
      <w:numFmt w:val="decimal"/>
      <w:lvlText w:val="%1)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211D01D9"/>
    <w:multiLevelType w:val="hybridMultilevel"/>
    <w:tmpl w:val="39F6E4E2"/>
    <w:lvl w:ilvl="0" w:tplc="980817D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421542"/>
    <w:multiLevelType w:val="hybridMultilevel"/>
    <w:tmpl w:val="2B62C964"/>
    <w:lvl w:ilvl="0" w:tplc="4DA2BBA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208" w:hanging="360"/>
      </w:pPr>
    </w:lvl>
    <w:lvl w:ilvl="2" w:tplc="0422001B" w:tentative="1">
      <w:start w:val="1"/>
      <w:numFmt w:val="lowerRoman"/>
      <w:lvlText w:val="%3."/>
      <w:lvlJc w:val="right"/>
      <w:pPr>
        <w:ind w:left="3928" w:hanging="180"/>
      </w:pPr>
    </w:lvl>
    <w:lvl w:ilvl="3" w:tplc="0422000F" w:tentative="1">
      <w:start w:val="1"/>
      <w:numFmt w:val="decimal"/>
      <w:lvlText w:val="%4."/>
      <w:lvlJc w:val="left"/>
      <w:pPr>
        <w:ind w:left="4648" w:hanging="360"/>
      </w:pPr>
    </w:lvl>
    <w:lvl w:ilvl="4" w:tplc="04220019" w:tentative="1">
      <w:start w:val="1"/>
      <w:numFmt w:val="lowerLetter"/>
      <w:lvlText w:val="%5."/>
      <w:lvlJc w:val="left"/>
      <w:pPr>
        <w:ind w:left="5368" w:hanging="360"/>
      </w:pPr>
    </w:lvl>
    <w:lvl w:ilvl="5" w:tplc="0422001B" w:tentative="1">
      <w:start w:val="1"/>
      <w:numFmt w:val="lowerRoman"/>
      <w:lvlText w:val="%6."/>
      <w:lvlJc w:val="right"/>
      <w:pPr>
        <w:ind w:left="6088" w:hanging="180"/>
      </w:pPr>
    </w:lvl>
    <w:lvl w:ilvl="6" w:tplc="0422000F" w:tentative="1">
      <w:start w:val="1"/>
      <w:numFmt w:val="decimal"/>
      <w:lvlText w:val="%7."/>
      <w:lvlJc w:val="left"/>
      <w:pPr>
        <w:ind w:left="6808" w:hanging="360"/>
      </w:pPr>
    </w:lvl>
    <w:lvl w:ilvl="7" w:tplc="04220019" w:tentative="1">
      <w:start w:val="1"/>
      <w:numFmt w:val="lowerLetter"/>
      <w:lvlText w:val="%8."/>
      <w:lvlJc w:val="left"/>
      <w:pPr>
        <w:ind w:left="7528" w:hanging="360"/>
      </w:pPr>
    </w:lvl>
    <w:lvl w:ilvl="8" w:tplc="0422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8" w15:restartNumberingAfterBreak="0">
    <w:nsid w:val="2B3A1148"/>
    <w:multiLevelType w:val="hybridMultilevel"/>
    <w:tmpl w:val="3F82E75C"/>
    <w:lvl w:ilvl="0" w:tplc="7AF8E3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3B5328"/>
    <w:multiLevelType w:val="hybridMultilevel"/>
    <w:tmpl w:val="ECD8C6E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3389555D"/>
    <w:multiLevelType w:val="hybridMultilevel"/>
    <w:tmpl w:val="0012190C"/>
    <w:lvl w:ilvl="0" w:tplc="A0C0583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A3244ED"/>
    <w:multiLevelType w:val="hybridMultilevel"/>
    <w:tmpl w:val="104C718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EC260F"/>
    <w:multiLevelType w:val="multilevel"/>
    <w:tmpl w:val="75221FB0"/>
    <w:lvl w:ilvl="0">
      <w:start w:val="13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55475164"/>
    <w:multiLevelType w:val="hybridMultilevel"/>
    <w:tmpl w:val="584A9576"/>
    <w:lvl w:ilvl="0" w:tplc="980817DC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A4FF4"/>
    <w:multiLevelType w:val="hybridMultilevel"/>
    <w:tmpl w:val="F0D6E3EE"/>
    <w:lvl w:ilvl="0" w:tplc="DE46A7C0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A4403E2"/>
    <w:multiLevelType w:val="hybridMultilevel"/>
    <w:tmpl w:val="3D26484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B3A66DE"/>
    <w:multiLevelType w:val="hybridMultilevel"/>
    <w:tmpl w:val="7C80BAE8"/>
    <w:lvl w:ilvl="0" w:tplc="04220011">
      <w:start w:val="1"/>
      <w:numFmt w:val="decimal"/>
      <w:lvlText w:val="%1)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D8264A8"/>
    <w:multiLevelType w:val="hybridMultilevel"/>
    <w:tmpl w:val="3C6E9D24"/>
    <w:lvl w:ilvl="0" w:tplc="04220011">
      <w:start w:val="1"/>
      <w:numFmt w:val="decimal"/>
      <w:lvlText w:val="%1)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95F6F"/>
    <w:multiLevelType w:val="hybridMultilevel"/>
    <w:tmpl w:val="D6667FD4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E1420D6"/>
    <w:multiLevelType w:val="hybridMultilevel"/>
    <w:tmpl w:val="69321F54"/>
    <w:lvl w:ilvl="0" w:tplc="D88E5CA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8"/>
  </w:num>
  <w:num w:numId="5">
    <w:abstractNumId w:val="1"/>
  </w:num>
  <w:num w:numId="6">
    <w:abstractNumId w:val="19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13"/>
  </w:num>
  <w:num w:numId="12">
    <w:abstractNumId w:val="16"/>
  </w:num>
  <w:num w:numId="13">
    <w:abstractNumId w:val="6"/>
  </w:num>
  <w:num w:numId="14">
    <w:abstractNumId w:val="3"/>
  </w:num>
  <w:num w:numId="15">
    <w:abstractNumId w:val="12"/>
  </w:num>
  <w:num w:numId="16">
    <w:abstractNumId w:val="14"/>
  </w:num>
  <w:num w:numId="17">
    <w:abstractNumId w:val="15"/>
  </w:num>
  <w:num w:numId="18">
    <w:abstractNumId w:val="11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CD5"/>
    <w:rsid w:val="00001605"/>
    <w:rsid w:val="00001D7B"/>
    <w:rsid w:val="00003F2F"/>
    <w:rsid w:val="00004317"/>
    <w:rsid w:val="00004821"/>
    <w:rsid w:val="00005FF2"/>
    <w:rsid w:val="00006073"/>
    <w:rsid w:val="00006A6E"/>
    <w:rsid w:val="000075B4"/>
    <w:rsid w:val="000105A5"/>
    <w:rsid w:val="00011332"/>
    <w:rsid w:val="000118DC"/>
    <w:rsid w:val="0001426E"/>
    <w:rsid w:val="00015EE5"/>
    <w:rsid w:val="000172BC"/>
    <w:rsid w:val="000173FC"/>
    <w:rsid w:val="000209C5"/>
    <w:rsid w:val="00021129"/>
    <w:rsid w:val="0002242C"/>
    <w:rsid w:val="000226D1"/>
    <w:rsid w:val="00026B08"/>
    <w:rsid w:val="00027A15"/>
    <w:rsid w:val="0003155C"/>
    <w:rsid w:val="00031594"/>
    <w:rsid w:val="000324E6"/>
    <w:rsid w:val="000325F1"/>
    <w:rsid w:val="00032D77"/>
    <w:rsid w:val="0003303F"/>
    <w:rsid w:val="00033998"/>
    <w:rsid w:val="0003780C"/>
    <w:rsid w:val="0004031C"/>
    <w:rsid w:val="000430DE"/>
    <w:rsid w:val="00043CFD"/>
    <w:rsid w:val="00045E25"/>
    <w:rsid w:val="00047F50"/>
    <w:rsid w:val="0005066D"/>
    <w:rsid w:val="0005146D"/>
    <w:rsid w:val="00051CFB"/>
    <w:rsid w:val="00052FCF"/>
    <w:rsid w:val="000530A8"/>
    <w:rsid w:val="0005417D"/>
    <w:rsid w:val="00054284"/>
    <w:rsid w:val="00055380"/>
    <w:rsid w:val="00055BD9"/>
    <w:rsid w:val="000565BF"/>
    <w:rsid w:val="00057066"/>
    <w:rsid w:val="000603FE"/>
    <w:rsid w:val="000609AA"/>
    <w:rsid w:val="00061601"/>
    <w:rsid w:val="000633A9"/>
    <w:rsid w:val="000663FE"/>
    <w:rsid w:val="00070DEB"/>
    <w:rsid w:val="000722AD"/>
    <w:rsid w:val="00072869"/>
    <w:rsid w:val="0007370E"/>
    <w:rsid w:val="000741D2"/>
    <w:rsid w:val="00074CFD"/>
    <w:rsid w:val="00074E75"/>
    <w:rsid w:val="000755AB"/>
    <w:rsid w:val="00075D87"/>
    <w:rsid w:val="00075DC5"/>
    <w:rsid w:val="00080D09"/>
    <w:rsid w:val="0008206D"/>
    <w:rsid w:val="00082DCB"/>
    <w:rsid w:val="00086D9F"/>
    <w:rsid w:val="000906CD"/>
    <w:rsid w:val="0009288B"/>
    <w:rsid w:val="00095016"/>
    <w:rsid w:val="000953DC"/>
    <w:rsid w:val="000A0A80"/>
    <w:rsid w:val="000A1439"/>
    <w:rsid w:val="000A1860"/>
    <w:rsid w:val="000A347B"/>
    <w:rsid w:val="000A3C21"/>
    <w:rsid w:val="000A7A0E"/>
    <w:rsid w:val="000B0A50"/>
    <w:rsid w:val="000B4621"/>
    <w:rsid w:val="000B61CD"/>
    <w:rsid w:val="000B6ADD"/>
    <w:rsid w:val="000C0137"/>
    <w:rsid w:val="000C047E"/>
    <w:rsid w:val="000C11EF"/>
    <w:rsid w:val="000C162A"/>
    <w:rsid w:val="000C2BF1"/>
    <w:rsid w:val="000C39E6"/>
    <w:rsid w:val="000C54E1"/>
    <w:rsid w:val="000C657B"/>
    <w:rsid w:val="000C65CC"/>
    <w:rsid w:val="000C6FFF"/>
    <w:rsid w:val="000D13B7"/>
    <w:rsid w:val="000D17CA"/>
    <w:rsid w:val="000D233A"/>
    <w:rsid w:val="000D28D6"/>
    <w:rsid w:val="000D39E7"/>
    <w:rsid w:val="000D44C3"/>
    <w:rsid w:val="000E04F4"/>
    <w:rsid w:val="000E097D"/>
    <w:rsid w:val="000E1126"/>
    <w:rsid w:val="000E2E84"/>
    <w:rsid w:val="000E3A99"/>
    <w:rsid w:val="000E6602"/>
    <w:rsid w:val="000E7833"/>
    <w:rsid w:val="000E7BEF"/>
    <w:rsid w:val="000F146C"/>
    <w:rsid w:val="000F2082"/>
    <w:rsid w:val="000F247C"/>
    <w:rsid w:val="000F2B8F"/>
    <w:rsid w:val="000F455F"/>
    <w:rsid w:val="000F5036"/>
    <w:rsid w:val="000F68E8"/>
    <w:rsid w:val="000F6C54"/>
    <w:rsid w:val="00100F9C"/>
    <w:rsid w:val="00102729"/>
    <w:rsid w:val="00102AD3"/>
    <w:rsid w:val="00103288"/>
    <w:rsid w:val="00104E4B"/>
    <w:rsid w:val="00105BA6"/>
    <w:rsid w:val="00110867"/>
    <w:rsid w:val="00110FA5"/>
    <w:rsid w:val="001121E0"/>
    <w:rsid w:val="00112504"/>
    <w:rsid w:val="0011283C"/>
    <w:rsid w:val="00112E0A"/>
    <w:rsid w:val="00113702"/>
    <w:rsid w:val="001165C1"/>
    <w:rsid w:val="00116BE6"/>
    <w:rsid w:val="00117AFF"/>
    <w:rsid w:val="00120636"/>
    <w:rsid w:val="00120DE3"/>
    <w:rsid w:val="0012118D"/>
    <w:rsid w:val="001225BC"/>
    <w:rsid w:val="00123DFF"/>
    <w:rsid w:val="00125B51"/>
    <w:rsid w:val="0013208A"/>
    <w:rsid w:val="001329F1"/>
    <w:rsid w:val="00132B10"/>
    <w:rsid w:val="00132BE4"/>
    <w:rsid w:val="001334BF"/>
    <w:rsid w:val="001339A6"/>
    <w:rsid w:val="00137AC9"/>
    <w:rsid w:val="00137EC5"/>
    <w:rsid w:val="00137F02"/>
    <w:rsid w:val="0014050B"/>
    <w:rsid w:val="00141DD7"/>
    <w:rsid w:val="00142CC2"/>
    <w:rsid w:val="00142FF2"/>
    <w:rsid w:val="00143A03"/>
    <w:rsid w:val="00145297"/>
    <w:rsid w:val="001501AE"/>
    <w:rsid w:val="0015024B"/>
    <w:rsid w:val="00150902"/>
    <w:rsid w:val="00150ADD"/>
    <w:rsid w:val="0015119A"/>
    <w:rsid w:val="00154CC8"/>
    <w:rsid w:val="001551CE"/>
    <w:rsid w:val="001558FD"/>
    <w:rsid w:val="00156649"/>
    <w:rsid w:val="0015692E"/>
    <w:rsid w:val="0016035C"/>
    <w:rsid w:val="00162C98"/>
    <w:rsid w:val="0016418F"/>
    <w:rsid w:val="001646C3"/>
    <w:rsid w:val="0017003C"/>
    <w:rsid w:val="00170189"/>
    <w:rsid w:val="0017233C"/>
    <w:rsid w:val="00172A09"/>
    <w:rsid w:val="001742D4"/>
    <w:rsid w:val="001743E2"/>
    <w:rsid w:val="00175A4B"/>
    <w:rsid w:val="001766CA"/>
    <w:rsid w:val="00177B82"/>
    <w:rsid w:val="0018050E"/>
    <w:rsid w:val="001810AB"/>
    <w:rsid w:val="0018564E"/>
    <w:rsid w:val="00185D67"/>
    <w:rsid w:val="00191E7D"/>
    <w:rsid w:val="00192DC4"/>
    <w:rsid w:val="00194640"/>
    <w:rsid w:val="00194E58"/>
    <w:rsid w:val="00195633"/>
    <w:rsid w:val="00195C11"/>
    <w:rsid w:val="00197D9C"/>
    <w:rsid w:val="001A0F31"/>
    <w:rsid w:val="001A2720"/>
    <w:rsid w:val="001A3782"/>
    <w:rsid w:val="001A5CD4"/>
    <w:rsid w:val="001B1495"/>
    <w:rsid w:val="001B1599"/>
    <w:rsid w:val="001B2983"/>
    <w:rsid w:val="001B4BF0"/>
    <w:rsid w:val="001B7495"/>
    <w:rsid w:val="001B7EAC"/>
    <w:rsid w:val="001C011C"/>
    <w:rsid w:val="001C02BF"/>
    <w:rsid w:val="001C11C0"/>
    <w:rsid w:val="001C180A"/>
    <w:rsid w:val="001C286A"/>
    <w:rsid w:val="001C2872"/>
    <w:rsid w:val="001C288D"/>
    <w:rsid w:val="001C2AE9"/>
    <w:rsid w:val="001C2BAB"/>
    <w:rsid w:val="001C3843"/>
    <w:rsid w:val="001C4186"/>
    <w:rsid w:val="001C5509"/>
    <w:rsid w:val="001C55D6"/>
    <w:rsid w:val="001C5D01"/>
    <w:rsid w:val="001C7677"/>
    <w:rsid w:val="001C7C45"/>
    <w:rsid w:val="001D1470"/>
    <w:rsid w:val="001D162E"/>
    <w:rsid w:val="001D55FD"/>
    <w:rsid w:val="001D62ED"/>
    <w:rsid w:val="001D7A93"/>
    <w:rsid w:val="001E0D3F"/>
    <w:rsid w:val="001E232B"/>
    <w:rsid w:val="001E49B6"/>
    <w:rsid w:val="001E5A02"/>
    <w:rsid w:val="001E603B"/>
    <w:rsid w:val="001E6B70"/>
    <w:rsid w:val="001F1886"/>
    <w:rsid w:val="001F3C8D"/>
    <w:rsid w:val="001F54A0"/>
    <w:rsid w:val="001F5C90"/>
    <w:rsid w:val="001F5CD7"/>
    <w:rsid w:val="001F6F5E"/>
    <w:rsid w:val="001F782D"/>
    <w:rsid w:val="002015B3"/>
    <w:rsid w:val="00202564"/>
    <w:rsid w:val="002047CF"/>
    <w:rsid w:val="0020522D"/>
    <w:rsid w:val="00207A35"/>
    <w:rsid w:val="00210964"/>
    <w:rsid w:val="00210E9C"/>
    <w:rsid w:val="00210EE7"/>
    <w:rsid w:val="002113A5"/>
    <w:rsid w:val="00212F77"/>
    <w:rsid w:val="00213DEE"/>
    <w:rsid w:val="002157BD"/>
    <w:rsid w:val="0022098E"/>
    <w:rsid w:val="00221E95"/>
    <w:rsid w:val="002223E0"/>
    <w:rsid w:val="00222447"/>
    <w:rsid w:val="00222823"/>
    <w:rsid w:val="00222ED2"/>
    <w:rsid w:val="00222EFA"/>
    <w:rsid w:val="002259C8"/>
    <w:rsid w:val="002266EC"/>
    <w:rsid w:val="00230C79"/>
    <w:rsid w:val="002316C8"/>
    <w:rsid w:val="00231F90"/>
    <w:rsid w:val="002333D5"/>
    <w:rsid w:val="00233BE0"/>
    <w:rsid w:val="002345AB"/>
    <w:rsid w:val="002362AC"/>
    <w:rsid w:val="00241B2A"/>
    <w:rsid w:val="00243FEA"/>
    <w:rsid w:val="002466BB"/>
    <w:rsid w:val="002475F3"/>
    <w:rsid w:val="00247A44"/>
    <w:rsid w:val="00251D36"/>
    <w:rsid w:val="00252CB1"/>
    <w:rsid w:val="00253005"/>
    <w:rsid w:val="0025461C"/>
    <w:rsid w:val="002564E7"/>
    <w:rsid w:val="002569CF"/>
    <w:rsid w:val="002571B0"/>
    <w:rsid w:val="00257C12"/>
    <w:rsid w:val="002639FC"/>
    <w:rsid w:val="00263A55"/>
    <w:rsid w:val="00264A7E"/>
    <w:rsid w:val="0026555B"/>
    <w:rsid w:val="0026658D"/>
    <w:rsid w:val="002674F2"/>
    <w:rsid w:val="00270478"/>
    <w:rsid w:val="00272D01"/>
    <w:rsid w:val="0027325A"/>
    <w:rsid w:val="00273E77"/>
    <w:rsid w:val="00277BA4"/>
    <w:rsid w:val="002807C8"/>
    <w:rsid w:val="0028145A"/>
    <w:rsid w:val="0028234F"/>
    <w:rsid w:val="002823A2"/>
    <w:rsid w:val="00283142"/>
    <w:rsid w:val="00285827"/>
    <w:rsid w:val="002871D3"/>
    <w:rsid w:val="002875B9"/>
    <w:rsid w:val="002911D1"/>
    <w:rsid w:val="002915A2"/>
    <w:rsid w:val="002930E6"/>
    <w:rsid w:val="00293D33"/>
    <w:rsid w:val="00293D44"/>
    <w:rsid w:val="00294C82"/>
    <w:rsid w:val="002977F4"/>
    <w:rsid w:val="002A2464"/>
    <w:rsid w:val="002A249B"/>
    <w:rsid w:val="002A2AEA"/>
    <w:rsid w:val="002A4CE6"/>
    <w:rsid w:val="002A7368"/>
    <w:rsid w:val="002B0224"/>
    <w:rsid w:val="002B25E2"/>
    <w:rsid w:val="002B2C8F"/>
    <w:rsid w:val="002B4428"/>
    <w:rsid w:val="002B4667"/>
    <w:rsid w:val="002B6E30"/>
    <w:rsid w:val="002B78B8"/>
    <w:rsid w:val="002C0541"/>
    <w:rsid w:val="002C143A"/>
    <w:rsid w:val="002C1A55"/>
    <w:rsid w:val="002C2572"/>
    <w:rsid w:val="002C3ACB"/>
    <w:rsid w:val="002C3F05"/>
    <w:rsid w:val="002C7AB2"/>
    <w:rsid w:val="002D1E65"/>
    <w:rsid w:val="002D210C"/>
    <w:rsid w:val="002D2323"/>
    <w:rsid w:val="002D2ADA"/>
    <w:rsid w:val="002D38B6"/>
    <w:rsid w:val="002D3FFE"/>
    <w:rsid w:val="002D5DC8"/>
    <w:rsid w:val="002D7075"/>
    <w:rsid w:val="002D7DD4"/>
    <w:rsid w:val="002E1103"/>
    <w:rsid w:val="002E25DA"/>
    <w:rsid w:val="002E5F28"/>
    <w:rsid w:val="002F1500"/>
    <w:rsid w:val="002F1C9E"/>
    <w:rsid w:val="002F2887"/>
    <w:rsid w:val="002F2F96"/>
    <w:rsid w:val="002F339C"/>
    <w:rsid w:val="002F4247"/>
    <w:rsid w:val="002F458B"/>
    <w:rsid w:val="002F5BB7"/>
    <w:rsid w:val="002F644F"/>
    <w:rsid w:val="003014BE"/>
    <w:rsid w:val="003020BA"/>
    <w:rsid w:val="00302654"/>
    <w:rsid w:val="00302A34"/>
    <w:rsid w:val="00304102"/>
    <w:rsid w:val="003041F1"/>
    <w:rsid w:val="0030426D"/>
    <w:rsid w:val="00307901"/>
    <w:rsid w:val="00307CDD"/>
    <w:rsid w:val="003101D4"/>
    <w:rsid w:val="00310B5E"/>
    <w:rsid w:val="003132AB"/>
    <w:rsid w:val="00316328"/>
    <w:rsid w:val="00316BE0"/>
    <w:rsid w:val="003204F5"/>
    <w:rsid w:val="00320A2B"/>
    <w:rsid w:val="00320E69"/>
    <w:rsid w:val="00322BC6"/>
    <w:rsid w:val="00324E5E"/>
    <w:rsid w:val="003267F1"/>
    <w:rsid w:val="003305CA"/>
    <w:rsid w:val="003319F9"/>
    <w:rsid w:val="00332F9A"/>
    <w:rsid w:val="0033426B"/>
    <w:rsid w:val="00334797"/>
    <w:rsid w:val="00336F6D"/>
    <w:rsid w:val="0034021F"/>
    <w:rsid w:val="00340267"/>
    <w:rsid w:val="00340DA7"/>
    <w:rsid w:val="00345EFE"/>
    <w:rsid w:val="003518AE"/>
    <w:rsid w:val="003530DA"/>
    <w:rsid w:val="003562A4"/>
    <w:rsid w:val="003562E6"/>
    <w:rsid w:val="00356351"/>
    <w:rsid w:val="00356C2F"/>
    <w:rsid w:val="00357BD1"/>
    <w:rsid w:val="00360104"/>
    <w:rsid w:val="003610D0"/>
    <w:rsid w:val="00361251"/>
    <w:rsid w:val="0036400D"/>
    <w:rsid w:val="0036428B"/>
    <w:rsid w:val="003645CD"/>
    <w:rsid w:val="00364635"/>
    <w:rsid w:val="00366082"/>
    <w:rsid w:val="003707A4"/>
    <w:rsid w:val="00372E8B"/>
    <w:rsid w:val="00376905"/>
    <w:rsid w:val="00377051"/>
    <w:rsid w:val="003771C8"/>
    <w:rsid w:val="0037726A"/>
    <w:rsid w:val="00380109"/>
    <w:rsid w:val="00382A72"/>
    <w:rsid w:val="00383F61"/>
    <w:rsid w:val="00384096"/>
    <w:rsid w:val="00384594"/>
    <w:rsid w:val="0038485C"/>
    <w:rsid w:val="00384B7A"/>
    <w:rsid w:val="00386874"/>
    <w:rsid w:val="0039029F"/>
    <w:rsid w:val="0039216C"/>
    <w:rsid w:val="00393099"/>
    <w:rsid w:val="00395075"/>
    <w:rsid w:val="00395441"/>
    <w:rsid w:val="00395F2E"/>
    <w:rsid w:val="00397094"/>
    <w:rsid w:val="00397CA7"/>
    <w:rsid w:val="003A336F"/>
    <w:rsid w:val="003A525D"/>
    <w:rsid w:val="003A5D18"/>
    <w:rsid w:val="003B1101"/>
    <w:rsid w:val="003B2ADD"/>
    <w:rsid w:val="003B3ADE"/>
    <w:rsid w:val="003B5C86"/>
    <w:rsid w:val="003B6768"/>
    <w:rsid w:val="003C08BB"/>
    <w:rsid w:val="003C0961"/>
    <w:rsid w:val="003C12E2"/>
    <w:rsid w:val="003C3253"/>
    <w:rsid w:val="003C32E7"/>
    <w:rsid w:val="003C4367"/>
    <w:rsid w:val="003C43B8"/>
    <w:rsid w:val="003C4D35"/>
    <w:rsid w:val="003C6CE9"/>
    <w:rsid w:val="003C6EB1"/>
    <w:rsid w:val="003D2D2E"/>
    <w:rsid w:val="003D441A"/>
    <w:rsid w:val="003D4C68"/>
    <w:rsid w:val="003D5D57"/>
    <w:rsid w:val="003D6463"/>
    <w:rsid w:val="003D65EA"/>
    <w:rsid w:val="003D6666"/>
    <w:rsid w:val="003D6CB0"/>
    <w:rsid w:val="003D7BB6"/>
    <w:rsid w:val="003E164A"/>
    <w:rsid w:val="003E18A5"/>
    <w:rsid w:val="003E1A0D"/>
    <w:rsid w:val="003E226E"/>
    <w:rsid w:val="003E251E"/>
    <w:rsid w:val="003E377B"/>
    <w:rsid w:val="003E40A6"/>
    <w:rsid w:val="003E434A"/>
    <w:rsid w:val="003E6441"/>
    <w:rsid w:val="003E68C5"/>
    <w:rsid w:val="003F0F1E"/>
    <w:rsid w:val="003F2CC4"/>
    <w:rsid w:val="003F351F"/>
    <w:rsid w:val="003F4397"/>
    <w:rsid w:val="003F56E5"/>
    <w:rsid w:val="003F5803"/>
    <w:rsid w:val="003F712A"/>
    <w:rsid w:val="003F7CDE"/>
    <w:rsid w:val="004028E9"/>
    <w:rsid w:val="00402D2E"/>
    <w:rsid w:val="004043F1"/>
    <w:rsid w:val="00405024"/>
    <w:rsid w:val="004106AC"/>
    <w:rsid w:val="00410C15"/>
    <w:rsid w:val="00410D4E"/>
    <w:rsid w:val="0041236B"/>
    <w:rsid w:val="0041413F"/>
    <w:rsid w:val="00416160"/>
    <w:rsid w:val="00417F0B"/>
    <w:rsid w:val="00420D84"/>
    <w:rsid w:val="0042292A"/>
    <w:rsid w:val="0042393F"/>
    <w:rsid w:val="004240B3"/>
    <w:rsid w:val="0042459D"/>
    <w:rsid w:val="00424FB3"/>
    <w:rsid w:val="00425ABC"/>
    <w:rsid w:val="00426EA2"/>
    <w:rsid w:val="00430956"/>
    <w:rsid w:val="0043098E"/>
    <w:rsid w:val="0043143E"/>
    <w:rsid w:val="004316CF"/>
    <w:rsid w:val="00431B70"/>
    <w:rsid w:val="00432B93"/>
    <w:rsid w:val="00433B54"/>
    <w:rsid w:val="00433FF3"/>
    <w:rsid w:val="00435CBA"/>
    <w:rsid w:val="0043662D"/>
    <w:rsid w:val="004367F4"/>
    <w:rsid w:val="00436E54"/>
    <w:rsid w:val="00440FD7"/>
    <w:rsid w:val="00441C20"/>
    <w:rsid w:val="00441E3E"/>
    <w:rsid w:val="004435C9"/>
    <w:rsid w:val="004439B3"/>
    <w:rsid w:val="00443E48"/>
    <w:rsid w:val="00445664"/>
    <w:rsid w:val="00446549"/>
    <w:rsid w:val="004500FC"/>
    <w:rsid w:val="00450B81"/>
    <w:rsid w:val="00450C89"/>
    <w:rsid w:val="00451CE1"/>
    <w:rsid w:val="004534BE"/>
    <w:rsid w:val="00455D7A"/>
    <w:rsid w:val="0046030E"/>
    <w:rsid w:val="00462810"/>
    <w:rsid w:val="00464038"/>
    <w:rsid w:val="00464932"/>
    <w:rsid w:val="00467F5E"/>
    <w:rsid w:val="00470640"/>
    <w:rsid w:val="00470680"/>
    <w:rsid w:val="00471644"/>
    <w:rsid w:val="004716E5"/>
    <w:rsid w:val="00472A28"/>
    <w:rsid w:val="00472EBC"/>
    <w:rsid w:val="00480025"/>
    <w:rsid w:val="004802D9"/>
    <w:rsid w:val="004805E6"/>
    <w:rsid w:val="00480C9E"/>
    <w:rsid w:val="00480FAD"/>
    <w:rsid w:val="0048233E"/>
    <w:rsid w:val="004829BC"/>
    <w:rsid w:val="004831FB"/>
    <w:rsid w:val="00483A83"/>
    <w:rsid w:val="00484463"/>
    <w:rsid w:val="00484C65"/>
    <w:rsid w:val="00485827"/>
    <w:rsid w:val="00485D0D"/>
    <w:rsid w:val="00485DFD"/>
    <w:rsid w:val="0049003B"/>
    <w:rsid w:val="0049166F"/>
    <w:rsid w:val="00491C13"/>
    <w:rsid w:val="00493E8F"/>
    <w:rsid w:val="00495071"/>
    <w:rsid w:val="004954D7"/>
    <w:rsid w:val="004964ED"/>
    <w:rsid w:val="004966FD"/>
    <w:rsid w:val="00497352"/>
    <w:rsid w:val="004A1C8D"/>
    <w:rsid w:val="004A32D4"/>
    <w:rsid w:val="004A42CE"/>
    <w:rsid w:val="004A4811"/>
    <w:rsid w:val="004A6B1E"/>
    <w:rsid w:val="004B0D14"/>
    <w:rsid w:val="004B1586"/>
    <w:rsid w:val="004B1ADD"/>
    <w:rsid w:val="004B29AD"/>
    <w:rsid w:val="004B29BB"/>
    <w:rsid w:val="004B4DC0"/>
    <w:rsid w:val="004B50C3"/>
    <w:rsid w:val="004B66CE"/>
    <w:rsid w:val="004B6CD6"/>
    <w:rsid w:val="004C18EE"/>
    <w:rsid w:val="004C2A41"/>
    <w:rsid w:val="004C34F7"/>
    <w:rsid w:val="004C407C"/>
    <w:rsid w:val="004C5575"/>
    <w:rsid w:val="004C5E76"/>
    <w:rsid w:val="004C6027"/>
    <w:rsid w:val="004C7A51"/>
    <w:rsid w:val="004D1F79"/>
    <w:rsid w:val="004D5897"/>
    <w:rsid w:val="004E2C9E"/>
    <w:rsid w:val="004E2D29"/>
    <w:rsid w:val="004E4D0D"/>
    <w:rsid w:val="004F230C"/>
    <w:rsid w:val="004F2D1C"/>
    <w:rsid w:val="004F36A1"/>
    <w:rsid w:val="004F3914"/>
    <w:rsid w:val="004F4A5F"/>
    <w:rsid w:val="004F4BF9"/>
    <w:rsid w:val="004F6023"/>
    <w:rsid w:val="004F73C2"/>
    <w:rsid w:val="004F75AD"/>
    <w:rsid w:val="00502135"/>
    <w:rsid w:val="005025E0"/>
    <w:rsid w:val="00502656"/>
    <w:rsid w:val="005031B8"/>
    <w:rsid w:val="00504D92"/>
    <w:rsid w:val="0050508C"/>
    <w:rsid w:val="00506470"/>
    <w:rsid w:val="005065FA"/>
    <w:rsid w:val="00507827"/>
    <w:rsid w:val="00512867"/>
    <w:rsid w:val="00512AE0"/>
    <w:rsid w:val="005137E9"/>
    <w:rsid w:val="0051484E"/>
    <w:rsid w:val="00514D18"/>
    <w:rsid w:val="00514F40"/>
    <w:rsid w:val="00515B5D"/>
    <w:rsid w:val="00517D1F"/>
    <w:rsid w:val="00520BF0"/>
    <w:rsid w:val="005212F1"/>
    <w:rsid w:val="0052169F"/>
    <w:rsid w:val="0052227B"/>
    <w:rsid w:val="00525BF6"/>
    <w:rsid w:val="0052606A"/>
    <w:rsid w:val="00526648"/>
    <w:rsid w:val="00526A52"/>
    <w:rsid w:val="00526D65"/>
    <w:rsid w:val="0052773B"/>
    <w:rsid w:val="005309B9"/>
    <w:rsid w:val="005336DE"/>
    <w:rsid w:val="00533F30"/>
    <w:rsid w:val="005349CA"/>
    <w:rsid w:val="00535788"/>
    <w:rsid w:val="0053598B"/>
    <w:rsid w:val="00537BE4"/>
    <w:rsid w:val="00540087"/>
    <w:rsid w:val="005413E8"/>
    <w:rsid w:val="00542856"/>
    <w:rsid w:val="00542C2C"/>
    <w:rsid w:val="00544426"/>
    <w:rsid w:val="005444CD"/>
    <w:rsid w:val="00546E14"/>
    <w:rsid w:val="00547D29"/>
    <w:rsid w:val="0055039C"/>
    <w:rsid w:val="00550DAB"/>
    <w:rsid w:val="00550E9E"/>
    <w:rsid w:val="00552281"/>
    <w:rsid w:val="005529F1"/>
    <w:rsid w:val="005530C3"/>
    <w:rsid w:val="005548B7"/>
    <w:rsid w:val="00555348"/>
    <w:rsid w:val="00555CB8"/>
    <w:rsid w:val="00561770"/>
    <w:rsid w:val="00561DAB"/>
    <w:rsid w:val="005629AA"/>
    <w:rsid w:val="00563045"/>
    <w:rsid w:val="00563458"/>
    <w:rsid w:val="005636E3"/>
    <w:rsid w:val="00564AD9"/>
    <w:rsid w:val="005658BD"/>
    <w:rsid w:val="00565E90"/>
    <w:rsid w:val="00567F50"/>
    <w:rsid w:val="005713B3"/>
    <w:rsid w:val="00571A43"/>
    <w:rsid w:val="00571D92"/>
    <w:rsid w:val="00571DBB"/>
    <w:rsid w:val="0057221C"/>
    <w:rsid w:val="00572A05"/>
    <w:rsid w:val="0057321E"/>
    <w:rsid w:val="00573D3A"/>
    <w:rsid w:val="0057447D"/>
    <w:rsid w:val="0057543D"/>
    <w:rsid w:val="00575687"/>
    <w:rsid w:val="005772C3"/>
    <w:rsid w:val="00577421"/>
    <w:rsid w:val="00577814"/>
    <w:rsid w:val="00577B81"/>
    <w:rsid w:val="005802F4"/>
    <w:rsid w:val="00581C57"/>
    <w:rsid w:val="0058226E"/>
    <w:rsid w:val="00582AEB"/>
    <w:rsid w:val="005833D8"/>
    <w:rsid w:val="00584560"/>
    <w:rsid w:val="00585441"/>
    <w:rsid w:val="00586D15"/>
    <w:rsid w:val="0059092E"/>
    <w:rsid w:val="00593A70"/>
    <w:rsid w:val="005948F1"/>
    <w:rsid w:val="00594A98"/>
    <w:rsid w:val="00594D89"/>
    <w:rsid w:val="00595044"/>
    <w:rsid w:val="005955E4"/>
    <w:rsid w:val="005959F9"/>
    <w:rsid w:val="0059631C"/>
    <w:rsid w:val="005966FC"/>
    <w:rsid w:val="00596B7D"/>
    <w:rsid w:val="00596DF0"/>
    <w:rsid w:val="00597150"/>
    <w:rsid w:val="00597FB5"/>
    <w:rsid w:val="005A0B64"/>
    <w:rsid w:val="005A34AB"/>
    <w:rsid w:val="005A3691"/>
    <w:rsid w:val="005A41DC"/>
    <w:rsid w:val="005A51F3"/>
    <w:rsid w:val="005A79F8"/>
    <w:rsid w:val="005A7C74"/>
    <w:rsid w:val="005B072C"/>
    <w:rsid w:val="005B1F3F"/>
    <w:rsid w:val="005B3D5E"/>
    <w:rsid w:val="005B4FA9"/>
    <w:rsid w:val="005B7CC2"/>
    <w:rsid w:val="005C50CE"/>
    <w:rsid w:val="005C5857"/>
    <w:rsid w:val="005C602E"/>
    <w:rsid w:val="005D0D2E"/>
    <w:rsid w:val="005D40EC"/>
    <w:rsid w:val="005D48A7"/>
    <w:rsid w:val="005D66BC"/>
    <w:rsid w:val="005E03D4"/>
    <w:rsid w:val="005E0A28"/>
    <w:rsid w:val="005E109E"/>
    <w:rsid w:val="005E1BAA"/>
    <w:rsid w:val="005E22C7"/>
    <w:rsid w:val="005E2FA8"/>
    <w:rsid w:val="005E4377"/>
    <w:rsid w:val="005E4984"/>
    <w:rsid w:val="005E4FEC"/>
    <w:rsid w:val="005E5AD8"/>
    <w:rsid w:val="005E5EA3"/>
    <w:rsid w:val="005E6E73"/>
    <w:rsid w:val="005E7730"/>
    <w:rsid w:val="005E7753"/>
    <w:rsid w:val="005E7EDC"/>
    <w:rsid w:val="005F0693"/>
    <w:rsid w:val="005F1A0F"/>
    <w:rsid w:val="005F2471"/>
    <w:rsid w:val="005F4577"/>
    <w:rsid w:val="005F58CD"/>
    <w:rsid w:val="005F61FA"/>
    <w:rsid w:val="00600B0A"/>
    <w:rsid w:val="00601B06"/>
    <w:rsid w:val="00601C61"/>
    <w:rsid w:val="00604CC2"/>
    <w:rsid w:val="006055A1"/>
    <w:rsid w:val="0060631E"/>
    <w:rsid w:val="006072A6"/>
    <w:rsid w:val="00607E49"/>
    <w:rsid w:val="00610407"/>
    <w:rsid w:val="00610596"/>
    <w:rsid w:val="00611701"/>
    <w:rsid w:val="0061509F"/>
    <w:rsid w:val="00615F25"/>
    <w:rsid w:val="00620EE6"/>
    <w:rsid w:val="0062131B"/>
    <w:rsid w:val="00624300"/>
    <w:rsid w:val="00624AA4"/>
    <w:rsid w:val="0062507D"/>
    <w:rsid w:val="00625EA2"/>
    <w:rsid w:val="0062630F"/>
    <w:rsid w:val="0062652E"/>
    <w:rsid w:val="00627D7A"/>
    <w:rsid w:val="00627FDD"/>
    <w:rsid w:val="006310EC"/>
    <w:rsid w:val="00632BAD"/>
    <w:rsid w:val="006344A9"/>
    <w:rsid w:val="006354CD"/>
    <w:rsid w:val="00635CC0"/>
    <w:rsid w:val="0063628B"/>
    <w:rsid w:val="00636704"/>
    <w:rsid w:val="00640117"/>
    <w:rsid w:val="00640FD6"/>
    <w:rsid w:val="006416C7"/>
    <w:rsid w:val="00643363"/>
    <w:rsid w:val="0064356F"/>
    <w:rsid w:val="006435A5"/>
    <w:rsid w:val="00643F3B"/>
    <w:rsid w:val="00645AB9"/>
    <w:rsid w:val="00645EEB"/>
    <w:rsid w:val="00646004"/>
    <w:rsid w:val="00647079"/>
    <w:rsid w:val="00650872"/>
    <w:rsid w:val="00650E61"/>
    <w:rsid w:val="0065305A"/>
    <w:rsid w:val="00653875"/>
    <w:rsid w:val="00661057"/>
    <w:rsid w:val="0066230A"/>
    <w:rsid w:val="006623B1"/>
    <w:rsid w:val="006629CC"/>
    <w:rsid w:val="006649B1"/>
    <w:rsid w:val="00665840"/>
    <w:rsid w:val="00665C1C"/>
    <w:rsid w:val="006661DF"/>
    <w:rsid w:val="0067303A"/>
    <w:rsid w:val="00673BDF"/>
    <w:rsid w:val="006745FA"/>
    <w:rsid w:val="0067549F"/>
    <w:rsid w:val="0067616F"/>
    <w:rsid w:val="00681787"/>
    <w:rsid w:val="006849FD"/>
    <w:rsid w:val="00684B0D"/>
    <w:rsid w:val="006850F1"/>
    <w:rsid w:val="00685B49"/>
    <w:rsid w:val="00686AAA"/>
    <w:rsid w:val="00687ACF"/>
    <w:rsid w:val="00696BD2"/>
    <w:rsid w:val="0069775B"/>
    <w:rsid w:val="006A168C"/>
    <w:rsid w:val="006A3D9B"/>
    <w:rsid w:val="006A4EFE"/>
    <w:rsid w:val="006A59E4"/>
    <w:rsid w:val="006A624D"/>
    <w:rsid w:val="006A6ACB"/>
    <w:rsid w:val="006A7AB3"/>
    <w:rsid w:val="006A7C2F"/>
    <w:rsid w:val="006B0957"/>
    <w:rsid w:val="006B0D80"/>
    <w:rsid w:val="006B0E95"/>
    <w:rsid w:val="006B1F1B"/>
    <w:rsid w:val="006B2024"/>
    <w:rsid w:val="006B2274"/>
    <w:rsid w:val="006B5424"/>
    <w:rsid w:val="006B5C0E"/>
    <w:rsid w:val="006B650D"/>
    <w:rsid w:val="006B66A6"/>
    <w:rsid w:val="006B7119"/>
    <w:rsid w:val="006C185C"/>
    <w:rsid w:val="006C40DA"/>
    <w:rsid w:val="006C4628"/>
    <w:rsid w:val="006D00D2"/>
    <w:rsid w:val="006D08F6"/>
    <w:rsid w:val="006D2B00"/>
    <w:rsid w:val="006D2F2B"/>
    <w:rsid w:val="006D5633"/>
    <w:rsid w:val="006E0042"/>
    <w:rsid w:val="006E0421"/>
    <w:rsid w:val="006E1933"/>
    <w:rsid w:val="006E5014"/>
    <w:rsid w:val="006E6404"/>
    <w:rsid w:val="006E68C7"/>
    <w:rsid w:val="006E6F5E"/>
    <w:rsid w:val="006F0A2F"/>
    <w:rsid w:val="006F1DE4"/>
    <w:rsid w:val="006F1F20"/>
    <w:rsid w:val="006F261A"/>
    <w:rsid w:val="006F3171"/>
    <w:rsid w:val="006F543E"/>
    <w:rsid w:val="006F6FC7"/>
    <w:rsid w:val="00700896"/>
    <w:rsid w:val="00702DBA"/>
    <w:rsid w:val="00703CEA"/>
    <w:rsid w:val="00703E6B"/>
    <w:rsid w:val="00705133"/>
    <w:rsid w:val="007052F8"/>
    <w:rsid w:val="007071D3"/>
    <w:rsid w:val="00710206"/>
    <w:rsid w:val="0071239C"/>
    <w:rsid w:val="0071367D"/>
    <w:rsid w:val="007147F5"/>
    <w:rsid w:val="00714D0C"/>
    <w:rsid w:val="0071614E"/>
    <w:rsid w:val="00716203"/>
    <w:rsid w:val="007162BD"/>
    <w:rsid w:val="0071652C"/>
    <w:rsid w:val="0071685D"/>
    <w:rsid w:val="007220DE"/>
    <w:rsid w:val="00723338"/>
    <w:rsid w:val="00724624"/>
    <w:rsid w:val="007264ED"/>
    <w:rsid w:val="0072699F"/>
    <w:rsid w:val="007320F2"/>
    <w:rsid w:val="00732CF4"/>
    <w:rsid w:val="007345AB"/>
    <w:rsid w:val="00744E8C"/>
    <w:rsid w:val="00747DDC"/>
    <w:rsid w:val="00753D1A"/>
    <w:rsid w:val="00754DE9"/>
    <w:rsid w:val="007552A4"/>
    <w:rsid w:val="007577D2"/>
    <w:rsid w:val="00760CB8"/>
    <w:rsid w:val="007617FE"/>
    <w:rsid w:val="00761EAA"/>
    <w:rsid w:val="0076676A"/>
    <w:rsid w:val="00767461"/>
    <w:rsid w:val="00767796"/>
    <w:rsid w:val="00767B19"/>
    <w:rsid w:val="00770336"/>
    <w:rsid w:val="0077057A"/>
    <w:rsid w:val="007720BC"/>
    <w:rsid w:val="00773A99"/>
    <w:rsid w:val="00774D20"/>
    <w:rsid w:val="00776D01"/>
    <w:rsid w:val="00777B41"/>
    <w:rsid w:val="00777D80"/>
    <w:rsid w:val="00782E38"/>
    <w:rsid w:val="00782E72"/>
    <w:rsid w:val="00785E2C"/>
    <w:rsid w:val="00787B87"/>
    <w:rsid w:val="007909F2"/>
    <w:rsid w:val="007914C4"/>
    <w:rsid w:val="0079462D"/>
    <w:rsid w:val="007958C4"/>
    <w:rsid w:val="007978B6"/>
    <w:rsid w:val="007A0B28"/>
    <w:rsid w:val="007A0F4E"/>
    <w:rsid w:val="007A2ACE"/>
    <w:rsid w:val="007A4DFD"/>
    <w:rsid w:val="007A77AF"/>
    <w:rsid w:val="007B1CC3"/>
    <w:rsid w:val="007B29C8"/>
    <w:rsid w:val="007B4001"/>
    <w:rsid w:val="007B516D"/>
    <w:rsid w:val="007B54CF"/>
    <w:rsid w:val="007B5768"/>
    <w:rsid w:val="007B717B"/>
    <w:rsid w:val="007C1246"/>
    <w:rsid w:val="007C1482"/>
    <w:rsid w:val="007C2378"/>
    <w:rsid w:val="007C24CF"/>
    <w:rsid w:val="007C5BE5"/>
    <w:rsid w:val="007C7145"/>
    <w:rsid w:val="007C7D5C"/>
    <w:rsid w:val="007D0F7E"/>
    <w:rsid w:val="007D2C18"/>
    <w:rsid w:val="007D37BC"/>
    <w:rsid w:val="007D3D34"/>
    <w:rsid w:val="007D5E59"/>
    <w:rsid w:val="007D672B"/>
    <w:rsid w:val="007E0E24"/>
    <w:rsid w:val="007E4910"/>
    <w:rsid w:val="007E5007"/>
    <w:rsid w:val="007E61A1"/>
    <w:rsid w:val="007E72DE"/>
    <w:rsid w:val="007E7E35"/>
    <w:rsid w:val="007F08EA"/>
    <w:rsid w:val="007F143F"/>
    <w:rsid w:val="007F1C23"/>
    <w:rsid w:val="007F1CCB"/>
    <w:rsid w:val="007F2108"/>
    <w:rsid w:val="007F7C85"/>
    <w:rsid w:val="0080179E"/>
    <w:rsid w:val="008033BB"/>
    <w:rsid w:val="00804AB8"/>
    <w:rsid w:val="00805A2E"/>
    <w:rsid w:val="00806CBB"/>
    <w:rsid w:val="00807391"/>
    <w:rsid w:val="00807F7A"/>
    <w:rsid w:val="00810508"/>
    <w:rsid w:val="0081180B"/>
    <w:rsid w:val="00814B43"/>
    <w:rsid w:val="00814F89"/>
    <w:rsid w:val="008168FE"/>
    <w:rsid w:val="008203CB"/>
    <w:rsid w:val="00820A9A"/>
    <w:rsid w:val="00821DC9"/>
    <w:rsid w:val="00821F2A"/>
    <w:rsid w:val="00822F97"/>
    <w:rsid w:val="0082403E"/>
    <w:rsid w:val="00824B9E"/>
    <w:rsid w:val="00825B99"/>
    <w:rsid w:val="008262F8"/>
    <w:rsid w:val="00826C7C"/>
    <w:rsid w:val="00826C95"/>
    <w:rsid w:val="00831123"/>
    <w:rsid w:val="00832421"/>
    <w:rsid w:val="00833302"/>
    <w:rsid w:val="0083374B"/>
    <w:rsid w:val="00835A1E"/>
    <w:rsid w:val="00836180"/>
    <w:rsid w:val="008401CD"/>
    <w:rsid w:val="00840639"/>
    <w:rsid w:val="008419AB"/>
    <w:rsid w:val="008424D1"/>
    <w:rsid w:val="00843EFA"/>
    <w:rsid w:val="008443FF"/>
    <w:rsid w:val="00844D9B"/>
    <w:rsid w:val="008468E8"/>
    <w:rsid w:val="008539A0"/>
    <w:rsid w:val="00855061"/>
    <w:rsid w:val="00856003"/>
    <w:rsid w:val="0085639E"/>
    <w:rsid w:val="00860C45"/>
    <w:rsid w:val="00862C12"/>
    <w:rsid w:val="008635BC"/>
    <w:rsid w:val="008635E9"/>
    <w:rsid w:val="00864A7A"/>
    <w:rsid w:val="00865815"/>
    <w:rsid w:val="00867436"/>
    <w:rsid w:val="0087105D"/>
    <w:rsid w:val="00872F83"/>
    <w:rsid w:val="00874973"/>
    <w:rsid w:val="008754AA"/>
    <w:rsid w:val="00880DA8"/>
    <w:rsid w:val="00881400"/>
    <w:rsid w:val="00883D92"/>
    <w:rsid w:val="00884329"/>
    <w:rsid w:val="00884CDA"/>
    <w:rsid w:val="008850ED"/>
    <w:rsid w:val="00886F06"/>
    <w:rsid w:val="00890F4B"/>
    <w:rsid w:val="008935B7"/>
    <w:rsid w:val="00893767"/>
    <w:rsid w:val="008938E0"/>
    <w:rsid w:val="008947ED"/>
    <w:rsid w:val="00896880"/>
    <w:rsid w:val="008A1144"/>
    <w:rsid w:val="008A39E1"/>
    <w:rsid w:val="008A5954"/>
    <w:rsid w:val="008A5CE1"/>
    <w:rsid w:val="008A5D12"/>
    <w:rsid w:val="008A6B5A"/>
    <w:rsid w:val="008A743E"/>
    <w:rsid w:val="008B0150"/>
    <w:rsid w:val="008B055D"/>
    <w:rsid w:val="008B5E3D"/>
    <w:rsid w:val="008B63DA"/>
    <w:rsid w:val="008B6582"/>
    <w:rsid w:val="008B7859"/>
    <w:rsid w:val="008C67B1"/>
    <w:rsid w:val="008D0108"/>
    <w:rsid w:val="008D0B0E"/>
    <w:rsid w:val="008D10CE"/>
    <w:rsid w:val="008D22A5"/>
    <w:rsid w:val="008D236F"/>
    <w:rsid w:val="008D332B"/>
    <w:rsid w:val="008D6C1D"/>
    <w:rsid w:val="008D7DE5"/>
    <w:rsid w:val="008D7E29"/>
    <w:rsid w:val="008E06F2"/>
    <w:rsid w:val="008E1793"/>
    <w:rsid w:val="008E1F71"/>
    <w:rsid w:val="008E1FE1"/>
    <w:rsid w:val="008F0AD5"/>
    <w:rsid w:val="008F1496"/>
    <w:rsid w:val="008F2093"/>
    <w:rsid w:val="008F4AE9"/>
    <w:rsid w:val="008F6AD0"/>
    <w:rsid w:val="00900A11"/>
    <w:rsid w:val="0090231E"/>
    <w:rsid w:val="009023B8"/>
    <w:rsid w:val="009040F5"/>
    <w:rsid w:val="0090720D"/>
    <w:rsid w:val="00910715"/>
    <w:rsid w:val="00912848"/>
    <w:rsid w:val="00913D7B"/>
    <w:rsid w:val="00916970"/>
    <w:rsid w:val="00917C46"/>
    <w:rsid w:val="00920A9C"/>
    <w:rsid w:val="00921FBC"/>
    <w:rsid w:val="00922041"/>
    <w:rsid w:val="009222DD"/>
    <w:rsid w:val="00923BA2"/>
    <w:rsid w:val="00923E61"/>
    <w:rsid w:val="00924ED7"/>
    <w:rsid w:val="00925A3A"/>
    <w:rsid w:val="00926018"/>
    <w:rsid w:val="009267BD"/>
    <w:rsid w:val="00926ADC"/>
    <w:rsid w:val="00927F16"/>
    <w:rsid w:val="009316B5"/>
    <w:rsid w:val="00931815"/>
    <w:rsid w:val="00935653"/>
    <w:rsid w:val="00940702"/>
    <w:rsid w:val="009450FB"/>
    <w:rsid w:val="0094551C"/>
    <w:rsid w:val="00954A96"/>
    <w:rsid w:val="00955453"/>
    <w:rsid w:val="00955C99"/>
    <w:rsid w:val="009571EA"/>
    <w:rsid w:val="00957CE4"/>
    <w:rsid w:val="00957EE0"/>
    <w:rsid w:val="00961CAE"/>
    <w:rsid w:val="00961D3A"/>
    <w:rsid w:val="00962692"/>
    <w:rsid w:val="00962720"/>
    <w:rsid w:val="00962B65"/>
    <w:rsid w:val="00964223"/>
    <w:rsid w:val="00964811"/>
    <w:rsid w:val="00965EF7"/>
    <w:rsid w:val="009663C6"/>
    <w:rsid w:val="00966419"/>
    <w:rsid w:val="009669FA"/>
    <w:rsid w:val="00967C36"/>
    <w:rsid w:val="00971885"/>
    <w:rsid w:val="00972083"/>
    <w:rsid w:val="0097234A"/>
    <w:rsid w:val="00973E85"/>
    <w:rsid w:val="00974BDE"/>
    <w:rsid w:val="009751A1"/>
    <w:rsid w:val="009760A8"/>
    <w:rsid w:val="00976612"/>
    <w:rsid w:val="00981265"/>
    <w:rsid w:val="00981F13"/>
    <w:rsid w:val="00981FDF"/>
    <w:rsid w:val="009822EE"/>
    <w:rsid w:val="0098357B"/>
    <w:rsid w:val="0098687C"/>
    <w:rsid w:val="00986AAB"/>
    <w:rsid w:val="00986AC1"/>
    <w:rsid w:val="00987500"/>
    <w:rsid w:val="0098774B"/>
    <w:rsid w:val="00987BDA"/>
    <w:rsid w:val="00990E68"/>
    <w:rsid w:val="00990F9A"/>
    <w:rsid w:val="009910F2"/>
    <w:rsid w:val="0099137B"/>
    <w:rsid w:val="00991B19"/>
    <w:rsid w:val="00992211"/>
    <w:rsid w:val="0099392C"/>
    <w:rsid w:val="00994016"/>
    <w:rsid w:val="00995BCC"/>
    <w:rsid w:val="009A03C6"/>
    <w:rsid w:val="009A0685"/>
    <w:rsid w:val="009A1975"/>
    <w:rsid w:val="009A29E6"/>
    <w:rsid w:val="009A2CB9"/>
    <w:rsid w:val="009A34C9"/>
    <w:rsid w:val="009A4327"/>
    <w:rsid w:val="009B1C1D"/>
    <w:rsid w:val="009B2D63"/>
    <w:rsid w:val="009B4562"/>
    <w:rsid w:val="009B5E06"/>
    <w:rsid w:val="009B6645"/>
    <w:rsid w:val="009B7475"/>
    <w:rsid w:val="009B7EC8"/>
    <w:rsid w:val="009B7FF2"/>
    <w:rsid w:val="009C06D4"/>
    <w:rsid w:val="009C1183"/>
    <w:rsid w:val="009C2416"/>
    <w:rsid w:val="009C5D50"/>
    <w:rsid w:val="009C6791"/>
    <w:rsid w:val="009C742C"/>
    <w:rsid w:val="009C74A7"/>
    <w:rsid w:val="009D2129"/>
    <w:rsid w:val="009D2238"/>
    <w:rsid w:val="009D4688"/>
    <w:rsid w:val="009D72C8"/>
    <w:rsid w:val="009D79ED"/>
    <w:rsid w:val="009E005F"/>
    <w:rsid w:val="009E048B"/>
    <w:rsid w:val="009E13DE"/>
    <w:rsid w:val="009E28C1"/>
    <w:rsid w:val="009E37EB"/>
    <w:rsid w:val="009E5546"/>
    <w:rsid w:val="009E61CE"/>
    <w:rsid w:val="009F0C3A"/>
    <w:rsid w:val="009F1659"/>
    <w:rsid w:val="009F18EE"/>
    <w:rsid w:val="009F32D3"/>
    <w:rsid w:val="009F5C5A"/>
    <w:rsid w:val="009F658E"/>
    <w:rsid w:val="00A0240C"/>
    <w:rsid w:val="00A05D74"/>
    <w:rsid w:val="00A06F13"/>
    <w:rsid w:val="00A107CF"/>
    <w:rsid w:val="00A10C3F"/>
    <w:rsid w:val="00A120DB"/>
    <w:rsid w:val="00A122D1"/>
    <w:rsid w:val="00A13DF5"/>
    <w:rsid w:val="00A1546A"/>
    <w:rsid w:val="00A16CC0"/>
    <w:rsid w:val="00A24501"/>
    <w:rsid w:val="00A24659"/>
    <w:rsid w:val="00A27D0A"/>
    <w:rsid w:val="00A27F99"/>
    <w:rsid w:val="00A305C9"/>
    <w:rsid w:val="00A406C4"/>
    <w:rsid w:val="00A40B3D"/>
    <w:rsid w:val="00A448ED"/>
    <w:rsid w:val="00A44E4E"/>
    <w:rsid w:val="00A5052A"/>
    <w:rsid w:val="00A50567"/>
    <w:rsid w:val="00A54140"/>
    <w:rsid w:val="00A56046"/>
    <w:rsid w:val="00A57D55"/>
    <w:rsid w:val="00A60A0A"/>
    <w:rsid w:val="00A60E14"/>
    <w:rsid w:val="00A617F7"/>
    <w:rsid w:val="00A62F1D"/>
    <w:rsid w:val="00A63621"/>
    <w:rsid w:val="00A63792"/>
    <w:rsid w:val="00A64847"/>
    <w:rsid w:val="00A65223"/>
    <w:rsid w:val="00A6583D"/>
    <w:rsid w:val="00A65A95"/>
    <w:rsid w:val="00A65B29"/>
    <w:rsid w:val="00A67190"/>
    <w:rsid w:val="00A67C84"/>
    <w:rsid w:val="00A709AD"/>
    <w:rsid w:val="00A720E1"/>
    <w:rsid w:val="00A7255E"/>
    <w:rsid w:val="00A72D3B"/>
    <w:rsid w:val="00A730A0"/>
    <w:rsid w:val="00A74EAD"/>
    <w:rsid w:val="00A752F3"/>
    <w:rsid w:val="00A75D82"/>
    <w:rsid w:val="00A76939"/>
    <w:rsid w:val="00A773DE"/>
    <w:rsid w:val="00A77448"/>
    <w:rsid w:val="00A77547"/>
    <w:rsid w:val="00A7769D"/>
    <w:rsid w:val="00A8012C"/>
    <w:rsid w:val="00A8013B"/>
    <w:rsid w:val="00A804CC"/>
    <w:rsid w:val="00A83CF7"/>
    <w:rsid w:val="00A8407D"/>
    <w:rsid w:val="00A85D42"/>
    <w:rsid w:val="00A85F3F"/>
    <w:rsid w:val="00A871E0"/>
    <w:rsid w:val="00A90841"/>
    <w:rsid w:val="00A93609"/>
    <w:rsid w:val="00A936CC"/>
    <w:rsid w:val="00A94372"/>
    <w:rsid w:val="00A9624C"/>
    <w:rsid w:val="00A97B0A"/>
    <w:rsid w:val="00A97C82"/>
    <w:rsid w:val="00AA01CD"/>
    <w:rsid w:val="00AA1D2E"/>
    <w:rsid w:val="00AA3647"/>
    <w:rsid w:val="00AA3A43"/>
    <w:rsid w:val="00AA7761"/>
    <w:rsid w:val="00AA7E85"/>
    <w:rsid w:val="00AB00D4"/>
    <w:rsid w:val="00AB0AF8"/>
    <w:rsid w:val="00AB0E05"/>
    <w:rsid w:val="00AB148C"/>
    <w:rsid w:val="00AB45F3"/>
    <w:rsid w:val="00AB4D75"/>
    <w:rsid w:val="00AB5D23"/>
    <w:rsid w:val="00AB5E7D"/>
    <w:rsid w:val="00AB6638"/>
    <w:rsid w:val="00AB7953"/>
    <w:rsid w:val="00AC1ACC"/>
    <w:rsid w:val="00AC28A8"/>
    <w:rsid w:val="00AC2F9A"/>
    <w:rsid w:val="00AC304A"/>
    <w:rsid w:val="00AC322B"/>
    <w:rsid w:val="00AC3514"/>
    <w:rsid w:val="00AC3C74"/>
    <w:rsid w:val="00AC3D57"/>
    <w:rsid w:val="00AC5B92"/>
    <w:rsid w:val="00AC71E3"/>
    <w:rsid w:val="00AD2F1B"/>
    <w:rsid w:val="00AD3409"/>
    <w:rsid w:val="00AD3D46"/>
    <w:rsid w:val="00AD64EB"/>
    <w:rsid w:val="00AE0B24"/>
    <w:rsid w:val="00AE3B9E"/>
    <w:rsid w:val="00AE3EC6"/>
    <w:rsid w:val="00AE40D0"/>
    <w:rsid w:val="00AE4379"/>
    <w:rsid w:val="00AE61E7"/>
    <w:rsid w:val="00AE6749"/>
    <w:rsid w:val="00AE7FFD"/>
    <w:rsid w:val="00AF05D7"/>
    <w:rsid w:val="00AF1195"/>
    <w:rsid w:val="00AF3EA2"/>
    <w:rsid w:val="00AF44B7"/>
    <w:rsid w:val="00AF6886"/>
    <w:rsid w:val="00AF7B46"/>
    <w:rsid w:val="00B0051E"/>
    <w:rsid w:val="00B00AB5"/>
    <w:rsid w:val="00B025E1"/>
    <w:rsid w:val="00B02834"/>
    <w:rsid w:val="00B02B63"/>
    <w:rsid w:val="00B03682"/>
    <w:rsid w:val="00B03B39"/>
    <w:rsid w:val="00B03C48"/>
    <w:rsid w:val="00B04DB2"/>
    <w:rsid w:val="00B100FB"/>
    <w:rsid w:val="00B12FB3"/>
    <w:rsid w:val="00B13B28"/>
    <w:rsid w:val="00B175EB"/>
    <w:rsid w:val="00B20654"/>
    <w:rsid w:val="00B20D3F"/>
    <w:rsid w:val="00B21692"/>
    <w:rsid w:val="00B223A4"/>
    <w:rsid w:val="00B224C2"/>
    <w:rsid w:val="00B245DF"/>
    <w:rsid w:val="00B24696"/>
    <w:rsid w:val="00B25261"/>
    <w:rsid w:val="00B262DA"/>
    <w:rsid w:val="00B275D5"/>
    <w:rsid w:val="00B27ADB"/>
    <w:rsid w:val="00B33BD7"/>
    <w:rsid w:val="00B33CF9"/>
    <w:rsid w:val="00B34EED"/>
    <w:rsid w:val="00B352D0"/>
    <w:rsid w:val="00B35A14"/>
    <w:rsid w:val="00B35BD2"/>
    <w:rsid w:val="00B35E53"/>
    <w:rsid w:val="00B37253"/>
    <w:rsid w:val="00B406F5"/>
    <w:rsid w:val="00B40AAF"/>
    <w:rsid w:val="00B415C0"/>
    <w:rsid w:val="00B42113"/>
    <w:rsid w:val="00B43C50"/>
    <w:rsid w:val="00B44349"/>
    <w:rsid w:val="00B44490"/>
    <w:rsid w:val="00B44A46"/>
    <w:rsid w:val="00B501CA"/>
    <w:rsid w:val="00B52C39"/>
    <w:rsid w:val="00B53B89"/>
    <w:rsid w:val="00B54E9D"/>
    <w:rsid w:val="00B55459"/>
    <w:rsid w:val="00B55711"/>
    <w:rsid w:val="00B56281"/>
    <w:rsid w:val="00B56464"/>
    <w:rsid w:val="00B56588"/>
    <w:rsid w:val="00B60401"/>
    <w:rsid w:val="00B63987"/>
    <w:rsid w:val="00B63BD5"/>
    <w:rsid w:val="00B70795"/>
    <w:rsid w:val="00B70870"/>
    <w:rsid w:val="00B718B2"/>
    <w:rsid w:val="00B72A05"/>
    <w:rsid w:val="00B72D14"/>
    <w:rsid w:val="00B74CA2"/>
    <w:rsid w:val="00B750F4"/>
    <w:rsid w:val="00B76892"/>
    <w:rsid w:val="00B80730"/>
    <w:rsid w:val="00B81E72"/>
    <w:rsid w:val="00B838CA"/>
    <w:rsid w:val="00B849CA"/>
    <w:rsid w:val="00B86144"/>
    <w:rsid w:val="00B86202"/>
    <w:rsid w:val="00B9333F"/>
    <w:rsid w:val="00B93C08"/>
    <w:rsid w:val="00B946BB"/>
    <w:rsid w:val="00B95E3D"/>
    <w:rsid w:val="00BA20DB"/>
    <w:rsid w:val="00BA49C9"/>
    <w:rsid w:val="00BA4A58"/>
    <w:rsid w:val="00BA77DC"/>
    <w:rsid w:val="00BB1896"/>
    <w:rsid w:val="00BB253F"/>
    <w:rsid w:val="00BB339E"/>
    <w:rsid w:val="00BB50AC"/>
    <w:rsid w:val="00BB56F8"/>
    <w:rsid w:val="00BB6F2E"/>
    <w:rsid w:val="00BC1440"/>
    <w:rsid w:val="00BC2122"/>
    <w:rsid w:val="00BC5647"/>
    <w:rsid w:val="00BC5B02"/>
    <w:rsid w:val="00BD0CA4"/>
    <w:rsid w:val="00BD155F"/>
    <w:rsid w:val="00BD1AE8"/>
    <w:rsid w:val="00BD340A"/>
    <w:rsid w:val="00BD47A1"/>
    <w:rsid w:val="00BD530B"/>
    <w:rsid w:val="00BD63B0"/>
    <w:rsid w:val="00BD69E8"/>
    <w:rsid w:val="00BD7542"/>
    <w:rsid w:val="00BE0BDA"/>
    <w:rsid w:val="00BE24E5"/>
    <w:rsid w:val="00BE694B"/>
    <w:rsid w:val="00BE6F2E"/>
    <w:rsid w:val="00BE75D5"/>
    <w:rsid w:val="00BF0662"/>
    <w:rsid w:val="00BF2932"/>
    <w:rsid w:val="00BF38D2"/>
    <w:rsid w:val="00BF57DE"/>
    <w:rsid w:val="00BF5E0F"/>
    <w:rsid w:val="00BF6479"/>
    <w:rsid w:val="00C004E1"/>
    <w:rsid w:val="00C02851"/>
    <w:rsid w:val="00C030B1"/>
    <w:rsid w:val="00C041B1"/>
    <w:rsid w:val="00C05EB0"/>
    <w:rsid w:val="00C07A19"/>
    <w:rsid w:val="00C10CB7"/>
    <w:rsid w:val="00C10E09"/>
    <w:rsid w:val="00C12B3E"/>
    <w:rsid w:val="00C15567"/>
    <w:rsid w:val="00C16834"/>
    <w:rsid w:val="00C16E5C"/>
    <w:rsid w:val="00C17E10"/>
    <w:rsid w:val="00C17FFA"/>
    <w:rsid w:val="00C206D9"/>
    <w:rsid w:val="00C21D9C"/>
    <w:rsid w:val="00C230BB"/>
    <w:rsid w:val="00C23F53"/>
    <w:rsid w:val="00C24B52"/>
    <w:rsid w:val="00C25136"/>
    <w:rsid w:val="00C2535A"/>
    <w:rsid w:val="00C25698"/>
    <w:rsid w:val="00C27E4F"/>
    <w:rsid w:val="00C311AC"/>
    <w:rsid w:val="00C31C7F"/>
    <w:rsid w:val="00C31CF4"/>
    <w:rsid w:val="00C42361"/>
    <w:rsid w:val="00C4308A"/>
    <w:rsid w:val="00C4310C"/>
    <w:rsid w:val="00C46F50"/>
    <w:rsid w:val="00C511A8"/>
    <w:rsid w:val="00C51876"/>
    <w:rsid w:val="00C51CA6"/>
    <w:rsid w:val="00C51F1A"/>
    <w:rsid w:val="00C530F1"/>
    <w:rsid w:val="00C54EB2"/>
    <w:rsid w:val="00C54FF7"/>
    <w:rsid w:val="00C55198"/>
    <w:rsid w:val="00C55963"/>
    <w:rsid w:val="00C5796D"/>
    <w:rsid w:val="00C57BF6"/>
    <w:rsid w:val="00C609AA"/>
    <w:rsid w:val="00C615C7"/>
    <w:rsid w:val="00C62862"/>
    <w:rsid w:val="00C6348A"/>
    <w:rsid w:val="00C65D0F"/>
    <w:rsid w:val="00C65D4D"/>
    <w:rsid w:val="00C66361"/>
    <w:rsid w:val="00C71013"/>
    <w:rsid w:val="00C72767"/>
    <w:rsid w:val="00C74945"/>
    <w:rsid w:val="00C7507B"/>
    <w:rsid w:val="00C751E9"/>
    <w:rsid w:val="00C751FD"/>
    <w:rsid w:val="00C754A6"/>
    <w:rsid w:val="00C76042"/>
    <w:rsid w:val="00C7609A"/>
    <w:rsid w:val="00C81596"/>
    <w:rsid w:val="00C8403D"/>
    <w:rsid w:val="00C84B40"/>
    <w:rsid w:val="00C8533F"/>
    <w:rsid w:val="00C857B6"/>
    <w:rsid w:val="00C86BB7"/>
    <w:rsid w:val="00C86E85"/>
    <w:rsid w:val="00C872DA"/>
    <w:rsid w:val="00C91755"/>
    <w:rsid w:val="00C923C8"/>
    <w:rsid w:val="00C9351F"/>
    <w:rsid w:val="00C95166"/>
    <w:rsid w:val="00C97582"/>
    <w:rsid w:val="00C9770B"/>
    <w:rsid w:val="00CA1011"/>
    <w:rsid w:val="00CA1CA6"/>
    <w:rsid w:val="00CA34F9"/>
    <w:rsid w:val="00CA44CD"/>
    <w:rsid w:val="00CA5491"/>
    <w:rsid w:val="00CA6E5C"/>
    <w:rsid w:val="00CB0F04"/>
    <w:rsid w:val="00CB1307"/>
    <w:rsid w:val="00CB1AC0"/>
    <w:rsid w:val="00CB21A6"/>
    <w:rsid w:val="00CB2D3F"/>
    <w:rsid w:val="00CB3049"/>
    <w:rsid w:val="00CB49D9"/>
    <w:rsid w:val="00CB646B"/>
    <w:rsid w:val="00CC041D"/>
    <w:rsid w:val="00CC047E"/>
    <w:rsid w:val="00CC121D"/>
    <w:rsid w:val="00CC1588"/>
    <w:rsid w:val="00CC1854"/>
    <w:rsid w:val="00CC28F2"/>
    <w:rsid w:val="00CC2953"/>
    <w:rsid w:val="00CC3838"/>
    <w:rsid w:val="00CC4E71"/>
    <w:rsid w:val="00CC51E7"/>
    <w:rsid w:val="00CD346B"/>
    <w:rsid w:val="00CD69F2"/>
    <w:rsid w:val="00CD6A9B"/>
    <w:rsid w:val="00CD6EBD"/>
    <w:rsid w:val="00CD75FD"/>
    <w:rsid w:val="00CD7E0B"/>
    <w:rsid w:val="00CE032A"/>
    <w:rsid w:val="00CE0FFB"/>
    <w:rsid w:val="00CE197A"/>
    <w:rsid w:val="00CE48AB"/>
    <w:rsid w:val="00CE4F4E"/>
    <w:rsid w:val="00CF0BCE"/>
    <w:rsid w:val="00CF0BD1"/>
    <w:rsid w:val="00CF1F44"/>
    <w:rsid w:val="00CF39C9"/>
    <w:rsid w:val="00CF434D"/>
    <w:rsid w:val="00CF4AF2"/>
    <w:rsid w:val="00CF5BCE"/>
    <w:rsid w:val="00D004FF"/>
    <w:rsid w:val="00D01864"/>
    <w:rsid w:val="00D0195A"/>
    <w:rsid w:val="00D01D08"/>
    <w:rsid w:val="00D040F9"/>
    <w:rsid w:val="00D10E70"/>
    <w:rsid w:val="00D1101E"/>
    <w:rsid w:val="00D127E1"/>
    <w:rsid w:val="00D129A4"/>
    <w:rsid w:val="00D13241"/>
    <w:rsid w:val="00D140F6"/>
    <w:rsid w:val="00D15DE6"/>
    <w:rsid w:val="00D17400"/>
    <w:rsid w:val="00D20893"/>
    <w:rsid w:val="00D21948"/>
    <w:rsid w:val="00D221DA"/>
    <w:rsid w:val="00D22B4B"/>
    <w:rsid w:val="00D22CD1"/>
    <w:rsid w:val="00D230FB"/>
    <w:rsid w:val="00D242E3"/>
    <w:rsid w:val="00D25C05"/>
    <w:rsid w:val="00D312B8"/>
    <w:rsid w:val="00D31B8A"/>
    <w:rsid w:val="00D32702"/>
    <w:rsid w:val="00D32C40"/>
    <w:rsid w:val="00D34422"/>
    <w:rsid w:val="00D34CB0"/>
    <w:rsid w:val="00D35DE7"/>
    <w:rsid w:val="00D368AD"/>
    <w:rsid w:val="00D3694C"/>
    <w:rsid w:val="00D36A3A"/>
    <w:rsid w:val="00D4166F"/>
    <w:rsid w:val="00D41EDD"/>
    <w:rsid w:val="00D44ACF"/>
    <w:rsid w:val="00D45141"/>
    <w:rsid w:val="00D45142"/>
    <w:rsid w:val="00D454E9"/>
    <w:rsid w:val="00D46120"/>
    <w:rsid w:val="00D46BAF"/>
    <w:rsid w:val="00D5159C"/>
    <w:rsid w:val="00D52029"/>
    <w:rsid w:val="00D52467"/>
    <w:rsid w:val="00D52F06"/>
    <w:rsid w:val="00D5336D"/>
    <w:rsid w:val="00D55BA3"/>
    <w:rsid w:val="00D56174"/>
    <w:rsid w:val="00D579CA"/>
    <w:rsid w:val="00D57B29"/>
    <w:rsid w:val="00D57E1A"/>
    <w:rsid w:val="00D6109D"/>
    <w:rsid w:val="00D61315"/>
    <w:rsid w:val="00D61D3C"/>
    <w:rsid w:val="00D61DB3"/>
    <w:rsid w:val="00D62D4C"/>
    <w:rsid w:val="00D62FB1"/>
    <w:rsid w:val="00D64886"/>
    <w:rsid w:val="00D65CAA"/>
    <w:rsid w:val="00D66956"/>
    <w:rsid w:val="00D702AA"/>
    <w:rsid w:val="00D71D6E"/>
    <w:rsid w:val="00D72681"/>
    <w:rsid w:val="00D72895"/>
    <w:rsid w:val="00D72A8C"/>
    <w:rsid w:val="00D72DAD"/>
    <w:rsid w:val="00D73494"/>
    <w:rsid w:val="00D77246"/>
    <w:rsid w:val="00D77A55"/>
    <w:rsid w:val="00D80C27"/>
    <w:rsid w:val="00D83E7C"/>
    <w:rsid w:val="00D852A9"/>
    <w:rsid w:val="00D855A9"/>
    <w:rsid w:val="00D8698A"/>
    <w:rsid w:val="00D901A3"/>
    <w:rsid w:val="00D90E9A"/>
    <w:rsid w:val="00D934FE"/>
    <w:rsid w:val="00D954AE"/>
    <w:rsid w:val="00D9596E"/>
    <w:rsid w:val="00DA08A1"/>
    <w:rsid w:val="00DA1795"/>
    <w:rsid w:val="00DA4A03"/>
    <w:rsid w:val="00DA5BB7"/>
    <w:rsid w:val="00DA66AC"/>
    <w:rsid w:val="00DA67E0"/>
    <w:rsid w:val="00DB004C"/>
    <w:rsid w:val="00DB15A0"/>
    <w:rsid w:val="00DB2784"/>
    <w:rsid w:val="00DB29B0"/>
    <w:rsid w:val="00DB3653"/>
    <w:rsid w:val="00DB3FB3"/>
    <w:rsid w:val="00DB585F"/>
    <w:rsid w:val="00DC1A5C"/>
    <w:rsid w:val="00DC33F4"/>
    <w:rsid w:val="00DC39B9"/>
    <w:rsid w:val="00DC4E1C"/>
    <w:rsid w:val="00DC5D01"/>
    <w:rsid w:val="00DD19AD"/>
    <w:rsid w:val="00DD1DFC"/>
    <w:rsid w:val="00DD1FDC"/>
    <w:rsid w:val="00DD26FF"/>
    <w:rsid w:val="00DD2BED"/>
    <w:rsid w:val="00DD6204"/>
    <w:rsid w:val="00DD634B"/>
    <w:rsid w:val="00DE05D6"/>
    <w:rsid w:val="00DE10C8"/>
    <w:rsid w:val="00DE141A"/>
    <w:rsid w:val="00DE22B2"/>
    <w:rsid w:val="00DE3230"/>
    <w:rsid w:val="00DE33F1"/>
    <w:rsid w:val="00DE3958"/>
    <w:rsid w:val="00DE4A34"/>
    <w:rsid w:val="00DE4D04"/>
    <w:rsid w:val="00DE7AA4"/>
    <w:rsid w:val="00DF1287"/>
    <w:rsid w:val="00DF12C0"/>
    <w:rsid w:val="00DF1E70"/>
    <w:rsid w:val="00DF226B"/>
    <w:rsid w:val="00DF29F2"/>
    <w:rsid w:val="00DF329B"/>
    <w:rsid w:val="00DF3AEF"/>
    <w:rsid w:val="00DF466D"/>
    <w:rsid w:val="00E02CCF"/>
    <w:rsid w:val="00E02D6F"/>
    <w:rsid w:val="00E0433D"/>
    <w:rsid w:val="00E0537B"/>
    <w:rsid w:val="00E05518"/>
    <w:rsid w:val="00E05EBD"/>
    <w:rsid w:val="00E06A39"/>
    <w:rsid w:val="00E102FC"/>
    <w:rsid w:val="00E120CE"/>
    <w:rsid w:val="00E13CF1"/>
    <w:rsid w:val="00E150A3"/>
    <w:rsid w:val="00E17F08"/>
    <w:rsid w:val="00E20E4C"/>
    <w:rsid w:val="00E2123D"/>
    <w:rsid w:val="00E25CF0"/>
    <w:rsid w:val="00E27041"/>
    <w:rsid w:val="00E27A49"/>
    <w:rsid w:val="00E27DA2"/>
    <w:rsid w:val="00E31636"/>
    <w:rsid w:val="00E34D15"/>
    <w:rsid w:val="00E3653B"/>
    <w:rsid w:val="00E36D6B"/>
    <w:rsid w:val="00E3768A"/>
    <w:rsid w:val="00E37BA5"/>
    <w:rsid w:val="00E37E2A"/>
    <w:rsid w:val="00E4042B"/>
    <w:rsid w:val="00E42F6B"/>
    <w:rsid w:val="00E430CF"/>
    <w:rsid w:val="00E4355B"/>
    <w:rsid w:val="00E4738A"/>
    <w:rsid w:val="00E53003"/>
    <w:rsid w:val="00E5425A"/>
    <w:rsid w:val="00E54E9C"/>
    <w:rsid w:val="00E55BC1"/>
    <w:rsid w:val="00E55C86"/>
    <w:rsid w:val="00E56323"/>
    <w:rsid w:val="00E577C3"/>
    <w:rsid w:val="00E57CE9"/>
    <w:rsid w:val="00E63BF7"/>
    <w:rsid w:val="00E66430"/>
    <w:rsid w:val="00E70147"/>
    <w:rsid w:val="00E7026A"/>
    <w:rsid w:val="00E703D4"/>
    <w:rsid w:val="00E7074E"/>
    <w:rsid w:val="00E71A3E"/>
    <w:rsid w:val="00E72DC6"/>
    <w:rsid w:val="00E72E20"/>
    <w:rsid w:val="00E7557F"/>
    <w:rsid w:val="00E756E4"/>
    <w:rsid w:val="00E76204"/>
    <w:rsid w:val="00E76F4F"/>
    <w:rsid w:val="00E77A51"/>
    <w:rsid w:val="00E8021D"/>
    <w:rsid w:val="00E80C8D"/>
    <w:rsid w:val="00E81AEF"/>
    <w:rsid w:val="00E826D5"/>
    <w:rsid w:val="00E832B4"/>
    <w:rsid w:val="00E83C4C"/>
    <w:rsid w:val="00E8654A"/>
    <w:rsid w:val="00E8677E"/>
    <w:rsid w:val="00E90CD3"/>
    <w:rsid w:val="00E92DEF"/>
    <w:rsid w:val="00E9350D"/>
    <w:rsid w:val="00E94F46"/>
    <w:rsid w:val="00E96B10"/>
    <w:rsid w:val="00E972DC"/>
    <w:rsid w:val="00E97CEA"/>
    <w:rsid w:val="00EA04A6"/>
    <w:rsid w:val="00EA15B0"/>
    <w:rsid w:val="00EA3289"/>
    <w:rsid w:val="00EA49FD"/>
    <w:rsid w:val="00EA541E"/>
    <w:rsid w:val="00EB2536"/>
    <w:rsid w:val="00EB3F46"/>
    <w:rsid w:val="00EB435F"/>
    <w:rsid w:val="00EB5EA8"/>
    <w:rsid w:val="00EB63B1"/>
    <w:rsid w:val="00EB6E23"/>
    <w:rsid w:val="00EB7DF5"/>
    <w:rsid w:val="00EC0188"/>
    <w:rsid w:val="00EC08CA"/>
    <w:rsid w:val="00EC2DCE"/>
    <w:rsid w:val="00EC2DE1"/>
    <w:rsid w:val="00EC397C"/>
    <w:rsid w:val="00EC3A30"/>
    <w:rsid w:val="00EC4DE4"/>
    <w:rsid w:val="00EC586C"/>
    <w:rsid w:val="00EC5B57"/>
    <w:rsid w:val="00ED33F4"/>
    <w:rsid w:val="00ED4416"/>
    <w:rsid w:val="00ED5967"/>
    <w:rsid w:val="00ED5C43"/>
    <w:rsid w:val="00ED62FF"/>
    <w:rsid w:val="00ED6669"/>
    <w:rsid w:val="00ED68B0"/>
    <w:rsid w:val="00ED6E89"/>
    <w:rsid w:val="00ED7A48"/>
    <w:rsid w:val="00EE1538"/>
    <w:rsid w:val="00EE243F"/>
    <w:rsid w:val="00EE4C2B"/>
    <w:rsid w:val="00EF10F8"/>
    <w:rsid w:val="00EF2BC2"/>
    <w:rsid w:val="00EF35AE"/>
    <w:rsid w:val="00EF368E"/>
    <w:rsid w:val="00EF36FE"/>
    <w:rsid w:val="00EF57EA"/>
    <w:rsid w:val="00EF5EFB"/>
    <w:rsid w:val="00EF683D"/>
    <w:rsid w:val="00EF6A1F"/>
    <w:rsid w:val="00EF7676"/>
    <w:rsid w:val="00F01074"/>
    <w:rsid w:val="00F01FE7"/>
    <w:rsid w:val="00F029C2"/>
    <w:rsid w:val="00F03FDE"/>
    <w:rsid w:val="00F04867"/>
    <w:rsid w:val="00F06A17"/>
    <w:rsid w:val="00F12930"/>
    <w:rsid w:val="00F155E9"/>
    <w:rsid w:val="00F15613"/>
    <w:rsid w:val="00F15B04"/>
    <w:rsid w:val="00F17034"/>
    <w:rsid w:val="00F17C0B"/>
    <w:rsid w:val="00F200F0"/>
    <w:rsid w:val="00F214B7"/>
    <w:rsid w:val="00F219CE"/>
    <w:rsid w:val="00F21D1F"/>
    <w:rsid w:val="00F21FE6"/>
    <w:rsid w:val="00F239A8"/>
    <w:rsid w:val="00F24C50"/>
    <w:rsid w:val="00F25FE6"/>
    <w:rsid w:val="00F309AB"/>
    <w:rsid w:val="00F321DF"/>
    <w:rsid w:val="00F345E0"/>
    <w:rsid w:val="00F35A3B"/>
    <w:rsid w:val="00F35A5B"/>
    <w:rsid w:val="00F3661B"/>
    <w:rsid w:val="00F37FD1"/>
    <w:rsid w:val="00F42F70"/>
    <w:rsid w:val="00F43098"/>
    <w:rsid w:val="00F4378B"/>
    <w:rsid w:val="00F47A92"/>
    <w:rsid w:val="00F50C90"/>
    <w:rsid w:val="00F52982"/>
    <w:rsid w:val="00F5335C"/>
    <w:rsid w:val="00F53967"/>
    <w:rsid w:val="00F53F7A"/>
    <w:rsid w:val="00F5483C"/>
    <w:rsid w:val="00F55115"/>
    <w:rsid w:val="00F57345"/>
    <w:rsid w:val="00F627D5"/>
    <w:rsid w:val="00F63915"/>
    <w:rsid w:val="00F64468"/>
    <w:rsid w:val="00F6483D"/>
    <w:rsid w:val="00F662AB"/>
    <w:rsid w:val="00F66C9C"/>
    <w:rsid w:val="00F7005E"/>
    <w:rsid w:val="00F700BE"/>
    <w:rsid w:val="00F70880"/>
    <w:rsid w:val="00F715E1"/>
    <w:rsid w:val="00F741D9"/>
    <w:rsid w:val="00F75234"/>
    <w:rsid w:val="00F766F7"/>
    <w:rsid w:val="00F76832"/>
    <w:rsid w:val="00F818E3"/>
    <w:rsid w:val="00F82B0E"/>
    <w:rsid w:val="00F8418A"/>
    <w:rsid w:val="00F8447B"/>
    <w:rsid w:val="00F86187"/>
    <w:rsid w:val="00F874E5"/>
    <w:rsid w:val="00F87FF0"/>
    <w:rsid w:val="00F906AA"/>
    <w:rsid w:val="00F91505"/>
    <w:rsid w:val="00F9156D"/>
    <w:rsid w:val="00F915C3"/>
    <w:rsid w:val="00F92296"/>
    <w:rsid w:val="00F94E00"/>
    <w:rsid w:val="00F9515B"/>
    <w:rsid w:val="00F96C06"/>
    <w:rsid w:val="00F978EA"/>
    <w:rsid w:val="00FA0475"/>
    <w:rsid w:val="00FA22BA"/>
    <w:rsid w:val="00FA2CFE"/>
    <w:rsid w:val="00FA3810"/>
    <w:rsid w:val="00FA4180"/>
    <w:rsid w:val="00FA5CD5"/>
    <w:rsid w:val="00FA7148"/>
    <w:rsid w:val="00FB1208"/>
    <w:rsid w:val="00FB174D"/>
    <w:rsid w:val="00FB1812"/>
    <w:rsid w:val="00FB2BBF"/>
    <w:rsid w:val="00FB44D6"/>
    <w:rsid w:val="00FB4AD0"/>
    <w:rsid w:val="00FB5B96"/>
    <w:rsid w:val="00FB6513"/>
    <w:rsid w:val="00FB6AF9"/>
    <w:rsid w:val="00FB7B45"/>
    <w:rsid w:val="00FC0ABB"/>
    <w:rsid w:val="00FC2534"/>
    <w:rsid w:val="00FC6DAB"/>
    <w:rsid w:val="00FD0494"/>
    <w:rsid w:val="00FD0607"/>
    <w:rsid w:val="00FD079B"/>
    <w:rsid w:val="00FD0D48"/>
    <w:rsid w:val="00FD24D9"/>
    <w:rsid w:val="00FD27E7"/>
    <w:rsid w:val="00FD3EBB"/>
    <w:rsid w:val="00FD3EFD"/>
    <w:rsid w:val="00FD44A3"/>
    <w:rsid w:val="00FD4FCB"/>
    <w:rsid w:val="00FD64F7"/>
    <w:rsid w:val="00FD6E36"/>
    <w:rsid w:val="00FD7E1C"/>
    <w:rsid w:val="00FE0196"/>
    <w:rsid w:val="00FE10B8"/>
    <w:rsid w:val="00FE12D5"/>
    <w:rsid w:val="00FE1E11"/>
    <w:rsid w:val="00FE1F43"/>
    <w:rsid w:val="00FE35BB"/>
    <w:rsid w:val="00FE4786"/>
    <w:rsid w:val="00FE67B6"/>
    <w:rsid w:val="00FF0A36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25D80"/>
  <w15:chartTrackingRefBased/>
  <w15:docId w15:val="{F94C6A16-D0DB-46D4-82A2-ED904C8B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C33F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DC33F4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rsid w:val="00DC33F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C33F4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DC33F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C3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33F4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uiPriority w:val="99"/>
    <w:rsid w:val="005D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6E5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6E5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semiHidden/>
    <w:unhideWhenUsed/>
    <w:rsid w:val="006E5014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302A34"/>
    <w:rPr>
      <w:color w:val="808080"/>
    </w:rPr>
  </w:style>
  <w:style w:type="paragraph" w:styleId="ac">
    <w:name w:val="List Paragraph"/>
    <w:basedOn w:val="a"/>
    <w:uiPriority w:val="34"/>
    <w:qFormat/>
    <w:rsid w:val="0043098E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67F1"/>
    <w:rPr>
      <w:vertAlign w:val="superscript"/>
    </w:rPr>
  </w:style>
  <w:style w:type="paragraph" w:styleId="ae">
    <w:name w:val="Revision"/>
    <w:hidden/>
    <w:uiPriority w:val="99"/>
    <w:semiHidden/>
    <w:rsid w:val="006F6FC7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E54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header"/>
    <w:basedOn w:val="a"/>
    <w:link w:val="af1"/>
    <w:uiPriority w:val="99"/>
    <w:unhideWhenUsed/>
    <w:rsid w:val="00324E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324E5E"/>
  </w:style>
  <w:style w:type="paragraph" w:styleId="af2">
    <w:name w:val="footer"/>
    <w:basedOn w:val="a"/>
    <w:link w:val="af3"/>
    <w:uiPriority w:val="99"/>
    <w:unhideWhenUsed/>
    <w:rsid w:val="00324E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324E5E"/>
  </w:style>
  <w:style w:type="paragraph" w:customStyle="1" w:styleId="af4">
    <w:name w:val="Знак"/>
    <w:basedOn w:val="a"/>
    <w:rsid w:val="00FD0D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F30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 Знак"/>
    <w:basedOn w:val="a"/>
    <w:rsid w:val="00961C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7">
    <w:name w:val="Table Grid"/>
    <w:basedOn w:val="a1"/>
    <w:uiPriority w:val="39"/>
    <w:rsid w:val="00B5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23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14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8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29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1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v0717874-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v0428874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v0717874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1BC65-9726-4C72-AB6C-27CA47F0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14874</Words>
  <Characters>8479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Калягіна</dc:creator>
  <cp:keywords/>
  <dc:description/>
  <cp:lastModifiedBy>Григорій Туленко</cp:lastModifiedBy>
  <cp:revision>4</cp:revision>
  <cp:lastPrinted>2024-09-16T14:13:00Z</cp:lastPrinted>
  <dcterms:created xsi:type="dcterms:W3CDTF">2024-10-08T09:15:00Z</dcterms:created>
  <dcterms:modified xsi:type="dcterms:W3CDTF">2024-10-09T11:53:00Z</dcterms:modified>
</cp:coreProperties>
</file>