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62618" w14:textId="77777777" w:rsidR="005E73E8" w:rsidRPr="006300E0" w:rsidRDefault="005E73E8" w:rsidP="007F42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6300E0">
        <w:rPr>
          <w:rFonts w:ascii="Times New Roman" w:hAnsi="Times New Roman" w:cs="Times New Roman"/>
          <w:b/>
          <w:sz w:val="28"/>
          <w:lang w:val="uk-UA"/>
        </w:rPr>
        <w:t>Порівняльна таблиця до про</w:t>
      </w:r>
      <w:r w:rsidR="00DB5C20" w:rsidRPr="006300E0">
        <w:rPr>
          <w:rFonts w:ascii="Times New Roman" w:hAnsi="Times New Roman" w:cs="Times New Roman"/>
          <w:b/>
          <w:sz w:val="28"/>
          <w:lang w:val="uk-UA"/>
        </w:rPr>
        <w:t>є</w:t>
      </w:r>
      <w:r w:rsidRPr="006300E0">
        <w:rPr>
          <w:rFonts w:ascii="Times New Roman" w:hAnsi="Times New Roman" w:cs="Times New Roman"/>
          <w:b/>
          <w:sz w:val="28"/>
          <w:lang w:val="uk-UA"/>
        </w:rPr>
        <w:t xml:space="preserve">кту постанови НКРЕКП «Про затвердження Змін до </w:t>
      </w:r>
      <w:r w:rsidR="00144CDF" w:rsidRPr="006300E0">
        <w:rPr>
          <w:rFonts w:ascii="Times New Roman" w:hAnsi="Times New Roman" w:cs="Times New Roman"/>
          <w:b/>
          <w:sz w:val="28"/>
          <w:lang w:val="uk-UA"/>
        </w:rPr>
        <w:t>Методики визначення та розрахунку тарифу на послуги розподілу природного газу</w:t>
      </w:r>
      <w:r w:rsidRPr="006300E0">
        <w:rPr>
          <w:rFonts w:ascii="Times New Roman" w:hAnsi="Times New Roman" w:cs="Times New Roman"/>
          <w:b/>
          <w:sz w:val="28"/>
          <w:lang w:val="uk-UA"/>
        </w:rPr>
        <w:t>», що має ознаки регуляторного акта</w:t>
      </w:r>
    </w:p>
    <w:p w14:paraId="27602942" w14:textId="77777777" w:rsidR="00AA31C1" w:rsidRPr="006300E0" w:rsidRDefault="00AA31C1" w:rsidP="007F42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296"/>
        <w:gridCol w:w="7295"/>
      </w:tblGrid>
      <w:tr w:rsidR="00186964" w:rsidRPr="006300E0" w14:paraId="35A5C755" w14:textId="77777777" w:rsidTr="008F0689">
        <w:trPr>
          <w:jc w:val="center"/>
        </w:trPr>
        <w:tc>
          <w:tcPr>
            <w:tcW w:w="0" w:type="auto"/>
          </w:tcPr>
          <w:p w14:paraId="2F1B87D8" w14:textId="77777777" w:rsidR="003737EF" w:rsidRPr="006300E0" w:rsidRDefault="00AA31C1" w:rsidP="007F4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6300E0"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>ЗМІСТ ДІЮЧОЇ РЕДАКЦІЇ НОРМАТИВНО-ПРАВОВОГО АКТУ</w:t>
            </w:r>
          </w:p>
        </w:tc>
        <w:tc>
          <w:tcPr>
            <w:tcW w:w="0" w:type="auto"/>
          </w:tcPr>
          <w:p w14:paraId="4E372C28" w14:textId="77777777" w:rsidR="003737EF" w:rsidRPr="006300E0" w:rsidRDefault="003737EF" w:rsidP="007F42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6300E0"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>ЗМІСТ ПОЛОЖЕНЬ ПРО</w:t>
            </w:r>
            <w:r w:rsidR="00BA4B2A" w:rsidRPr="006300E0"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>Є</w:t>
            </w:r>
            <w:r w:rsidRPr="006300E0">
              <w:rPr>
                <w:rFonts w:ascii="Times New Roman" w:hAnsi="Times New Roman" w:cs="Times New Roman"/>
                <w:b/>
                <w:i/>
                <w:sz w:val="28"/>
                <w:lang w:val="uk-UA"/>
              </w:rPr>
              <w:t>КТУ ПОСТАНОВИ</w:t>
            </w:r>
          </w:p>
        </w:tc>
      </w:tr>
      <w:tr w:rsidR="009820AE" w:rsidRPr="006300E0" w14:paraId="30C3162D" w14:textId="77777777" w:rsidTr="008F0689">
        <w:trPr>
          <w:jc w:val="center"/>
        </w:trPr>
        <w:tc>
          <w:tcPr>
            <w:tcW w:w="0" w:type="auto"/>
          </w:tcPr>
          <w:p w14:paraId="33DCE8B0" w14:textId="77777777" w:rsidR="009820AE" w:rsidRPr="006300E0" w:rsidRDefault="009820AE" w:rsidP="009820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6300E0">
              <w:rPr>
                <w:rFonts w:ascii="Times New Roman" w:hAnsi="Times New Roman" w:cs="Times New Roman"/>
                <w:b/>
                <w:sz w:val="28"/>
                <w:lang w:val="uk-UA"/>
              </w:rPr>
              <w:t>IІІ. Перелік витрат, що враховуються при визначенні планованої тарифної виручки</w:t>
            </w:r>
          </w:p>
        </w:tc>
        <w:tc>
          <w:tcPr>
            <w:tcW w:w="0" w:type="auto"/>
          </w:tcPr>
          <w:p w14:paraId="3CD7757D" w14:textId="77777777" w:rsidR="009820AE" w:rsidRPr="006300E0" w:rsidRDefault="009820AE" w:rsidP="009820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6300E0">
              <w:rPr>
                <w:rFonts w:ascii="Times New Roman" w:hAnsi="Times New Roman" w:cs="Times New Roman"/>
                <w:b/>
                <w:sz w:val="28"/>
                <w:lang w:val="uk-UA"/>
              </w:rPr>
              <w:t>IІІ. Перелік витрат, що враховуються при визначенні планованої тарифної виручки</w:t>
            </w:r>
          </w:p>
        </w:tc>
      </w:tr>
      <w:tr w:rsidR="009820AE" w:rsidRPr="00663837" w14:paraId="4DB0D61D" w14:textId="77777777" w:rsidTr="008F0689">
        <w:trPr>
          <w:jc w:val="center"/>
        </w:trPr>
        <w:tc>
          <w:tcPr>
            <w:tcW w:w="0" w:type="auto"/>
          </w:tcPr>
          <w:p w14:paraId="4736870D" w14:textId="77777777" w:rsidR="009820AE" w:rsidRPr="006300E0" w:rsidRDefault="003D3AAA" w:rsidP="009820AE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300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…</w:t>
            </w:r>
          </w:p>
          <w:p w14:paraId="11E7DB3C" w14:textId="77777777" w:rsidR="009820AE" w:rsidRPr="006300E0" w:rsidRDefault="009820AE" w:rsidP="003D3AAA">
            <w:pPr>
              <w:spacing w:after="0" w:line="240" w:lineRule="auto"/>
              <w:ind w:firstLine="5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300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6. Сума планованих амортизаційних відрахувань для розрахунку тарифу визначається з урахуванням руху основних засобів, інших необоротних матеріальних і нематеріальних активів, що знаходяться на балансі:</w:t>
            </w:r>
          </w:p>
          <w:p w14:paraId="06D25AA7" w14:textId="77777777" w:rsidR="009820AE" w:rsidRPr="006300E0" w:rsidRDefault="009820AE" w:rsidP="003D3AAA">
            <w:pPr>
              <w:spacing w:after="0" w:line="240" w:lineRule="auto"/>
              <w:ind w:firstLine="5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300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виробничого призначення; </w:t>
            </w:r>
          </w:p>
          <w:p w14:paraId="4EEC6194" w14:textId="77777777" w:rsidR="009820AE" w:rsidRPr="006300E0" w:rsidRDefault="009820AE" w:rsidP="003D3AAA">
            <w:pPr>
              <w:spacing w:after="0" w:line="240" w:lineRule="auto"/>
              <w:ind w:firstLine="5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300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адміністративного призначення;</w:t>
            </w:r>
          </w:p>
          <w:p w14:paraId="5D684B59" w14:textId="77777777" w:rsidR="009820AE" w:rsidRPr="006300E0" w:rsidRDefault="009820AE" w:rsidP="003D3AAA">
            <w:pPr>
              <w:spacing w:after="0" w:line="240" w:lineRule="auto"/>
              <w:ind w:firstLine="5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300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загальновиробничого призначення.</w:t>
            </w:r>
          </w:p>
          <w:p w14:paraId="051F7458" w14:textId="77777777" w:rsidR="009820AE" w:rsidRPr="006300E0" w:rsidRDefault="009820AE" w:rsidP="003D3AAA">
            <w:pPr>
              <w:spacing w:after="0" w:line="240" w:lineRule="auto"/>
              <w:ind w:firstLine="5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300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Нарахування планованої амортизації здійснюється відповідно до класифікації груп основних засобів та інших необоротних активів і максимально допустимих строків їх амортизації.</w:t>
            </w:r>
          </w:p>
          <w:p w14:paraId="22BF13BC" w14:textId="77777777" w:rsidR="00437EBF" w:rsidRPr="006300E0" w:rsidRDefault="00437EBF" w:rsidP="003D3AAA">
            <w:pPr>
              <w:spacing w:after="0" w:line="240" w:lineRule="auto"/>
              <w:ind w:firstLine="5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300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Нарахування планованої амортизації основних засобів здійснюється із застосуванням прямолінійного методу, за яким річна сума амортизації визначається діленням вартості, яка амортизується, на строк корисного використання об'єкта основних засобів.</w:t>
            </w:r>
          </w:p>
          <w:p w14:paraId="1764DCE1" w14:textId="77777777" w:rsidR="00437EBF" w:rsidRPr="006300E0" w:rsidRDefault="00437EBF" w:rsidP="003D3AAA">
            <w:pPr>
              <w:spacing w:after="0" w:line="240" w:lineRule="auto"/>
              <w:ind w:firstLine="5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300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Планована амортизація малоцінних необоротних матеріальних активів може нараховуватися за рішенням суб’єкта господарювання з розподілу природного газу у першому місяці використання об’єкта в розмірі 50 відсотків його вартості, яка амортизується, та решта 50 відсотків вартості, яка амортизується, у місяці їх вилучення з активів (списання з балансу) внаслідок невідповідності критеріям визнання активів або в першому місяці використання об'єкта в розмірі 100 відсотків його вартості.</w:t>
            </w:r>
          </w:p>
          <w:p w14:paraId="137A6574" w14:textId="77777777" w:rsidR="00437EBF" w:rsidRPr="006300E0" w:rsidRDefault="00437EBF" w:rsidP="003D3AAA">
            <w:pPr>
              <w:spacing w:after="0" w:line="240" w:lineRule="auto"/>
              <w:ind w:firstLine="5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300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Планована амортизація адміністративних та загальновиробничих активів розподіляється з використанням бази розподілу (годин праці, заробітної плати, обсягу діяльності, прямих витрат тощо).</w:t>
            </w:r>
          </w:p>
          <w:p w14:paraId="5992D214" w14:textId="77777777" w:rsidR="003D3AAA" w:rsidRPr="006300E0" w:rsidRDefault="003D3AAA" w:rsidP="003D3AAA">
            <w:pPr>
              <w:spacing w:after="0" w:line="240" w:lineRule="auto"/>
              <w:ind w:firstLine="5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300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…</w:t>
            </w:r>
          </w:p>
        </w:tc>
        <w:tc>
          <w:tcPr>
            <w:tcW w:w="0" w:type="auto"/>
          </w:tcPr>
          <w:p w14:paraId="70923948" w14:textId="77777777" w:rsidR="003D3AAA" w:rsidRPr="006300E0" w:rsidRDefault="003D3AAA" w:rsidP="003D3AAA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34AC6E33" w14:textId="77777777" w:rsidR="003D3AAA" w:rsidRPr="006300E0" w:rsidRDefault="003D3AAA" w:rsidP="003D3AAA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560C7BDC" w14:textId="77777777" w:rsidR="003D3AAA" w:rsidRPr="006300E0" w:rsidRDefault="003D3AAA" w:rsidP="003D3AAA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37F87EE3" w14:textId="77777777" w:rsidR="003D3AAA" w:rsidRPr="006300E0" w:rsidRDefault="003D3AAA" w:rsidP="003D3AAA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5328ADBE" w14:textId="77777777" w:rsidR="003D3AAA" w:rsidRPr="006300E0" w:rsidRDefault="003D3AAA" w:rsidP="003D3AAA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5A9E45B6" w14:textId="77777777" w:rsidR="003D3AAA" w:rsidRPr="006300E0" w:rsidRDefault="003D3AAA" w:rsidP="003D3AAA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04E54258" w14:textId="77777777" w:rsidR="003D3AAA" w:rsidRPr="006300E0" w:rsidRDefault="003D3AAA" w:rsidP="003D3AAA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A2EDAAB" w14:textId="77777777" w:rsidR="003D3AAA" w:rsidRPr="006300E0" w:rsidRDefault="003D3AAA" w:rsidP="003D3AAA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2287D4E0" w14:textId="77777777" w:rsidR="00437EBF" w:rsidRPr="006300E0" w:rsidRDefault="009820AE" w:rsidP="003D3AAA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6300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Нарахування планованої амортизації здійснюється </w:t>
            </w:r>
            <w:r w:rsidRPr="006300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згідно з Податковим кодексом України</w:t>
            </w:r>
            <w:r w:rsidR="00E83421" w:rsidRPr="006300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.</w:t>
            </w:r>
          </w:p>
          <w:p w14:paraId="4FFE476D" w14:textId="77777777" w:rsidR="00437EBF" w:rsidRPr="006300E0" w:rsidRDefault="00437EBF" w:rsidP="003D3AAA">
            <w:pPr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69070752" w14:textId="77777777" w:rsidR="009820AE" w:rsidRPr="006300E0" w:rsidRDefault="009820AE" w:rsidP="00437EBF">
            <w:pPr>
              <w:spacing w:after="0" w:line="240" w:lineRule="auto"/>
              <w:ind w:firstLine="5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9820AE" w:rsidRPr="00663837" w14:paraId="27DA879B" w14:textId="77777777" w:rsidTr="008F0689">
        <w:trPr>
          <w:jc w:val="center"/>
        </w:trPr>
        <w:tc>
          <w:tcPr>
            <w:tcW w:w="0" w:type="auto"/>
          </w:tcPr>
          <w:p w14:paraId="14130402" w14:textId="77777777" w:rsidR="009820AE" w:rsidRPr="006300E0" w:rsidRDefault="009820AE" w:rsidP="009820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6300E0">
              <w:rPr>
                <w:rFonts w:ascii="Times New Roman" w:hAnsi="Times New Roman" w:cs="Times New Roman"/>
                <w:b/>
                <w:sz w:val="28"/>
                <w:lang w:val="uk-UA"/>
              </w:rPr>
              <w:lastRenderedPageBreak/>
              <w:t>VII. Стимулювання суб’єкта господарювання з розподілу природного газу до підвищення ефективності операційної діяльності</w:t>
            </w:r>
          </w:p>
        </w:tc>
        <w:tc>
          <w:tcPr>
            <w:tcW w:w="0" w:type="auto"/>
          </w:tcPr>
          <w:p w14:paraId="388D82AA" w14:textId="77777777" w:rsidR="009820AE" w:rsidRPr="006300E0" w:rsidRDefault="009820AE" w:rsidP="009820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6300E0">
              <w:rPr>
                <w:rFonts w:ascii="Times New Roman" w:hAnsi="Times New Roman" w:cs="Times New Roman"/>
                <w:b/>
                <w:sz w:val="28"/>
                <w:lang w:val="uk-UA"/>
              </w:rPr>
              <w:t>VII. Стимулювання суб’єкта господарювання з розподілу природного газу до підвищення ефективності операційної діяльності</w:t>
            </w:r>
          </w:p>
        </w:tc>
      </w:tr>
      <w:tr w:rsidR="00A9669C" w:rsidRPr="00663837" w14:paraId="35DC311C" w14:textId="77777777" w:rsidTr="008F0689">
        <w:trPr>
          <w:jc w:val="center"/>
        </w:trPr>
        <w:tc>
          <w:tcPr>
            <w:tcW w:w="0" w:type="auto"/>
          </w:tcPr>
          <w:p w14:paraId="0591029B" w14:textId="77777777" w:rsidR="00A9669C" w:rsidRPr="006300E0" w:rsidRDefault="00A9669C" w:rsidP="00A9669C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</w:pPr>
            <w:r w:rsidRPr="006300E0">
              <w:t>1. У разі зменшення суб’єктом господарювання з розподілу природного газу у базовому періоді витрат на фінансування фонду оплати праці з метою оптимізації штату працівників (за умови дотримання норм технічної безпеки надання послуг розподілу природного газу) та/або обсягів ВТВ (далі – економія коштів) суб’єкт господарювання з розподілу природного газу має право використовувати тарифну виручку, отриману за рахунок такої економії коштів, першочергово для фінансування:</w:t>
            </w:r>
          </w:p>
          <w:p w14:paraId="5E172A16" w14:textId="77777777" w:rsidR="00A9669C" w:rsidRPr="006300E0" w:rsidRDefault="00A9669C" w:rsidP="00A9669C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</w:pPr>
            <w:bookmarkStart w:id="0" w:name="n173"/>
            <w:bookmarkEnd w:id="0"/>
            <w:r w:rsidRPr="006300E0">
              <w:t>заходів з підвищення рівня середньомісячної заробітної плати працівників;</w:t>
            </w:r>
          </w:p>
          <w:p w14:paraId="39B67F22" w14:textId="77777777" w:rsidR="00A9669C" w:rsidRPr="006300E0" w:rsidRDefault="00A9669C" w:rsidP="00A9669C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</w:pPr>
            <w:bookmarkStart w:id="1" w:name="n174"/>
            <w:bookmarkEnd w:id="1"/>
            <w:r w:rsidRPr="006300E0">
              <w:t>матеріальних та інших витрат операційної діяльності;</w:t>
            </w:r>
          </w:p>
          <w:p w14:paraId="29381FD5" w14:textId="77777777" w:rsidR="00A9669C" w:rsidRPr="006300E0" w:rsidRDefault="00A9669C" w:rsidP="00A9669C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</w:pPr>
            <w:bookmarkStart w:id="2" w:name="n175"/>
            <w:bookmarkEnd w:id="2"/>
            <w:r w:rsidRPr="006300E0">
              <w:t>заходів з виконання інвестиційної програми;</w:t>
            </w:r>
          </w:p>
          <w:p w14:paraId="6929F81B" w14:textId="77777777" w:rsidR="00A9669C" w:rsidRPr="006300E0" w:rsidRDefault="00A9669C" w:rsidP="00A9669C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</w:pPr>
            <w:bookmarkStart w:id="3" w:name="n176"/>
            <w:bookmarkEnd w:id="3"/>
            <w:r w:rsidRPr="006300E0">
              <w:t>інших потреб фінансово-господарської діяльності суб’єкта господарювання з розподілу природного газу.</w:t>
            </w:r>
          </w:p>
        </w:tc>
        <w:tc>
          <w:tcPr>
            <w:tcW w:w="0" w:type="auto"/>
          </w:tcPr>
          <w:p w14:paraId="7CC1E787" w14:textId="3EC8A3C7" w:rsidR="00D85997" w:rsidRPr="006300E0" w:rsidRDefault="00A9669C" w:rsidP="00AA75F8">
            <w:pPr>
              <w:pStyle w:val="rvps2"/>
              <w:shd w:val="clear" w:color="auto" w:fill="FFFFFF"/>
              <w:spacing w:before="0" w:beforeAutospacing="0" w:after="0" w:afterAutospacing="0"/>
              <w:ind w:firstLine="538"/>
              <w:jc w:val="both"/>
              <w:rPr>
                <w:b/>
                <w:strike/>
              </w:rPr>
            </w:pPr>
            <w:r w:rsidRPr="006300E0">
              <w:rPr>
                <w:b/>
              </w:rPr>
              <w:t>1. За підсумками року у разі зменшення Оператором ГРМ витрат на фінансування фонду оплати праці з метою оптимізації штату працівників</w:t>
            </w:r>
            <w:r w:rsidR="005F65D0" w:rsidRPr="006300E0">
              <w:rPr>
                <w:b/>
              </w:rPr>
              <w:t>, безпосередньо задіяних при здійсненні діяльності з розподілу природного газу,</w:t>
            </w:r>
            <w:r w:rsidRPr="006300E0">
              <w:rPr>
                <w:b/>
              </w:rPr>
              <w:t xml:space="preserve"> (за умови дотримання норм технічної безпеки надання послуг розподілу природного газу) ліцензіат має право використовувати тарифну виручку, отриману за рахунок такої економії коштів, для фінансування </w:t>
            </w:r>
            <w:r w:rsidR="00D85997" w:rsidRPr="006300E0">
              <w:rPr>
                <w:b/>
              </w:rPr>
              <w:t xml:space="preserve">заходів з підвищення рівня середньомісячної заробітної плати працівників, безпосередньо задіяних при здійсненні діяльності з розподілу природного газу, у </w:t>
            </w:r>
            <w:r w:rsidR="00762E0C" w:rsidRPr="006300E0">
              <w:rPr>
                <w:b/>
              </w:rPr>
              <w:t xml:space="preserve"> наступному </w:t>
            </w:r>
            <w:r w:rsidR="00D85997" w:rsidRPr="006300E0">
              <w:rPr>
                <w:b/>
              </w:rPr>
              <w:t>році</w:t>
            </w:r>
            <w:r w:rsidR="00762E0C" w:rsidRPr="006300E0">
              <w:rPr>
                <w:b/>
              </w:rPr>
              <w:t>.</w:t>
            </w:r>
          </w:p>
        </w:tc>
      </w:tr>
      <w:tr w:rsidR="00AA75F8" w:rsidRPr="006300E0" w14:paraId="06C2172A" w14:textId="77777777" w:rsidTr="008F0689">
        <w:trPr>
          <w:jc w:val="center"/>
        </w:trPr>
        <w:tc>
          <w:tcPr>
            <w:tcW w:w="0" w:type="auto"/>
          </w:tcPr>
          <w:p w14:paraId="501C90D4" w14:textId="16CC4841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</w:pPr>
            <w:r w:rsidRPr="006300E0">
              <w:t>2. Така економія коштів не підлягає вилученню протягом наступних трьох планованих періодів.</w:t>
            </w:r>
          </w:p>
        </w:tc>
        <w:tc>
          <w:tcPr>
            <w:tcW w:w="0" w:type="auto"/>
          </w:tcPr>
          <w:p w14:paraId="3C81D156" w14:textId="6190EA65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0" w:afterAutospacing="0"/>
              <w:ind w:firstLine="529"/>
              <w:jc w:val="both"/>
              <w:rPr>
                <w:b/>
              </w:rPr>
            </w:pPr>
            <w:r w:rsidRPr="006300E0">
              <w:rPr>
                <w:b/>
              </w:rPr>
              <w:t>2. За підсумками року</w:t>
            </w:r>
            <w:r w:rsidR="00663837">
              <w:rPr>
                <w:b/>
              </w:rPr>
              <w:t>,</w:t>
            </w:r>
            <w:r w:rsidRPr="006300E0">
              <w:rPr>
                <w:b/>
              </w:rPr>
              <w:t xml:space="preserve"> у разі зменшення Оператором ГРМ витрат, пов'язаних з використанням природного газу на ВТВ та власні потреби, за рахунок зменшення обсягів ВТВ, ліцензіат має право використовувати тарифну виручку, отриману за рахунок такої економії коштів</w:t>
            </w:r>
            <w:r w:rsidR="00762E0C" w:rsidRPr="006300E0">
              <w:rPr>
                <w:b/>
              </w:rPr>
              <w:t xml:space="preserve">, </w:t>
            </w:r>
            <w:r w:rsidRPr="006300E0">
              <w:rPr>
                <w:b/>
              </w:rPr>
              <w:t>для фінансування:</w:t>
            </w:r>
          </w:p>
          <w:p w14:paraId="130269DB" w14:textId="4E1A2114" w:rsidR="00AA75F8" w:rsidRPr="006300E0" w:rsidRDefault="00D85997" w:rsidP="00AA75F8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</w:rPr>
            </w:pPr>
            <w:r w:rsidRPr="006300E0">
              <w:rPr>
                <w:b/>
              </w:rPr>
              <w:t xml:space="preserve">заходів з підвищення рівня середньомісячної заробітної плати працівників, безпосередньо задіяних при здійсненні діяльності з розподілу природного газу, </w:t>
            </w:r>
            <w:r w:rsidR="00762E0C" w:rsidRPr="006300E0">
              <w:rPr>
                <w:b/>
              </w:rPr>
              <w:t>у наступному році</w:t>
            </w:r>
            <w:r w:rsidRPr="006300E0" w:rsidDel="00D85997">
              <w:rPr>
                <w:b/>
              </w:rPr>
              <w:t xml:space="preserve"> </w:t>
            </w:r>
            <w:r w:rsidR="00663837">
              <w:rPr>
                <w:b/>
              </w:rPr>
              <w:t>в</w:t>
            </w:r>
            <w:r w:rsidR="00AA75F8" w:rsidRPr="006300E0">
              <w:rPr>
                <w:b/>
              </w:rPr>
              <w:t xml:space="preserve"> обсягах не більше 50 % від економії коштів;</w:t>
            </w:r>
          </w:p>
          <w:p w14:paraId="72ECF00D" w14:textId="7C66A365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</w:rPr>
            </w:pPr>
            <w:r w:rsidRPr="006300E0">
              <w:rPr>
                <w:b/>
              </w:rPr>
              <w:t>заходів передбачених розділами І-VІ та IX інвестиційної програми</w:t>
            </w:r>
            <w:r w:rsidR="00762E0C" w:rsidRPr="006300E0">
              <w:rPr>
                <w:b/>
              </w:rPr>
              <w:t xml:space="preserve"> </w:t>
            </w:r>
            <w:r w:rsidR="00663837">
              <w:rPr>
                <w:b/>
              </w:rPr>
              <w:t>в</w:t>
            </w:r>
            <w:r w:rsidR="00AE33EF" w:rsidRPr="00AE33EF">
              <w:rPr>
                <w:b/>
              </w:rPr>
              <w:t xml:space="preserve"> році виникнення економії коштів </w:t>
            </w:r>
            <w:r w:rsidR="00762E0C" w:rsidRPr="006300E0">
              <w:rPr>
                <w:b/>
              </w:rPr>
              <w:t xml:space="preserve">або </w:t>
            </w:r>
            <w:r w:rsidR="00663837">
              <w:rPr>
                <w:b/>
              </w:rPr>
              <w:t>в</w:t>
            </w:r>
            <w:r w:rsidR="00762E0C" w:rsidRPr="006300E0">
              <w:rPr>
                <w:b/>
              </w:rPr>
              <w:t xml:space="preserve"> наступному році</w:t>
            </w:r>
            <w:r w:rsidRPr="006300E0">
              <w:rPr>
                <w:b/>
              </w:rPr>
              <w:t>.</w:t>
            </w:r>
          </w:p>
        </w:tc>
      </w:tr>
      <w:tr w:rsidR="00AA75F8" w:rsidRPr="00663837" w14:paraId="595BD716" w14:textId="77777777" w:rsidTr="008F0689">
        <w:trPr>
          <w:jc w:val="center"/>
        </w:trPr>
        <w:tc>
          <w:tcPr>
            <w:tcW w:w="0" w:type="auto"/>
          </w:tcPr>
          <w:p w14:paraId="153A0523" w14:textId="35FCABD2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</w:pPr>
            <w:r w:rsidRPr="006300E0">
              <w:t>3. Суб’єкт господарювання з розподілу природного газу не має права зменшувати витрати, пов’язані з фінансуванням фонду оплати праці, за рахунок зменшення рівня середньомісячної заробітної плати працівників, який застосовувався для обґрунтування розміру цього елемента витрат, що прийнятий до розрахунку встановленого НКРЕКП тарифу на базовий період.</w:t>
            </w:r>
          </w:p>
        </w:tc>
        <w:tc>
          <w:tcPr>
            <w:tcW w:w="0" w:type="auto"/>
          </w:tcPr>
          <w:p w14:paraId="5E376782" w14:textId="4CD80628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</w:rPr>
            </w:pPr>
            <w:r w:rsidRPr="006300E0">
              <w:rPr>
                <w:b/>
              </w:rPr>
              <w:t xml:space="preserve">3. У випадку використання економії коштів для фінансування </w:t>
            </w:r>
            <w:r w:rsidR="00D85997" w:rsidRPr="006300E0">
              <w:rPr>
                <w:b/>
              </w:rPr>
              <w:t xml:space="preserve">заходів з підвищення рівня середньомісячної заробітної плати працівників, безпосередньо задіяних при здійсненні діяльності з розподілу природного газу, </w:t>
            </w:r>
            <w:r w:rsidRPr="006300E0">
              <w:rPr>
                <w:b/>
              </w:rPr>
              <w:t>Оператор ГРМ зобов’язаний до 25 лютого року, наступного за роком</w:t>
            </w:r>
            <w:r w:rsidR="00663837">
              <w:rPr>
                <w:b/>
              </w:rPr>
              <w:t>,</w:t>
            </w:r>
            <w:r w:rsidRPr="006300E0">
              <w:rPr>
                <w:b/>
              </w:rPr>
              <w:t xml:space="preserve"> </w:t>
            </w:r>
            <w:r w:rsidR="00663837">
              <w:rPr>
                <w:b/>
              </w:rPr>
              <w:t>у</w:t>
            </w:r>
            <w:r w:rsidRPr="006300E0">
              <w:rPr>
                <w:b/>
              </w:rPr>
              <w:t xml:space="preserve"> якому сформувалась економія коштів, надати до НКРЕКП інформацію щодо обсягу та напрямку використання такої економії.</w:t>
            </w:r>
          </w:p>
          <w:p w14:paraId="6DE3DB2A" w14:textId="0D7765B2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0" w:afterAutospacing="0"/>
              <w:ind w:firstLine="529"/>
              <w:jc w:val="both"/>
              <w:rPr>
                <w:b/>
              </w:rPr>
            </w:pPr>
            <w:r w:rsidRPr="006300E0">
              <w:rPr>
                <w:b/>
              </w:rPr>
              <w:lastRenderedPageBreak/>
              <w:t xml:space="preserve">Оператор ГРМ не має права зменшувати витрати, пов’язані з фінансуванням </w:t>
            </w:r>
            <w:r w:rsidR="006300E0" w:rsidRPr="006300E0">
              <w:rPr>
                <w:b/>
              </w:rPr>
              <w:t xml:space="preserve">витрат на </w:t>
            </w:r>
            <w:r w:rsidRPr="006300E0">
              <w:rPr>
                <w:b/>
              </w:rPr>
              <w:t>оплат</w:t>
            </w:r>
            <w:r w:rsidR="006300E0" w:rsidRPr="006300E0">
              <w:rPr>
                <w:b/>
              </w:rPr>
              <w:t>у</w:t>
            </w:r>
            <w:r w:rsidRPr="006300E0">
              <w:rPr>
                <w:b/>
              </w:rPr>
              <w:t xml:space="preserve"> праці, за рахунок зменшення рівня середньомісячної заробітної плати працівників</w:t>
            </w:r>
            <w:r w:rsidR="006300E0" w:rsidRPr="006300E0">
              <w:rPr>
                <w:b/>
              </w:rPr>
              <w:t xml:space="preserve">, </w:t>
            </w:r>
            <w:r w:rsidRPr="006300E0">
              <w:rPr>
                <w:b/>
              </w:rPr>
              <w:t>який застосовувався для обґрунтування розміру цього елемента витрат, що прийнятий до розрахунку встановленого НКРЕКП тарифу на послуги розподілу природного газу.</w:t>
            </w:r>
          </w:p>
        </w:tc>
      </w:tr>
      <w:tr w:rsidR="00AA75F8" w:rsidRPr="00663837" w14:paraId="4181A6E1" w14:textId="77777777" w:rsidTr="00AA75F8">
        <w:trPr>
          <w:trHeight w:val="1407"/>
          <w:jc w:val="center"/>
        </w:trPr>
        <w:tc>
          <w:tcPr>
            <w:tcW w:w="0" w:type="auto"/>
          </w:tcPr>
          <w:p w14:paraId="3EB9C4D5" w14:textId="395878B2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6300E0">
              <w:lastRenderedPageBreak/>
              <w:t>4. Суб’єкт господарювання з розподілу природного газу зобов’язаний надавати у разі такої економії коштів до НКРЕКП інформацію щодо скорочення обсягів ВТВ та/або витрат на фінансування фонду оплати праці та напрямів використання такої економії.</w:t>
            </w:r>
          </w:p>
        </w:tc>
        <w:tc>
          <w:tcPr>
            <w:tcW w:w="0" w:type="auto"/>
          </w:tcPr>
          <w:p w14:paraId="77C0FB9D" w14:textId="084887DD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0" w:afterAutospacing="0"/>
              <w:ind w:firstLine="529"/>
              <w:jc w:val="both"/>
              <w:rPr>
                <w:b/>
              </w:rPr>
            </w:pPr>
            <w:r w:rsidRPr="006300E0">
              <w:rPr>
                <w:b/>
              </w:rPr>
              <w:t xml:space="preserve">4. З метою використання економії коштів для фінансування заходів інвестиційної програми, визначених у пункті </w:t>
            </w:r>
            <w:r w:rsidR="00526BAA" w:rsidRPr="006300E0">
              <w:rPr>
                <w:b/>
              </w:rPr>
              <w:t xml:space="preserve">2 </w:t>
            </w:r>
            <w:r w:rsidRPr="006300E0">
              <w:rPr>
                <w:b/>
              </w:rPr>
              <w:t xml:space="preserve">цього розділу, Оператор ГРМ зобов’язаний подати до НКРЕКП відповідні зміни до інвестиційної програми у порядку, </w:t>
            </w:r>
            <w:r w:rsidR="00663837">
              <w:rPr>
                <w:b/>
              </w:rPr>
              <w:t>визначеному</w:t>
            </w:r>
            <w:r w:rsidRPr="006300E0">
              <w:rPr>
                <w:b/>
              </w:rPr>
              <w:t xml:space="preserve"> Кодексом.</w:t>
            </w:r>
          </w:p>
        </w:tc>
      </w:tr>
      <w:tr w:rsidR="00AA75F8" w:rsidRPr="00663837" w14:paraId="3981A03C" w14:textId="77777777" w:rsidTr="008F0689">
        <w:trPr>
          <w:jc w:val="center"/>
        </w:trPr>
        <w:tc>
          <w:tcPr>
            <w:tcW w:w="0" w:type="auto"/>
          </w:tcPr>
          <w:p w14:paraId="5B54DDCE" w14:textId="7CD59458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6300E0">
              <w:t>5. За результатами використання такої економії після трьох планованих періодів НКРЕКП при перегляді тарифу може зменшити плановану річну тарифну виручку на величину 50 % відповідної економії.</w:t>
            </w:r>
          </w:p>
        </w:tc>
        <w:tc>
          <w:tcPr>
            <w:tcW w:w="0" w:type="auto"/>
          </w:tcPr>
          <w:p w14:paraId="61CE117C" w14:textId="59DDB3B7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strike/>
              </w:rPr>
            </w:pPr>
            <w:r w:rsidRPr="006300E0">
              <w:rPr>
                <w:b/>
              </w:rPr>
              <w:t xml:space="preserve">5. </w:t>
            </w:r>
            <w:r w:rsidR="00526BAA" w:rsidRPr="006300E0">
              <w:rPr>
                <w:b/>
              </w:rPr>
              <w:t xml:space="preserve">Така економія </w:t>
            </w:r>
            <w:r w:rsidRPr="006300E0">
              <w:rPr>
                <w:b/>
              </w:rPr>
              <w:t xml:space="preserve">коштів не підлягає вилученню при розгляді питання щодо коригування планованої річної тарифної виручки за умови дотримання Оператором ГРМ вимог пунктів </w:t>
            </w:r>
            <w:r w:rsidR="00B72921" w:rsidRPr="006300E0">
              <w:rPr>
                <w:b/>
              </w:rPr>
              <w:t xml:space="preserve">3 </w:t>
            </w:r>
            <w:r w:rsidRPr="006300E0">
              <w:rPr>
                <w:b/>
              </w:rPr>
              <w:t xml:space="preserve">та </w:t>
            </w:r>
            <w:r w:rsidR="00B72921" w:rsidRPr="006300E0">
              <w:rPr>
                <w:b/>
              </w:rPr>
              <w:t xml:space="preserve">4 </w:t>
            </w:r>
            <w:r w:rsidRPr="006300E0">
              <w:rPr>
                <w:b/>
              </w:rPr>
              <w:t>цього розділу.</w:t>
            </w:r>
          </w:p>
        </w:tc>
      </w:tr>
      <w:tr w:rsidR="006300E0" w:rsidRPr="006300E0" w14:paraId="1F70D233" w14:textId="77777777" w:rsidTr="00093164">
        <w:trPr>
          <w:jc w:val="center"/>
        </w:trPr>
        <w:tc>
          <w:tcPr>
            <w:tcW w:w="0" w:type="auto"/>
            <w:gridSpan w:val="2"/>
          </w:tcPr>
          <w:p w14:paraId="524796CB" w14:textId="2EF4B14D" w:rsidR="006300E0" w:rsidRPr="006300E0" w:rsidRDefault="006300E0" w:rsidP="00AA75F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  <w:r w:rsidRPr="006300E0">
              <w:rPr>
                <w:b/>
                <w:bCs/>
              </w:rPr>
              <w:t>VIII. Порядок визначення витрат на оплату праці, які враховуються в тарифах на послуги розподілу природного газу</w:t>
            </w:r>
          </w:p>
        </w:tc>
      </w:tr>
      <w:tr w:rsidR="00AA75F8" w:rsidRPr="00663837" w14:paraId="5AA042A6" w14:textId="77777777" w:rsidTr="008F0689">
        <w:trPr>
          <w:jc w:val="center"/>
        </w:trPr>
        <w:tc>
          <w:tcPr>
            <w:tcW w:w="0" w:type="auto"/>
          </w:tcPr>
          <w:p w14:paraId="7C74B651" w14:textId="77777777" w:rsidR="00AA75F8" w:rsidRPr="006300E0" w:rsidRDefault="00AA75F8" w:rsidP="00AA75F8">
            <w:pPr>
              <w:pStyle w:val="rvps2"/>
            </w:pPr>
            <w:r w:rsidRPr="006300E0">
              <w:t>3. Визначення річних витрат на оплату праці для відповідного ліцензіата здійснюється за формулою</w:t>
            </w:r>
          </w:p>
          <w:tbl>
            <w:tblPr>
              <w:tblW w:w="696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3"/>
              <w:gridCol w:w="1765"/>
              <w:gridCol w:w="785"/>
              <w:gridCol w:w="2097"/>
              <w:gridCol w:w="1328"/>
            </w:tblGrid>
            <w:tr w:rsidR="00AA75F8" w:rsidRPr="006300E0" w14:paraId="691DA99E" w14:textId="77777777" w:rsidTr="00342DA3">
              <w:tc>
                <w:tcPr>
                  <w:tcW w:w="5640" w:type="dxa"/>
                  <w:gridSpan w:val="4"/>
                  <w:hideMark/>
                </w:tcPr>
                <w:p w14:paraId="24833917" w14:textId="0A6FC0F6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bookmarkStart w:id="4" w:name="n221"/>
                  <w:bookmarkEnd w:id="4"/>
                  <w:r w:rsidRPr="006300E0">
                    <w:rPr>
                      <w:noProof/>
                    </w:rPr>
                    <w:drawing>
                      <wp:inline distT="0" distB="0" distL="0" distR="0" wp14:anchorId="10285B3B" wp14:editId="083D8B08">
                        <wp:extent cx="3267075" cy="276225"/>
                        <wp:effectExtent l="0" t="0" r="9525" b="9525"/>
                        <wp:docPr id="1467160623" name="Рисунок 40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7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0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28" w:type="dxa"/>
                  <w:hideMark/>
                </w:tcPr>
                <w:p w14:paraId="5931DDFA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(4)</w:t>
                  </w:r>
                </w:p>
              </w:tc>
            </w:tr>
            <w:tr w:rsidR="00AA75F8" w:rsidRPr="006300E0" w14:paraId="0191DD69" w14:textId="77777777" w:rsidTr="00342DA3">
              <w:tc>
                <w:tcPr>
                  <w:tcW w:w="993" w:type="dxa"/>
                  <w:hideMark/>
                </w:tcPr>
                <w:p w14:paraId="3200FE85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bookmarkStart w:id="5" w:name="n222"/>
                  <w:bookmarkEnd w:id="5"/>
                  <w:r w:rsidRPr="006300E0">
                    <w:t>де</w:t>
                  </w:r>
                </w:p>
              </w:tc>
              <w:tc>
                <w:tcPr>
                  <w:tcW w:w="1765" w:type="dxa"/>
                  <w:hideMark/>
                </w:tcPr>
                <w:p w14:paraId="6B311246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ВОП</w:t>
                  </w:r>
                </w:p>
              </w:tc>
              <w:tc>
                <w:tcPr>
                  <w:tcW w:w="785" w:type="dxa"/>
                  <w:hideMark/>
                </w:tcPr>
                <w:p w14:paraId="5496FF17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3425" w:type="dxa"/>
                  <w:gridSpan w:val="2"/>
                  <w:hideMark/>
                </w:tcPr>
                <w:p w14:paraId="3FC4F258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річні витрати на оплату праці ліцензіата, що приймається до розрахунку тарифу;</w:t>
                  </w:r>
                </w:p>
              </w:tc>
            </w:tr>
            <w:tr w:rsidR="00AA75F8" w:rsidRPr="006300E0" w14:paraId="1EE393A1" w14:textId="77777777" w:rsidTr="00342DA3">
              <w:tc>
                <w:tcPr>
                  <w:tcW w:w="993" w:type="dxa"/>
                  <w:hideMark/>
                </w:tcPr>
                <w:p w14:paraId="53E7A48A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</w:p>
              </w:tc>
              <w:tc>
                <w:tcPr>
                  <w:tcW w:w="1765" w:type="dxa"/>
                  <w:hideMark/>
                </w:tcPr>
                <w:p w14:paraId="78A02017" w14:textId="3C08DDE0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rPr>
                      <w:noProof/>
                    </w:rPr>
                    <w:drawing>
                      <wp:inline distT="0" distB="0" distL="0" distR="0" wp14:anchorId="7740B0E9" wp14:editId="00FB195E">
                        <wp:extent cx="495300" cy="266700"/>
                        <wp:effectExtent l="0" t="0" r="0" b="0"/>
                        <wp:docPr id="521025876" name="Рисунок 39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8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85" w:type="dxa"/>
                  <w:hideMark/>
                </w:tcPr>
                <w:p w14:paraId="31FC157B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3425" w:type="dxa"/>
                  <w:gridSpan w:val="2"/>
                  <w:hideMark/>
                </w:tcPr>
                <w:p w14:paraId="2ED0E4BB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тарифна середня заробітна плата в розрахунку на одного працівника ліцензіата, врахована на дату встановлення відповідного тарифу та обрахована, виходячи з витрат на оплату праці та тарифної чисельності працівників, зайнятих ліцензованою діяльністю, на дату їх встановлення (далі - тарифна середня заробітна плата);</w:t>
                  </w:r>
                </w:p>
              </w:tc>
            </w:tr>
            <w:tr w:rsidR="00AA75F8" w:rsidRPr="006300E0" w14:paraId="5164AC72" w14:textId="77777777" w:rsidTr="00342DA3">
              <w:tc>
                <w:tcPr>
                  <w:tcW w:w="993" w:type="dxa"/>
                  <w:hideMark/>
                </w:tcPr>
                <w:p w14:paraId="1BA35C16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</w:p>
              </w:tc>
              <w:tc>
                <w:tcPr>
                  <w:tcW w:w="1765" w:type="dxa"/>
                  <w:hideMark/>
                </w:tcPr>
                <w:p w14:paraId="65106E3D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ТЧП</w:t>
                  </w:r>
                </w:p>
              </w:tc>
              <w:tc>
                <w:tcPr>
                  <w:tcW w:w="785" w:type="dxa"/>
                  <w:hideMark/>
                </w:tcPr>
                <w:p w14:paraId="4262077B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3425" w:type="dxa"/>
                  <w:gridSpan w:val="2"/>
                  <w:hideMark/>
                </w:tcPr>
                <w:p w14:paraId="45C5D40C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тарифна чисельність працівників ліцензіата, врахована на дату встановлення відповідного тарифу (далі - тарифна чисельність працівників);</w:t>
                  </w:r>
                </w:p>
              </w:tc>
            </w:tr>
            <w:tr w:rsidR="00AA75F8" w:rsidRPr="006300E0" w14:paraId="42369127" w14:textId="77777777" w:rsidTr="00342DA3">
              <w:tc>
                <w:tcPr>
                  <w:tcW w:w="993" w:type="dxa"/>
                  <w:hideMark/>
                </w:tcPr>
                <w:p w14:paraId="1E387452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</w:p>
              </w:tc>
              <w:tc>
                <w:tcPr>
                  <w:tcW w:w="1765" w:type="dxa"/>
                  <w:hideMark/>
                </w:tcPr>
                <w:p w14:paraId="76D33EA2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К</w:t>
                  </w:r>
                </w:p>
              </w:tc>
              <w:tc>
                <w:tcPr>
                  <w:tcW w:w="785" w:type="dxa"/>
                  <w:hideMark/>
                </w:tcPr>
                <w:p w14:paraId="2116CCAE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3425" w:type="dxa"/>
                  <w:gridSpan w:val="2"/>
                  <w:hideMark/>
                </w:tcPr>
                <w:p w14:paraId="02B7048F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коефіцієнт зростання ВОП для ліцензіата (у відносних одиницях), що передбачає приведення середньої заробітної плати в розрахунку на одного штатного працівника ліцензіата до рівня середньої заробітної плати в розрахунку на одного штатного працівника, зайнятого у промисловості (у відносних одиницях), що визначається таким чином:</w:t>
                  </w:r>
                </w:p>
              </w:tc>
            </w:tr>
          </w:tbl>
          <w:p w14:paraId="426B6FA5" w14:textId="77777777" w:rsidR="00AA75F8" w:rsidRPr="006300E0" w:rsidRDefault="00AA75F8" w:rsidP="00AA75F8">
            <w:pPr>
              <w:pStyle w:val="rvps2"/>
              <w:ind w:firstLine="450"/>
              <w:rPr>
                <w:vanish/>
              </w:rPr>
            </w:pPr>
            <w:bookmarkStart w:id="6" w:name="n223"/>
            <w:bookmarkEnd w:id="6"/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20"/>
              <w:gridCol w:w="760"/>
            </w:tblGrid>
            <w:tr w:rsidR="00AA75F8" w:rsidRPr="006300E0" w14:paraId="05C43017" w14:textId="77777777" w:rsidTr="00342DA3">
              <w:tc>
                <w:tcPr>
                  <w:tcW w:w="12255" w:type="dxa"/>
                  <w:hideMark/>
                </w:tcPr>
                <w:p w14:paraId="2EA6DBB1" w14:textId="0F62B522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rPr>
                      <w:noProof/>
                    </w:rPr>
                    <w:drawing>
                      <wp:inline distT="0" distB="0" distL="0" distR="0" wp14:anchorId="07CFC99E" wp14:editId="0F3C179E">
                        <wp:extent cx="2695575" cy="428625"/>
                        <wp:effectExtent l="0" t="0" r="9525" b="9525"/>
                        <wp:docPr id="622631370" name="Рисунок 38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9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95575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00" w:type="dxa"/>
                  <w:hideMark/>
                </w:tcPr>
                <w:p w14:paraId="5246EB78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(5)</w:t>
                  </w:r>
                </w:p>
              </w:tc>
            </w:tr>
            <w:tr w:rsidR="00AA75F8" w:rsidRPr="006300E0" w14:paraId="682BCE01" w14:textId="77777777" w:rsidTr="00342DA3">
              <w:tc>
                <w:tcPr>
                  <w:tcW w:w="12300" w:type="dxa"/>
                  <w:hideMark/>
                </w:tcPr>
                <w:p w14:paraId="52759F7F" w14:textId="375BEA51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bookmarkStart w:id="7" w:name="n224"/>
                  <w:bookmarkEnd w:id="7"/>
                  <w:r w:rsidRPr="006300E0">
                    <w:rPr>
                      <w:noProof/>
                    </w:rPr>
                    <w:drawing>
                      <wp:inline distT="0" distB="0" distL="0" distR="0" wp14:anchorId="49766653" wp14:editId="6EDD358A">
                        <wp:extent cx="3267075" cy="685800"/>
                        <wp:effectExtent l="0" t="0" r="9525" b="0"/>
                        <wp:docPr id="1411694488" name="Рисунок 37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0">
                                  <a:hlinkClick r:id="rId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0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5" w:type="dxa"/>
                  <w:hideMark/>
                </w:tcPr>
                <w:p w14:paraId="0574AD5F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(6)</w:t>
                  </w:r>
                </w:p>
              </w:tc>
            </w:tr>
          </w:tbl>
          <w:p w14:paraId="738AFAEA" w14:textId="77777777" w:rsidR="00AA75F8" w:rsidRPr="006300E0" w:rsidRDefault="00AA75F8" w:rsidP="00AA75F8">
            <w:pPr>
              <w:pStyle w:val="rvps2"/>
              <w:ind w:firstLine="450"/>
              <w:rPr>
                <w:vanish/>
              </w:rPr>
            </w:pPr>
            <w:bookmarkStart w:id="8" w:name="n225"/>
            <w:bookmarkEnd w:id="8"/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1005"/>
              <w:gridCol w:w="317"/>
              <w:gridCol w:w="243"/>
              <w:gridCol w:w="317"/>
              <w:gridCol w:w="3603"/>
              <w:gridCol w:w="126"/>
              <w:gridCol w:w="760"/>
            </w:tblGrid>
            <w:tr w:rsidR="00AA75F8" w:rsidRPr="006300E0" w14:paraId="5C298DF8" w14:textId="77777777" w:rsidTr="00342DA3">
              <w:tc>
                <w:tcPr>
                  <w:tcW w:w="6319" w:type="dxa"/>
                  <w:gridSpan w:val="7"/>
                  <w:hideMark/>
                </w:tcPr>
                <w:p w14:paraId="35C8DB32" w14:textId="003CB533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rPr>
                      <w:noProof/>
                    </w:rPr>
                    <w:drawing>
                      <wp:inline distT="0" distB="0" distL="0" distR="0" wp14:anchorId="5E405345" wp14:editId="0F425ED4">
                        <wp:extent cx="2438400" cy="361950"/>
                        <wp:effectExtent l="0" t="0" r="0" b="0"/>
                        <wp:docPr id="2115482276" name="Рисунок 36">
                          <a:hlinkClick xmlns:a="http://schemas.openxmlformats.org/drawingml/2006/main" r:id="rId1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1">
                                  <a:hlinkClick r:id="rId1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84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60" w:type="dxa"/>
                  <w:hideMark/>
                </w:tcPr>
                <w:p w14:paraId="758DCE20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(7)</w:t>
                  </w:r>
                </w:p>
              </w:tc>
            </w:tr>
            <w:tr w:rsidR="00AA75F8" w:rsidRPr="006300E0" w14:paraId="6DB4D2C9" w14:textId="77777777" w:rsidTr="00342DA3">
              <w:tc>
                <w:tcPr>
                  <w:tcW w:w="6319" w:type="dxa"/>
                  <w:gridSpan w:val="7"/>
                  <w:hideMark/>
                </w:tcPr>
                <w:p w14:paraId="4138561C" w14:textId="13A6AA1A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bookmarkStart w:id="9" w:name="n226"/>
                  <w:bookmarkEnd w:id="9"/>
                  <w:r w:rsidRPr="006300E0">
                    <w:rPr>
                      <w:noProof/>
                    </w:rPr>
                    <w:drawing>
                      <wp:inline distT="0" distB="0" distL="0" distR="0" wp14:anchorId="64C76517" wp14:editId="281047FE">
                        <wp:extent cx="3171825" cy="695325"/>
                        <wp:effectExtent l="0" t="0" r="9525" b="9525"/>
                        <wp:docPr id="1245274694" name="Рисунок 35">
                          <a:hlinkClick xmlns:a="http://schemas.openxmlformats.org/drawingml/2006/main" r:id="rId1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2">
                                  <a:hlinkClick r:id="rId1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71825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60" w:type="dxa"/>
                  <w:hideMark/>
                </w:tcPr>
                <w:p w14:paraId="294C430B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(8)</w:t>
                  </w:r>
                </w:p>
              </w:tc>
            </w:tr>
            <w:tr w:rsidR="00AA75F8" w:rsidRPr="006300E0" w14:paraId="633A5F7B" w14:textId="77777777" w:rsidTr="00342DA3">
              <w:tc>
                <w:tcPr>
                  <w:tcW w:w="6319" w:type="dxa"/>
                  <w:gridSpan w:val="7"/>
                  <w:hideMark/>
                </w:tcPr>
                <w:p w14:paraId="303CE2CE" w14:textId="46CFB161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bookmarkStart w:id="10" w:name="n227"/>
                  <w:bookmarkEnd w:id="10"/>
                  <w:r w:rsidRPr="006300E0">
                    <w:rPr>
                      <w:noProof/>
                    </w:rPr>
                    <w:lastRenderedPageBreak/>
                    <w:drawing>
                      <wp:inline distT="0" distB="0" distL="0" distR="0" wp14:anchorId="507E1A31" wp14:editId="0B3D3966">
                        <wp:extent cx="1428750" cy="323850"/>
                        <wp:effectExtent l="0" t="0" r="0" b="0"/>
                        <wp:docPr id="1986586764" name="Рисунок 34">
                          <a:hlinkClick xmlns:a="http://schemas.openxmlformats.org/drawingml/2006/main" r:id="rId1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3">
                                  <a:hlinkClick r:id="rId1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60" w:type="dxa"/>
                  <w:hideMark/>
                </w:tcPr>
                <w:p w14:paraId="2AD5B2D5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(9)</w:t>
                  </w:r>
                </w:p>
              </w:tc>
            </w:tr>
            <w:tr w:rsidR="00AA75F8" w:rsidRPr="006300E0" w14:paraId="1054E93E" w14:textId="77777777" w:rsidTr="00342DA3">
              <w:tc>
                <w:tcPr>
                  <w:tcW w:w="709" w:type="dxa"/>
                  <w:hideMark/>
                </w:tcPr>
                <w:p w14:paraId="516DE42C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bookmarkStart w:id="11" w:name="n228"/>
                  <w:bookmarkEnd w:id="11"/>
                  <w:r w:rsidRPr="006300E0">
                    <w:t>де</w:t>
                  </w:r>
                </w:p>
              </w:tc>
              <w:tc>
                <w:tcPr>
                  <w:tcW w:w="1322" w:type="dxa"/>
                  <w:gridSpan w:val="2"/>
                  <w:hideMark/>
                </w:tcPr>
                <w:p w14:paraId="7FD75ACD" w14:textId="6F3C6F31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rPr>
                      <w:noProof/>
                    </w:rPr>
                    <w:drawing>
                      <wp:inline distT="0" distB="0" distL="0" distR="0" wp14:anchorId="10BFA6CA" wp14:editId="7F40AD11">
                        <wp:extent cx="457200" cy="266700"/>
                        <wp:effectExtent l="0" t="0" r="0" b="0"/>
                        <wp:docPr id="1307296564" name="Рисунок 33">
                          <a:hlinkClick xmlns:a="http://schemas.openxmlformats.org/drawingml/2006/main" r:id="rId2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4">
                                  <a:hlinkClick r:id="rId2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0" w:type="dxa"/>
                  <w:gridSpan w:val="2"/>
                  <w:hideMark/>
                </w:tcPr>
                <w:p w14:paraId="03C35D1E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4488" w:type="dxa"/>
                  <w:gridSpan w:val="3"/>
                  <w:hideMark/>
                </w:tcPr>
                <w:p w14:paraId="78D7F813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середня заробітна плата в розрахунку на одного штатного працівника, зайнятого у промисловості на території діяльності ліцензіата, наростаючим підсумком за звітними даними періоду із січня по серпень року, що передує року, на який визначаються ВОП;</w:t>
                  </w:r>
                </w:p>
              </w:tc>
            </w:tr>
            <w:tr w:rsidR="00AA75F8" w:rsidRPr="006300E0" w14:paraId="73B93C8F" w14:textId="77777777" w:rsidTr="00342DA3">
              <w:tc>
                <w:tcPr>
                  <w:tcW w:w="709" w:type="dxa"/>
                  <w:hideMark/>
                </w:tcPr>
                <w:p w14:paraId="24849836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</w:p>
              </w:tc>
              <w:tc>
                <w:tcPr>
                  <w:tcW w:w="1322" w:type="dxa"/>
                  <w:gridSpan w:val="2"/>
                  <w:hideMark/>
                </w:tcPr>
                <w:p w14:paraId="0DD01B4C" w14:textId="5DD72B4B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rPr>
                      <w:noProof/>
                    </w:rPr>
                    <w:drawing>
                      <wp:inline distT="0" distB="0" distL="0" distR="0" wp14:anchorId="236E56D2" wp14:editId="4F35CBC5">
                        <wp:extent cx="457200" cy="266700"/>
                        <wp:effectExtent l="0" t="0" r="0" b="0"/>
                        <wp:docPr id="997779794" name="Рисунок 32">
                          <a:hlinkClick xmlns:a="http://schemas.openxmlformats.org/drawingml/2006/main" r:id="rId2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5">
                                  <a:hlinkClick r:id="rId2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0" w:type="dxa"/>
                  <w:gridSpan w:val="2"/>
                  <w:hideMark/>
                </w:tcPr>
                <w:p w14:paraId="03B3F79F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4488" w:type="dxa"/>
                  <w:gridSpan w:val="3"/>
                  <w:hideMark/>
                </w:tcPr>
                <w:p w14:paraId="2A2F4D67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середня заробітна плата в розрахунку на одного штатного працівника, зайнятого у промисловості України, наростаючим підсумком за звітними даними періоду із січня по серпень року, що передує року, на який визначаються ВОП;</w:t>
                  </w:r>
                </w:p>
              </w:tc>
            </w:tr>
            <w:tr w:rsidR="00AA75F8" w:rsidRPr="006300E0" w14:paraId="5FA5475D" w14:textId="77777777" w:rsidTr="00342DA3">
              <w:tc>
                <w:tcPr>
                  <w:tcW w:w="709" w:type="dxa"/>
                  <w:hideMark/>
                </w:tcPr>
                <w:p w14:paraId="2455397B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</w:p>
              </w:tc>
              <w:tc>
                <w:tcPr>
                  <w:tcW w:w="1322" w:type="dxa"/>
                  <w:gridSpan w:val="2"/>
                  <w:hideMark/>
                </w:tcPr>
                <w:p w14:paraId="748ADD27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ІЗП</w:t>
                  </w:r>
                </w:p>
              </w:tc>
              <w:tc>
                <w:tcPr>
                  <w:tcW w:w="560" w:type="dxa"/>
                  <w:gridSpan w:val="2"/>
                  <w:hideMark/>
                </w:tcPr>
                <w:p w14:paraId="0E530739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4488" w:type="dxa"/>
                  <w:gridSpan w:val="3"/>
                  <w:hideMark/>
                </w:tcPr>
                <w:p w14:paraId="2248D878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прогнозований річний індекс зростання номінальної заробітної плати (у відносних одиницях), який визначається таким чином:</w:t>
                  </w:r>
                </w:p>
              </w:tc>
            </w:tr>
            <w:tr w:rsidR="00AA75F8" w:rsidRPr="006300E0" w14:paraId="6CEC0A6E" w14:textId="77777777" w:rsidTr="00342DA3">
              <w:tc>
                <w:tcPr>
                  <w:tcW w:w="6193" w:type="dxa"/>
                  <w:gridSpan w:val="6"/>
                  <w:hideMark/>
                </w:tcPr>
                <w:p w14:paraId="0552CAE3" w14:textId="6E98F429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7"/>
                    <w:jc w:val="both"/>
                  </w:pPr>
                  <w:bookmarkStart w:id="12" w:name="n229"/>
                  <w:bookmarkEnd w:id="12"/>
                  <w:r w:rsidRPr="006300E0">
                    <w:rPr>
                      <w:noProof/>
                    </w:rPr>
                    <w:drawing>
                      <wp:inline distT="0" distB="0" distL="0" distR="0" wp14:anchorId="5B057C0C" wp14:editId="5AB8621E">
                        <wp:extent cx="1895475" cy="533400"/>
                        <wp:effectExtent l="0" t="0" r="9525" b="0"/>
                        <wp:docPr id="1157979617" name="Рисунок 31">
                          <a:hlinkClick xmlns:a="http://schemas.openxmlformats.org/drawingml/2006/main" r:id="rId2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6">
                                  <a:hlinkClick r:id="rId2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95475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80" w:type="dxa"/>
                  <w:gridSpan w:val="2"/>
                  <w:tcBorders>
                    <w:left w:val="nil"/>
                  </w:tcBorders>
                  <w:hideMark/>
                </w:tcPr>
                <w:p w14:paraId="543E1658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(10)</w:t>
                  </w:r>
                </w:p>
              </w:tc>
            </w:tr>
            <w:tr w:rsidR="00AA75F8" w:rsidRPr="00663837" w14:paraId="5094A9A5" w14:textId="77777777" w:rsidTr="00342DA3">
              <w:tc>
                <w:tcPr>
                  <w:tcW w:w="709" w:type="dxa"/>
                  <w:hideMark/>
                </w:tcPr>
                <w:p w14:paraId="3658FD58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bookmarkStart w:id="13" w:name="n230"/>
                  <w:bookmarkEnd w:id="13"/>
                  <w:r w:rsidRPr="006300E0">
                    <w:t>де</w:t>
                  </w:r>
                </w:p>
              </w:tc>
              <w:tc>
                <w:tcPr>
                  <w:tcW w:w="1005" w:type="dxa"/>
                  <w:hideMark/>
                </w:tcPr>
                <w:p w14:paraId="0EFBFBA7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ІСЦ</w:t>
                  </w:r>
                </w:p>
              </w:tc>
              <w:tc>
                <w:tcPr>
                  <w:tcW w:w="560" w:type="dxa"/>
                  <w:gridSpan w:val="2"/>
                  <w:hideMark/>
                </w:tcPr>
                <w:p w14:paraId="73F1F19C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4799" w:type="dxa"/>
                  <w:gridSpan w:val="4"/>
                  <w:hideMark/>
                </w:tcPr>
                <w:p w14:paraId="23CED380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індекс споживчих цін у середньому до попереднього року відповідно до прогнозу соціально-економічного розвитку України та основних макропоказників економічного і соціального розвитку України та основних напрямів бюджетної політики, у відсотках;</w:t>
                  </w:r>
                </w:p>
              </w:tc>
            </w:tr>
            <w:tr w:rsidR="00AA75F8" w:rsidRPr="00663837" w14:paraId="5BD2B98C" w14:textId="77777777" w:rsidTr="00342DA3">
              <w:tc>
                <w:tcPr>
                  <w:tcW w:w="709" w:type="dxa"/>
                  <w:hideMark/>
                </w:tcPr>
                <w:p w14:paraId="723CF81A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</w:p>
              </w:tc>
              <w:tc>
                <w:tcPr>
                  <w:tcW w:w="1005" w:type="dxa"/>
                  <w:hideMark/>
                </w:tcPr>
                <w:p w14:paraId="2807037E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ІРЗП</w:t>
                  </w:r>
                </w:p>
              </w:tc>
              <w:tc>
                <w:tcPr>
                  <w:tcW w:w="560" w:type="dxa"/>
                  <w:gridSpan w:val="2"/>
                  <w:hideMark/>
                </w:tcPr>
                <w:p w14:paraId="301DD0F7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4799" w:type="dxa"/>
                  <w:gridSpan w:val="4"/>
                  <w:hideMark/>
                </w:tcPr>
                <w:p w14:paraId="02E6658E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 xml:space="preserve">індекс зростання номінальної середньомісячної заробітної плати працівників, скоригований на індекс споживчих цін (індекс зростання реальної середньомісячної заробітної плати), відповідно до прогнозу соціально-економічного розвитку України та основних макропоказників економічного і соціального розвитку України та основних напрямів </w:t>
                  </w:r>
                  <w:r w:rsidRPr="006300E0">
                    <w:lastRenderedPageBreak/>
                    <w:t>бюджетної політики, у відсотках до попереднього року;</w:t>
                  </w:r>
                </w:p>
              </w:tc>
            </w:tr>
            <w:tr w:rsidR="00AA75F8" w:rsidRPr="00663837" w14:paraId="750C3939" w14:textId="77777777" w:rsidTr="00342DA3">
              <w:tc>
                <w:tcPr>
                  <w:tcW w:w="709" w:type="dxa"/>
                  <w:hideMark/>
                </w:tcPr>
                <w:p w14:paraId="3E251C35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</w:p>
              </w:tc>
              <w:tc>
                <w:tcPr>
                  <w:tcW w:w="1005" w:type="dxa"/>
                  <w:hideMark/>
                </w:tcPr>
                <w:p w14:paraId="30B800C3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rPr>
                      <w:b/>
                      <w:bCs/>
                    </w:rPr>
                    <w:t>β</w:t>
                  </w:r>
                </w:p>
              </w:tc>
              <w:tc>
                <w:tcPr>
                  <w:tcW w:w="560" w:type="dxa"/>
                  <w:gridSpan w:val="2"/>
                  <w:hideMark/>
                </w:tcPr>
                <w:p w14:paraId="1E01F4B6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4799" w:type="dxa"/>
                  <w:gridSpan w:val="4"/>
                  <w:hideMark/>
                </w:tcPr>
                <w:p w14:paraId="4C15A29D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коефіцієнт, що застосовується НКРЕКП в однаковому розмірі для ліцензіатів у сфері розподілу природного газу на визначений період з метою обмеження зростання витрат на оплату праці з урахуванням стану економіки держави в умовах фінансово-економічної кризи (0 &lt; </w:t>
                  </w:r>
                  <w:r w:rsidRPr="006300E0">
                    <w:rPr>
                      <w:b/>
                      <w:bCs/>
                    </w:rPr>
                    <w:t>β</w:t>
                  </w:r>
                  <w:r w:rsidRPr="006300E0">
                    <w:t> </w:t>
                  </w:r>
                  <w:r w:rsidRPr="006300E0">
                    <w:rPr>
                      <w:b/>
                      <w:bCs/>
                    </w:rPr>
                    <w:t>≤</w:t>
                  </w:r>
                  <w:r w:rsidRPr="006300E0">
                    <w:t> 1).</w:t>
                  </w:r>
                </w:p>
              </w:tc>
            </w:tr>
          </w:tbl>
          <w:p w14:paraId="72B285B2" w14:textId="77777777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713042C1" w14:textId="77777777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60CB9D18" w14:textId="0437FB5D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bCs/>
                <w:i/>
                <w:iCs/>
              </w:rPr>
            </w:pPr>
            <w:r w:rsidRPr="006300E0">
              <w:rPr>
                <w:b/>
                <w:bCs/>
                <w:i/>
                <w:iCs/>
              </w:rPr>
              <w:t xml:space="preserve">Норма відсутня </w:t>
            </w:r>
          </w:p>
        </w:tc>
        <w:tc>
          <w:tcPr>
            <w:tcW w:w="0" w:type="auto"/>
          </w:tcPr>
          <w:p w14:paraId="35F239A2" w14:textId="77777777" w:rsidR="00AA75F8" w:rsidRPr="006300E0" w:rsidRDefault="00AA75F8" w:rsidP="00AA75F8">
            <w:pPr>
              <w:pStyle w:val="rvps2"/>
            </w:pPr>
            <w:r w:rsidRPr="006300E0">
              <w:lastRenderedPageBreak/>
              <w:t>3. Визначення річних витрат на оплату праці для відповідного ліцензіата здійснюється за формулою</w:t>
            </w:r>
          </w:p>
          <w:tbl>
            <w:tblPr>
              <w:tblW w:w="696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3"/>
              <w:gridCol w:w="1765"/>
              <w:gridCol w:w="785"/>
              <w:gridCol w:w="2097"/>
              <w:gridCol w:w="1328"/>
            </w:tblGrid>
            <w:tr w:rsidR="00AA75F8" w:rsidRPr="006300E0" w14:paraId="2000A84B" w14:textId="77777777" w:rsidTr="00A10634">
              <w:tc>
                <w:tcPr>
                  <w:tcW w:w="5640" w:type="dxa"/>
                  <w:gridSpan w:val="4"/>
                  <w:hideMark/>
                </w:tcPr>
                <w:p w14:paraId="2899C7AE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rPr>
                      <w:noProof/>
                    </w:rPr>
                    <w:drawing>
                      <wp:inline distT="0" distB="0" distL="0" distR="0" wp14:anchorId="64875768" wp14:editId="37312F7C">
                        <wp:extent cx="3267075" cy="276225"/>
                        <wp:effectExtent l="0" t="0" r="9525" b="9525"/>
                        <wp:docPr id="1403129716" name="Рисунок 40">
                          <a:hlinkClick xmlns:a="http://schemas.openxmlformats.org/drawingml/2006/main" r:id="rId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7">
                                  <a:hlinkClick r:id="rId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0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328" w:type="dxa"/>
                  <w:hideMark/>
                </w:tcPr>
                <w:p w14:paraId="2E8E3128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(4)</w:t>
                  </w:r>
                </w:p>
              </w:tc>
            </w:tr>
            <w:tr w:rsidR="00AA75F8" w:rsidRPr="006300E0" w14:paraId="048FE32E" w14:textId="77777777" w:rsidTr="00A10634">
              <w:tc>
                <w:tcPr>
                  <w:tcW w:w="993" w:type="dxa"/>
                  <w:hideMark/>
                </w:tcPr>
                <w:p w14:paraId="54451A24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де</w:t>
                  </w:r>
                </w:p>
              </w:tc>
              <w:tc>
                <w:tcPr>
                  <w:tcW w:w="1765" w:type="dxa"/>
                  <w:hideMark/>
                </w:tcPr>
                <w:p w14:paraId="7A08A932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ВОП</w:t>
                  </w:r>
                </w:p>
              </w:tc>
              <w:tc>
                <w:tcPr>
                  <w:tcW w:w="785" w:type="dxa"/>
                  <w:hideMark/>
                </w:tcPr>
                <w:p w14:paraId="394FE65D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3425" w:type="dxa"/>
                  <w:gridSpan w:val="2"/>
                  <w:hideMark/>
                </w:tcPr>
                <w:p w14:paraId="494559B9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річні витрати на оплату праці ліцензіата, що приймається до розрахунку тарифу;</w:t>
                  </w:r>
                </w:p>
              </w:tc>
            </w:tr>
            <w:tr w:rsidR="00AA75F8" w:rsidRPr="006300E0" w14:paraId="272F9B32" w14:textId="77777777" w:rsidTr="00A10634">
              <w:tc>
                <w:tcPr>
                  <w:tcW w:w="993" w:type="dxa"/>
                  <w:hideMark/>
                </w:tcPr>
                <w:p w14:paraId="1F0B0E71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</w:p>
              </w:tc>
              <w:tc>
                <w:tcPr>
                  <w:tcW w:w="1765" w:type="dxa"/>
                  <w:hideMark/>
                </w:tcPr>
                <w:p w14:paraId="0635B768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rPr>
                      <w:noProof/>
                    </w:rPr>
                    <w:drawing>
                      <wp:inline distT="0" distB="0" distL="0" distR="0" wp14:anchorId="74F787CD" wp14:editId="5721C8EB">
                        <wp:extent cx="495300" cy="266700"/>
                        <wp:effectExtent l="0" t="0" r="0" b="0"/>
                        <wp:docPr id="1980762944" name="Рисунок 39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8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85" w:type="dxa"/>
                  <w:hideMark/>
                </w:tcPr>
                <w:p w14:paraId="55C9C6A7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3425" w:type="dxa"/>
                  <w:gridSpan w:val="2"/>
                  <w:hideMark/>
                </w:tcPr>
                <w:p w14:paraId="38D6E583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тарифна середня заробітна плата в розрахунку на одного працівника ліцензіата, врахована на дату встановлення відповідного тарифу та обрахована, виходячи з витрат на оплату праці та тарифної чисельності працівників, зайнятих ліцензованою діяльністю, на дату їх встановлення (далі - тарифна середня заробітна плата);</w:t>
                  </w:r>
                </w:p>
              </w:tc>
            </w:tr>
            <w:tr w:rsidR="00AA75F8" w:rsidRPr="006300E0" w14:paraId="3C03425C" w14:textId="77777777" w:rsidTr="00A10634">
              <w:tc>
                <w:tcPr>
                  <w:tcW w:w="993" w:type="dxa"/>
                  <w:hideMark/>
                </w:tcPr>
                <w:p w14:paraId="6861A760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</w:p>
              </w:tc>
              <w:tc>
                <w:tcPr>
                  <w:tcW w:w="1765" w:type="dxa"/>
                  <w:hideMark/>
                </w:tcPr>
                <w:p w14:paraId="055F0264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ТЧП</w:t>
                  </w:r>
                </w:p>
              </w:tc>
              <w:tc>
                <w:tcPr>
                  <w:tcW w:w="785" w:type="dxa"/>
                  <w:hideMark/>
                </w:tcPr>
                <w:p w14:paraId="28EB7B1D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3425" w:type="dxa"/>
                  <w:gridSpan w:val="2"/>
                  <w:hideMark/>
                </w:tcPr>
                <w:p w14:paraId="6CDED7A2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тарифна чисельність працівників ліцензіата, врахована на дату встановлення відповідного тарифу (далі - тарифна чисельність працівників);</w:t>
                  </w:r>
                </w:p>
              </w:tc>
            </w:tr>
            <w:tr w:rsidR="00AA75F8" w:rsidRPr="006300E0" w14:paraId="7B0B768A" w14:textId="77777777" w:rsidTr="00A10634">
              <w:tc>
                <w:tcPr>
                  <w:tcW w:w="993" w:type="dxa"/>
                  <w:hideMark/>
                </w:tcPr>
                <w:p w14:paraId="64159B76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</w:p>
              </w:tc>
              <w:tc>
                <w:tcPr>
                  <w:tcW w:w="1765" w:type="dxa"/>
                  <w:hideMark/>
                </w:tcPr>
                <w:p w14:paraId="2BF9E81E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К</w:t>
                  </w:r>
                </w:p>
              </w:tc>
              <w:tc>
                <w:tcPr>
                  <w:tcW w:w="785" w:type="dxa"/>
                  <w:hideMark/>
                </w:tcPr>
                <w:p w14:paraId="2D4A901B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3425" w:type="dxa"/>
                  <w:gridSpan w:val="2"/>
                  <w:hideMark/>
                </w:tcPr>
                <w:p w14:paraId="2087210B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коефіцієнт зростання ВОП для ліцензіата (у відносних одиницях), що передбачає приведення середньої заробітної плати в розрахунку на одного штатного працівника ліцензіата до рівня середньої заробітної плати в розрахунку на одного штатного працівника, зайнятого у промисловості (у відносних одиницях), що визначається таким чином:</w:t>
                  </w:r>
                </w:p>
              </w:tc>
            </w:tr>
          </w:tbl>
          <w:p w14:paraId="01CF7A48" w14:textId="77777777" w:rsidR="00AA75F8" w:rsidRPr="006300E0" w:rsidRDefault="00AA75F8" w:rsidP="00AA75F8">
            <w:pPr>
              <w:pStyle w:val="rvps2"/>
              <w:ind w:firstLine="450"/>
              <w:rPr>
                <w:vanish/>
              </w:rPr>
            </w:pP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19"/>
              <w:gridCol w:w="760"/>
            </w:tblGrid>
            <w:tr w:rsidR="00AA75F8" w:rsidRPr="006300E0" w14:paraId="79759332" w14:textId="77777777" w:rsidTr="00A10634">
              <w:tc>
                <w:tcPr>
                  <w:tcW w:w="12255" w:type="dxa"/>
                  <w:hideMark/>
                </w:tcPr>
                <w:p w14:paraId="0F92D03C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rPr>
                      <w:noProof/>
                    </w:rPr>
                    <w:drawing>
                      <wp:inline distT="0" distB="0" distL="0" distR="0" wp14:anchorId="4625CC8B" wp14:editId="3324BCED">
                        <wp:extent cx="2695575" cy="428625"/>
                        <wp:effectExtent l="0" t="0" r="9525" b="9525"/>
                        <wp:docPr id="1940885308" name="Рисунок 38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9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95575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00" w:type="dxa"/>
                  <w:hideMark/>
                </w:tcPr>
                <w:p w14:paraId="0E4B4A7F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(5)</w:t>
                  </w:r>
                </w:p>
              </w:tc>
            </w:tr>
            <w:tr w:rsidR="00AA75F8" w:rsidRPr="006300E0" w14:paraId="12964B5B" w14:textId="77777777" w:rsidTr="00A10634">
              <w:tc>
                <w:tcPr>
                  <w:tcW w:w="12300" w:type="dxa"/>
                  <w:hideMark/>
                </w:tcPr>
                <w:p w14:paraId="2E9CD3AF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rPr>
                      <w:noProof/>
                    </w:rPr>
                    <w:drawing>
                      <wp:inline distT="0" distB="0" distL="0" distR="0" wp14:anchorId="23708E11" wp14:editId="3006DDF8">
                        <wp:extent cx="3267075" cy="685800"/>
                        <wp:effectExtent l="0" t="0" r="9525" b="0"/>
                        <wp:docPr id="789405547" name="Рисунок 37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0">
                                  <a:hlinkClick r:id="rId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70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55" w:type="dxa"/>
                  <w:hideMark/>
                </w:tcPr>
                <w:p w14:paraId="5171B76A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(6)</w:t>
                  </w:r>
                </w:p>
              </w:tc>
            </w:tr>
          </w:tbl>
          <w:p w14:paraId="2AD5A07A" w14:textId="77777777" w:rsidR="00AA75F8" w:rsidRPr="006300E0" w:rsidRDefault="00AA75F8" w:rsidP="00AA75F8">
            <w:pPr>
              <w:pStyle w:val="rvps2"/>
              <w:ind w:firstLine="450"/>
              <w:rPr>
                <w:vanish/>
              </w:rPr>
            </w:pP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9"/>
              <w:gridCol w:w="1005"/>
              <w:gridCol w:w="317"/>
              <w:gridCol w:w="243"/>
              <w:gridCol w:w="317"/>
              <w:gridCol w:w="3602"/>
              <w:gridCol w:w="126"/>
              <w:gridCol w:w="760"/>
            </w:tblGrid>
            <w:tr w:rsidR="00AA75F8" w:rsidRPr="006300E0" w14:paraId="169CECE2" w14:textId="77777777" w:rsidTr="00A10634">
              <w:tc>
                <w:tcPr>
                  <w:tcW w:w="6319" w:type="dxa"/>
                  <w:gridSpan w:val="7"/>
                  <w:hideMark/>
                </w:tcPr>
                <w:p w14:paraId="607A278F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rPr>
                      <w:noProof/>
                    </w:rPr>
                    <w:drawing>
                      <wp:inline distT="0" distB="0" distL="0" distR="0" wp14:anchorId="127E4AFD" wp14:editId="120F81DD">
                        <wp:extent cx="2438400" cy="361950"/>
                        <wp:effectExtent l="0" t="0" r="0" b="0"/>
                        <wp:docPr id="478280262" name="Рисунок 36">
                          <a:hlinkClick xmlns:a="http://schemas.openxmlformats.org/drawingml/2006/main" r:id="rId1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1">
                                  <a:hlinkClick r:id="rId1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38400" cy="3619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60" w:type="dxa"/>
                  <w:hideMark/>
                </w:tcPr>
                <w:p w14:paraId="494C7E7A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(7)</w:t>
                  </w:r>
                </w:p>
              </w:tc>
            </w:tr>
            <w:tr w:rsidR="00AA75F8" w:rsidRPr="006300E0" w14:paraId="7230892C" w14:textId="77777777" w:rsidTr="00A10634">
              <w:tc>
                <w:tcPr>
                  <w:tcW w:w="6319" w:type="dxa"/>
                  <w:gridSpan w:val="7"/>
                  <w:hideMark/>
                </w:tcPr>
                <w:p w14:paraId="1D38566C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rPr>
                      <w:noProof/>
                    </w:rPr>
                    <w:drawing>
                      <wp:inline distT="0" distB="0" distL="0" distR="0" wp14:anchorId="77F5A65E" wp14:editId="25FC4F00">
                        <wp:extent cx="3171825" cy="695325"/>
                        <wp:effectExtent l="0" t="0" r="9525" b="9525"/>
                        <wp:docPr id="1295054352" name="Рисунок 35">
                          <a:hlinkClick xmlns:a="http://schemas.openxmlformats.org/drawingml/2006/main" r:id="rId1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2">
                                  <a:hlinkClick r:id="rId1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71825" cy="6953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60" w:type="dxa"/>
                  <w:hideMark/>
                </w:tcPr>
                <w:p w14:paraId="1558292E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(8)</w:t>
                  </w:r>
                </w:p>
              </w:tc>
            </w:tr>
            <w:tr w:rsidR="00AA75F8" w:rsidRPr="006300E0" w14:paraId="71350DB8" w14:textId="77777777" w:rsidTr="00A10634">
              <w:tc>
                <w:tcPr>
                  <w:tcW w:w="6319" w:type="dxa"/>
                  <w:gridSpan w:val="7"/>
                  <w:hideMark/>
                </w:tcPr>
                <w:p w14:paraId="4B0B576B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rPr>
                      <w:noProof/>
                    </w:rPr>
                    <w:lastRenderedPageBreak/>
                    <w:drawing>
                      <wp:inline distT="0" distB="0" distL="0" distR="0" wp14:anchorId="5B6F6760" wp14:editId="5BDDA670">
                        <wp:extent cx="1428750" cy="323850"/>
                        <wp:effectExtent l="0" t="0" r="0" b="0"/>
                        <wp:docPr id="542866197" name="Рисунок 34">
                          <a:hlinkClick xmlns:a="http://schemas.openxmlformats.org/drawingml/2006/main" r:id="rId1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3">
                                  <a:hlinkClick r:id="rId1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0" cy="323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60" w:type="dxa"/>
                  <w:hideMark/>
                </w:tcPr>
                <w:p w14:paraId="0D257639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(9)</w:t>
                  </w:r>
                </w:p>
              </w:tc>
            </w:tr>
            <w:tr w:rsidR="00AA75F8" w:rsidRPr="006300E0" w14:paraId="315F6FDA" w14:textId="77777777" w:rsidTr="00A10634">
              <w:tc>
                <w:tcPr>
                  <w:tcW w:w="709" w:type="dxa"/>
                  <w:hideMark/>
                </w:tcPr>
                <w:p w14:paraId="1B5C41B5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де</w:t>
                  </w:r>
                </w:p>
              </w:tc>
              <w:tc>
                <w:tcPr>
                  <w:tcW w:w="1322" w:type="dxa"/>
                  <w:gridSpan w:val="2"/>
                  <w:hideMark/>
                </w:tcPr>
                <w:p w14:paraId="3D518BF4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rPr>
                      <w:noProof/>
                    </w:rPr>
                    <w:drawing>
                      <wp:inline distT="0" distB="0" distL="0" distR="0" wp14:anchorId="61470B59" wp14:editId="7D8B4E6A">
                        <wp:extent cx="457200" cy="266700"/>
                        <wp:effectExtent l="0" t="0" r="0" b="0"/>
                        <wp:docPr id="451654631" name="Рисунок 33">
                          <a:hlinkClick xmlns:a="http://schemas.openxmlformats.org/drawingml/2006/main" r:id="rId2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4">
                                  <a:hlinkClick r:id="rId2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0" w:type="dxa"/>
                  <w:gridSpan w:val="2"/>
                  <w:hideMark/>
                </w:tcPr>
                <w:p w14:paraId="7C72E940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4488" w:type="dxa"/>
                  <w:gridSpan w:val="3"/>
                  <w:hideMark/>
                </w:tcPr>
                <w:p w14:paraId="5F6B45BE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середня заробітна плата в розрахунку на одного штатного працівника, зайнятого у промисловості на території діяльності ліцензіата, наростаючим підсумком за звітними даними періоду із січня по серпень року, що передує року, на який визначаються ВОП;</w:t>
                  </w:r>
                </w:p>
              </w:tc>
            </w:tr>
            <w:tr w:rsidR="00AA75F8" w:rsidRPr="006300E0" w14:paraId="5D2185A2" w14:textId="77777777" w:rsidTr="00A10634">
              <w:tc>
                <w:tcPr>
                  <w:tcW w:w="709" w:type="dxa"/>
                  <w:hideMark/>
                </w:tcPr>
                <w:p w14:paraId="3552D244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</w:p>
              </w:tc>
              <w:tc>
                <w:tcPr>
                  <w:tcW w:w="1322" w:type="dxa"/>
                  <w:gridSpan w:val="2"/>
                  <w:hideMark/>
                </w:tcPr>
                <w:p w14:paraId="45594CE6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rPr>
                      <w:noProof/>
                    </w:rPr>
                    <w:drawing>
                      <wp:inline distT="0" distB="0" distL="0" distR="0" wp14:anchorId="644C26BA" wp14:editId="58768EE7">
                        <wp:extent cx="457200" cy="266700"/>
                        <wp:effectExtent l="0" t="0" r="0" b="0"/>
                        <wp:docPr id="1179661365" name="Рисунок 32">
                          <a:hlinkClick xmlns:a="http://schemas.openxmlformats.org/drawingml/2006/main" r:id="rId2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5">
                                  <a:hlinkClick r:id="rId2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0" w:type="dxa"/>
                  <w:gridSpan w:val="2"/>
                  <w:hideMark/>
                </w:tcPr>
                <w:p w14:paraId="0DE7F75D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4488" w:type="dxa"/>
                  <w:gridSpan w:val="3"/>
                  <w:hideMark/>
                </w:tcPr>
                <w:p w14:paraId="17095C2A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середня заробітна плата в розрахунку на одного штатного працівника, зайнятого у промисловості України, наростаючим підсумком за звітними даними періоду із січня по серпень року, що передує року, на який визначаються ВОП;</w:t>
                  </w:r>
                </w:p>
              </w:tc>
            </w:tr>
            <w:tr w:rsidR="00AA75F8" w:rsidRPr="006300E0" w14:paraId="6EDDA876" w14:textId="77777777" w:rsidTr="00A10634">
              <w:tc>
                <w:tcPr>
                  <w:tcW w:w="709" w:type="dxa"/>
                  <w:hideMark/>
                </w:tcPr>
                <w:p w14:paraId="6A10718A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</w:p>
              </w:tc>
              <w:tc>
                <w:tcPr>
                  <w:tcW w:w="1322" w:type="dxa"/>
                  <w:gridSpan w:val="2"/>
                  <w:hideMark/>
                </w:tcPr>
                <w:p w14:paraId="13E0A53C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ІЗП</w:t>
                  </w:r>
                </w:p>
              </w:tc>
              <w:tc>
                <w:tcPr>
                  <w:tcW w:w="560" w:type="dxa"/>
                  <w:gridSpan w:val="2"/>
                  <w:hideMark/>
                </w:tcPr>
                <w:p w14:paraId="2C2FAA11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4488" w:type="dxa"/>
                  <w:gridSpan w:val="3"/>
                  <w:hideMark/>
                </w:tcPr>
                <w:p w14:paraId="3B9C1BA7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прогнозований річний індекс зростання номінальної заробітної плати (у відносних одиницях), який визначається таким чином:</w:t>
                  </w:r>
                </w:p>
              </w:tc>
            </w:tr>
            <w:tr w:rsidR="00AA75F8" w:rsidRPr="006300E0" w14:paraId="3BBFC614" w14:textId="77777777" w:rsidTr="00A10634">
              <w:tc>
                <w:tcPr>
                  <w:tcW w:w="6193" w:type="dxa"/>
                  <w:gridSpan w:val="6"/>
                  <w:hideMark/>
                </w:tcPr>
                <w:p w14:paraId="4894AC0E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7"/>
                    <w:jc w:val="both"/>
                  </w:pPr>
                  <w:r w:rsidRPr="006300E0">
                    <w:rPr>
                      <w:noProof/>
                    </w:rPr>
                    <w:drawing>
                      <wp:inline distT="0" distB="0" distL="0" distR="0" wp14:anchorId="57550BE2" wp14:editId="74B5C061">
                        <wp:extent cx="1895475" cy="533400"/>
                        <wp:effectExtent l="0" t="0" r="9525" b="0"/>
                        <wp:docPr id="634956605" name="Рисунок 31">
                          <a:hlinkClick xmlns:a="http://schemas.openxmlformats.org/drawingml/2006/main" r:id="rId2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6">
                                  <a:hlinkClick r:id="rId2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95475" cy="533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880" w:type="dxa"/>
                  <w:gridSpan w:val="2"/>
                  <w:tcBorders>
                    <w:left w:val="nil"/>
                  </w:tcBorders>
                  <w:hideMark/>
                </w:tcPr>
                <w:p w14:paraId="0A99723A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(10)</w:t>
                  </w:r>
                </w:p>
              </w:tc>
            </w:tr>
            <w:tr w:rsidR="00AA75F8" w:rsidRPr="00663837" w14:paraId="03A17431" w14:textId="77777777" w:rsidTr="00A10634">
              <w:tc>
                <w:tcPr>
                  <w:tcW w:w="709" w:type="dxa"/>
                  <w:hideMark/>
                </w:tcPr>
                <w:p w14:paraId="471ED125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де</w:t>
                  </w:r>
                </w:p>
              </w:tc>
              <w:tc>
                <w:tcPr>
                  <w:tcW w:w="1005" w:type="dxa"/>
                  <w:hideMark/>
                </w:tcPr>
                <w:p w14:paraId="044A5728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ІСЦ</w:t>
                  </w:r>
                </w:p>
              </w:tc>
              <w:tc>
                <w:tcPr>
                  <w:tcW w:w="560" w:type="dxa"/>
                  <w:gridSpan w:val="2"/>
                  <w:hideMark/>
                </w:tcPr>
                <w:p w14:paraId="32FE3D6C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4799" w:type="dxa"/>
                  <w:gridSpan w:val="4"/>
                  <w:hideMark/>
                </w:tcPr>
                <w:p w14:paraId="5E87324C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індекс споживчих цін у середньому до попереднього року відповідно до прогнозу соціально-економічного розвитку України та основних макропоказників економічного і соціального розвитку України та основних напрямів бюджетної політики, у відсотках;</w:t>
                  </w:r>
                </w:p>
              </w:tc>
            </w:tr>
            <w:tr w:rsidR="00AA75F8" w:rsidRPr="00663837" w14:paraId="58D3A807" w14:textId="77777777" w:rsidTr="00A10634">
              <w:tc>
                <w:tcPr>
                  <w:tcW w:w="709" w:type="dxa"/>
                  <w:hideMark/>
                </w:tcPr>
                <w:p w14:paraId="63F32276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</w:p>
              </w:tc>
              <w:tc>
                <w:tcPr>
                  <w:tcW w:w="1005" w:type="dxa"/>
                  <w:hideMark/>
                </w:tcPr>
                <w:p w14:paraId="017DFE95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ІРЗП</w:t>
                  </w:r>
                </w:p>
              </w:tc>
              <w:tc>
                <w:tcPr>
                  <w:tcW w:w="560" w:type="dxa"/>
                  <w:gridSpan w:val="2"/>
                  <w:hideMark/>
                </w:tcPr>
                <w:p w14:paraId="599C5B51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4799" w:type="dxa"/>
                  <w:gridSpan w:val="4"/>
                  <w:hideMark/>
                </w:tcPr>
                <w:p w14:paraId="5E680D50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 xml:space="preserve">індекс зростання номінальної середньомісячної заробітної плати працівників, скоригований на індекс споживчих цін (індекс зростання реальної середньомісячної заробітної плати), відповідно до прогнозу соціально-економічного розвитку України та основних макропоказників економічного і соціального розвитку України та основних напрямів </w:t>
                  </w:r>
                  <w:r w:rsidRPr="006300E0">
                    <w:lastRenderedPageBreak/>
                    <w:t>бюджетної політики, у відсотках до попереднього року;</w:t>
                  </w:r>
                </w:p>
              </w:tc>
            </w:tr>
            <w:tr w:rsidR="00AA75F8" w:rsidRPr="00663837" w14:paraId="7D87F9CE" w14:textId="77777777" w:rsidTr="00A10634">
              <w:tc>
                <w:tcPr>
                  <w:tcW w:w="709" w:type="dxa"/>
                  <w:hideMark/>
                </w:tcPr>
                <w:p w14:paraId="4AE1F8F2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</w:p>
              </w:tc>
              <w:tc>
                <w:tcPr>
                  <w:tcW w:w="1005" w:type="dxa"/>
                  <w:hideMark/>
                </w:tcPr>
                <w:p w14:paraId="5A18450A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rPr>
                      <w:b/>
                      <w:bCs/>
                    </w:rPr>
                    <w:t>β</w:t>
                  </w:r>
                </w:p>
              </w:tc>
              <w:tc>
                <w:tcPr>
                  <w:tcW w:w="560" w:type="dxa"/>
                  <w:gridSpan w:val="2"/>
                  <w:hideMark/>
                </w:tcPr>
                <w:p w14:paraId="701D6466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-</w:t>
                  </w:r>
                </w:p>
              </w:tc>
              <w:tc>
                <w:tcPr>
                  <w:tcW w:w="4799" w:type="dxa"/>
                  <w:gridSpan w:val="4"/>
                  <w:hideMark/>
                </w:tcPr>
                <w:p w14:paraId="32A1A01B" w14:textId="77777777" w:rsidR="00AA75F8" w:rsidRPr="006300E0" w:rsidRDefault="00AA75F8" w:rsidP="00AA75F8">
                  <w:pPr>
                    <w:pStyle w:val="rvps2"/>
                    <w:shd w:val="clear" w:color="auto" w:fill="FFFFFF"/>
                    <w:spacing w:before="0"/>
                    <w:ind w:firstLine="450"/>
                    <w:jc w:val="both"/>
                  </w:pPr>
                  <w:r w:rsidRPr="006300E0">
                    <w:t>коефіцієнт, що застосовується НКРЕКП в однаковому розмірі для ліцензіатів у сфері розподілу природного газу на визначений період з метою обмеження зростання витрат на оплату праці з урахуванням стану економіки держави в умовах фінансово-економічної кризи (0 &lt; </w:t>
                  </w:r>
                  <w:r w:rsidRPr="006300E0">
                    <w:rPr>
                      <w:b/>
                      <w:bCs/>
                    </w:rPr>
                    <w:t>β</w:t>
                  </w:r>
                  <w:r w:rsidRPr="006300E0">
                    <w:t> </w:t>
                  </w:r>
                  <w:r w:rsidRPr="006300E0">
                    <w:rPr>
                      <w:b/>
                      <w:bCs/>
                    </w:rPr>
                    <w:t>≤</w:t>
                  </w:r>
                  <w:r w:rsidRPr="006300E0">
                    <w:t> 1).</w:t>
                  </w:r>
                </w:p>
              </w:tc>
            </w:tr>
          </w:tbl>
          <w:p w14:paraId="67290312" w14:textId="77777777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</w:pPr>
          </w:p>
          <w:p w14:paraId="22D111AA" w14:textId="00D2D239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bCs/>
                <w:color w:val="FF0000"/>
              </w:rPr>
            </w:pPr>
            <w:r w:rsidRPr="006300E0">
              <w:rPr>
                <w:b/>
                <w:bCs/>
              </w:rPr>
              <w:t>У разі відсутності звітних даних Державної служби статистики України щодо середньої заробітної плати, необхідних для визначення коефіцієнт</w:t>
            </w:r>
            <w:r w:rsidR="00663837">
              <w:rPr>
                <w:b/>
                <w:bCs/>
              </w:rPr>
              <w:t>а</w:t>
            </w:r>
            <w:r w:rsidRPr="006300E0">
              <w:rPr>
                <w:b/>
                <w:bCs/>
              </w:rPr>
              <w:t xml:space="preserve"> К, такий коефіцієнт визначається з урахуванням загальної тенденції зміни середньої заробітної плати в розрахунку на одного штатного працівника, зайнятого у промисловості України, </w:t>
            </w:r>
            <w:r w:rsidR="00663837">
              <w:rPr>
                <w:b/>
                <w:bCs/>
              </w:rPr>
              <w:t>таким</w:t>
            </w:r>
            <w:r w:rsidRPr="006300E0">
              <w:rPr>
                <w:b/>
                <w:bCs/>
              </w:rPr>
              <w:t xml:space="preserve"> чином:</w:t>
            </w:r>
          </w:p>
          <w:p w14:paraId="716625E7" w14:textId="1D3D4172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bCs/>
              </w:rPr>
            </w:pPr>
            <w:r w:rsidRPr="006300E0">
              <w:rPr>
                <w:b/>
                <w:bCs/>
              </w:rPr>
              <w:t xml:space="preserve">у разі, якщо 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b/>
                      <w:bCs/>
                      <w:i/>
                    </w:rPr>
                    <m:t>ЗП</m:t>
                  </m:r>
                </m:e>
                <m:sub>
                  <m:r>
                    <m:rPr>
                      <m:nor/>
                    </m:rPr>
                    <w:rPr>
                      <w:b/>
                      <w:bCs/>
                      <w:i/>
                    </w:rPr>
                    <m:t>пром</m:t>
                  </m:r>
                </m:sub>
                <m:sup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/>
                        </w:rPr>
                        <m:t>j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/>
                        </w:rPr>
                        <m:t>2021</m:t>
                      </m:r>
                    </m:sup>
                  </m:sSup>
                </m:sup>
              </m:sSubSup>
              <m:r>
                <m:rPr>
                  <m:nor/>
                </m:rPr>
                <w:rPr>
                  <w:b/>
                  <w:bCs/>
                  <w:i/>
                </w:rPr>
                <m:t>≤</m:t>
              </m:r>
              <m:sSubSup>
                <m:sSub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b/>
                      <w:bCs/>
                      <w:i/>
                    </w:rPr>
                    <m:t>ЗП</m:t>
                  </m:r>
                </m:e>
                <m:sub>
                  <m:r>
                    <m:rPr>
                      <m:nor/>
                    </m:rPr>
                    <w:rPr>
                      <w:b/>
                      <w:bCs/>
                      <w:i/>
                    </w:rPr>
                    <m:t>пром</m:t>
                  </m:r>
                </m:sub>
                <m:sup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сер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2021</m:t>
                      </m:r>
                    </m:sup>
                  </m:sSup>
                </m:sup>
              </m:sSubSup>
            </m:oMath>
            <w:r w:rsidRPr="006300E0">
              <w:rPr>
                <w:b/>
                <w:bCs/>
              </w:rPr>
              <w:t>, то</w:t>
            </w:r>
          </w:p>
          <w:p w14:paraId="6B634412" w14:textId="63EACB56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bCs/>
                <w:i/>
                <w:iCs/>
              </w:rPr>
            </w:pPr>
            <m:oMath>
              <m:r>
                <m:rPr>
                  <m:nor/>
                </m:rPr>
                <w:rPr>
                  <w:rFonts w:ascii="Cambria Math" w:hAnsi="Cambria Math"/>
                  <w:b/>
                  <w:bCs/>
                  <w:i/>
                  <w:iCs/>
                </w:rPr>
                <m:t>К=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 xml:space="preserve">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sSubSupPr>
                        <m:e>
                          <m:r>
                            <m:rPr>
                              <m:nor/>
                            </m:rPr>
                            <w:rPr>
                              <w:b/>
                              <w:bCs/>
                              <w:i/>
                            </w:rPr>
                            <m:t>ЗП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b/>
                              <w:bCs/>
                              <w:i/>
                            </w:rPr>
                            <m:t>пром</m:t>
                          </m:r>
                        </m:sub>
                        <m:sup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сер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2021</m:t>
                              </m:r>
                            </m:sup>
                          </m:sSup>
                        </m:sup>
                      </m:sSubSup>
                      <m:r>
                        <m:rPr>
                          <m:nor/>
                        </m:r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  <m:t>× α × 1,25 × ІЗП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</w:rPr>
                            <m:t>ТЗП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</w:rPr>
                            <m:t>тар</m:t>
                          </m:r>
                        </m:sub>
                      </m:sSub>
                    </m:den>
                  </m:f>
                  <m:r>
                    <m:rPr>
                      <m:nor/>
                    </m:rPr>
                    <w:rPr>
                      <w:rFonts w:ascii="Cambria Math" w:hAnsi="Cambria Math"/>
                      <w:b/>
                      <w:bCs/>
                      <w:i/>
                      <w:iCs/>
                    </w:rPr>
                    <m:t>-1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  <w:b/>
                  <w:bCs/>
                  <w:i/>
                  <w:iCs/>
                </w:rPr>
                <m:t>×β+1</m:t>
              </m:r>
            </m:oMath>
            <w:r w:rsidRPr="006300E0">
              <w:rPr>
                <w:b/>
                <w:bCs/>
                <w:i/>
                <w:iCs/>
              </w:rPr>
              <w:t>,                                            (11)</w:t>
            </w:r>
          </w:p>
          <w:p w14:paraId="15397D8B" w14:textId="039080BE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bCs/>
              </w:rPr>
            </w:pPr>
            <w:r w:rsidRPr="006300E0">
              <w:rPr>
                <w:b/>
                <w:bCs/>
              </w:rPr>
              <w:t xml:space="preserve">у разі, якщо 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b/>
                      <w:bCs/>
                      <w:i/>
                    </w:rPr>
                    <m:t>ЗП</m:t>
                  </m:r>
                </m:e>
                <m:sub>
                  <m:r>
                    <m:rPr>
                      <m:nor/>
                    </m:rPr>
                    <w:rPr>
                      <w:b/>
                      <w:bCs/>
                      <w:i/>
                    </w:rPr>
                    <m:t>пром</m:t>
                  </m:r>
                </m:sub>
                <m:sup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/>
                        </w:rPr>
                        <m:t>j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/>
                        </w:rPr>
                        <m:t>2021</m:t>
                      </m:r>
                    </m:sup>
                  </m:sSup>
                </m:sup>
              </m:sSubSup>
              <m:r>
                <m:rPr>
                  <m:nor/>
                </m:rPr>
                <w:rPr>
                  <w:rFonts w:ascii="Cambria Math" w:hAnsi="Cambria Math"/>
                  <w:b/>
                  <w:bCs/>
                  <w:i/>
                </w:rPr>
                <m:t>&gt;</m:t>
              </m:r>
              <m:sSubSup>
                <m:sSub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b/>
                      <w:bCs/>
                      <w:i/>
                    </w:rPr>
                    <m:t>ЗП</m:t>
                  </m:r>
                </m:e>
                <m:sub>
                  <m:r>
                    <m:rPr>
                      <m:nor/>
                    </m:rPr>
                    <w:rPr>
                      <w:b/>
                      <w:bCs/>
                      <w:i/>
                    </w:rPr>
                    <m:t>пром</m:t>
                  </m:r>
                </m:sub>
                <m:sup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сер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2021</m:t>
                      </m:r>
                    </m:sup>
                  </m:sSup>
                </m:sup>
              </m:sSubSup>
            </m:oMath>
            <w:r w:rsidRPr="006300E0">
              <w:rPr>
                <w:b/>
                <w:bCs/>
              </w:rPr>
              <w:t>, то</w:t>
            </w:r>
          </w:p>
          <w:p w14:paraId="599202CE" w14:textId="77777777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bCs/>
                <w:i/>
                <w:iCs/>
              </w:rPr>
            </w:pPr>
            <m:oMath>
              <m:r>
                <m:rPr>
                  <m:nor/>
                </m:rPr>
                <w:rPr>
                  <w:rFonts w:ascii="Cambria Math" w:hAnsi="Cambria Math"/>
                  <w:b/>
                  <w:bCs/>
                  <w:i/>
                  <w:iCs/>
                </w:rPr>
                <m:t>К=</m:t>
              </m:r>
              <m:d>
                <m:d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 xml:space="preserve"> </m:t>
                      </m:r>
                      <m:sSubSup>
                        <m:sSubSup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sSubSupPr>
                        <m:e>
                          <m:r>
                            <m:rPr>
                              <m:nor/>
                            </m:rPr>
                            <w:rPr>
                              <w:b/>
                              <w:bCs/>
                              <w:i/>
                            </w:rPr>
                            <m:t>ЗП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b/>
                              <w:bCs/>
                              <w:i/>
                            </w:rPr>
                            <m:t>пром</m:t>
                          </m:r>
                        </m:sub>
                        <m:sup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b/>
                                  <w:bCs/>
                                  <w:i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bi"/>
                                </m:rPr>
                                <w:rPr>
                                  <w:rFonts w:ascii="Cambria Math"/>
                                </w:rPr>
                                <m:t>j</m:t>
                              </m:r>
                            </m:e>
                            <m:sup>
                              <m:r>
                                <m:rPr>
                                  <m:sty m:val="bi"/>
                                </m:rPr>
                                <w:rPr>
                                  <w:rFonts w:ascii="Cambria Math"/>
                                </w:rPr>
                                <m:t>2021</m:t>
                              </m:r>
                            </m:sup>
                          </m:sSup>
                        </m:sup>
                      </m:sSubSup>
                      <m:r>
                        <m:rPr>
                          <m:nor/>
                        </m:r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</w:rPr>
                        <m:t>× α × 1,25 × ІЗП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</w:rPr>
                          </m:ctrlPr>
                        </m:sSubPr>
                        <m:e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</w:rPr>
                            <m:t>ТЗП</m:t>
                          </m:r>
                        </m:e>
                        <m:sub>
                          <m:r>
                            <m:rPr>
                              <m:nor/>
                            </m:rPr>
                            <w:rPr>
                              <w:rFonts w:ascii="Cambria Math" w:hAnsi="Cambria Math"/>
                              <w:b/>
                              <w:bCs/>
                              <w:i/>
                              <w:iCs/>
                            </w:rPr>
                            <m:t>тар</m:t>
                          </m:r>
                        </m:sub>
                      </m:sSub>
                    </m:den>
                  </m:f>
                  <m:r>
                    <m:rPr>
                      <m:nor/>
                    </m:rPr>
                    <w:rPr>
                      <w:rFonts w:ascii="Cambria Math" w:hAnsi="Cambria Math"/>
                      <w:b/>
                      <w:bCs/>
                      <w:i/>
                      <w:iCs/>
                    </w:rPr>
                    <m:t>-1</m:t>
                  </m:r>
                </m:e>
              </m:d>
              <m:r>
                <m:rPr>
                  <m:nor/>
                </m:rPr>
                <w:rPr>
                  <w:rFonts w:ascii="Cambria Math" w:hAnsi="Cambria Math"/>
                  <w:b/>
                  <w:bCs/>
                  <w:i/>
                  <w:iCs/>
                </w:rPr>
                <m:t>×β+1</m:t>
              </m:r>
            </m:oMath>
            <w:r w:rsidRPr="006300E0">
              <w:rPr>
                <w:b/>
                <w:bCs/>
                <w:i/>
                <w:iCs/>
              </w:rPr>
              <w:t>,                                                  (12)</w:t>
            </w:r>
          </w:p>
          <w:p w14:paraId="285BB584" w14:textId="77777777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bCs/>
                <w:iCs/>
              </w:rPr>
            </w:pPr>
            <w:r w:rsidRPr="006300E0">
              <w:rPr>
                <w:b/>
                <w:bCs/>
              </w:rPr>
              <w:t xml:space="preserve">при цьому </w:t>
            </w:r>
            <m:oMath>
              <m:r>
                <m:rPr>
                  <m:nor/>
                </m:rPr>
                <w:rPr>
                  <w:rFonts w:ascii="Cambria Math" w:hAnsi="Cambria Math"/>
                  <w:b/>
                  <w:bCs/>
                  <w:i/>
                  <w:iCs/>
                </w:rPr>
                <m:t>К ≥1</m:t>
              </m:r>
              <m:r>
                <m:rPr>
                  <m:nor/>
                </m:rPr>
                <w:rPr>
                  <w:b/>
                  <w:bCs/>
                  <w:i/>
                  <w:iCs/>
                </w:rPr>
                <m:t>,</m:t>
              </m:r>
            </m:oMath>
          </w:p>
          <w:p w14:paraId="64A9A17C" w14:textId="3F5061A4" w:rsidR="00AA75F8" w:rsidRPr="006300E0" w:rsidRDefault="00AA75F8" w:rsidP="00AA75F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bCs/>
              </w:rPr>
            </w:pPr>
            <w:r w:rsidRPr="006300E0">
              <w:rPr>
                <w:b/>
                <w:bCs/>
                <w:i/>
                <w:iCs/>
                <w:szCs w:val="28"/>
              </w:rPr>
              <w:t>де</w:t>
            </w:r>
            <w:r w:rsidRPr="006300E0">
              <w:rPr>
                <w:b/>
                <w:bCs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b/>
                      <w:bCs/>
                      <w:i/>
                    </w:rPr>
                    <m:t>ЗП</m:t>
                  </m:r>
                </m:e>
                <m:sub>
                  <m:r>
                    <m:rPr>
                      <m:nor/>
                    </m:rPr>
                    <w:rPr>
                      <w:b/>
                      <w:bCs/>
                      <w:i/>
                    </w:rPr>
                    <m:t>пром</m:t>
                  </m:r>
                </m:sub>
                <m:sup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сер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2021</m:t>
                      </m:r>
                    </m:sup>
                  </m:sSup>
                </m:sup>
              </m:sSubSup>
            </m:oMath>
            <w:r w:rsidRPr="006300E0">
              <w:rPr>
                <w:b/>
                <w:bCs/>
                <w:i/>
                <w:iCs/>
              </w:rPr>
              <w:t xml:space="preserve"> –</w:t>
            </w:r>
            <w:r w:rsidRPr="006300E0">
              <w:rPr>
                <w:b/>
                <w:bCs/>
              </w:rPr>
              <w:t>середня заробітна плата в розрахунку на одного штатного працівника, зайнятого у промисловості України, наростаючим підсумком за звітними даними періоду із січня по серпень</w:t>
            </w:r>
            <w:r w:rsidRPr="006300E0" w:rsidDel="00E92847">
              <w:rPr>
                <w:b/>
                <w:bCs/>
              </w:rPr>
              <w:t xml:space="preserve"> </w:t>
            </w:r>
            <w:r w:rsidRPr="006300E0">
              <w:rPr>
                <w:b/>
                <w:bCs/>
              </w:rPr>
              <w:t>2021 року;</w:t>
            </w:r>
          </w:p>
          <w:p w14:paraId="5D7B3C14" w14:textId="3E2D799E" w:rsidR="00AA75F8" w:rsidRPr="006300E0" w:rsidRDefault="00663837" w:rsidP="00AA75F8">
            <w:pPr>
              <w:pStyle w:val="rvps2"/>
              <w:shd w:val="clear" w:color="auto" w:fill="FFFFFF"/>
              <w:spacing w:before="0" w:beforeAutospacing="0" w:after="150" w:afterAutospacing="0"/>
              <w:ind w:firstLine="450"/>
              <w:jc w:val="both"/>
              <w:rPr>
                <w:b/>
                <w:bCs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SupPr>
                <m:e>
                  <m:r>
                    <m:rPr>
                      <m:nor/>
                    </m:rPr>
                    <w:rPr>
                      <w:b/>
                      <w:bCs/>
                      <w:i/>
                    </w:rPr>
                    <m:t>ЗП</m:t>
                  </m:r>
                </m:e>
                <m:sub>
                  <m:r>
                    <m:rPr>
                      <m:nor/>
                    </m:rPr>
                    <w:rPr>
                      <w:b/>
                      <w:bCs/>
                      <w:i/>
                    </w:rPr>
                    <m:t>пром</m:t>
                  </m:r>
                </m:sub>
                <m:sup>
                  <m:sSup>
                    <m:sSup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/>
                        </w:rPr>
                        <m:t>j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/>
                        </w:rPr>
                        <m:t>2021</m:t>
                      </m:r>
                    </m:sup>
                  </m:sSup>
                </m:sup>
              </m:sSubSup>
            </m:oMath>
            <w:r w:rsidR="00AA75F8" w:rsidRPr="006300E0">
              <w:rPr>
                <w:b/>
                <w:bCs/>
              </w:rPr>
              <w:t xml:space="preserve"> - середня заробітна плата в розрахунку на одного штатного працівника, зайнятого у промисловості на території </w:t>
            </w:r>
            <w:r w:rsidR="00AA75F8" w:rsidRPr="006300E0">
              <w:rPr>
                <w:b/>
                <w:bCs/>
              </w:rPr>
              <w:lastRenderedPageBreak/>
              <w:t xml:space="preserve">діяльності ліцензіата, наростаючим підсумком за звітними даними періоду </w:t>
            </w:r>
            <w:bookmarkStart w:id="14" w:name="_Hlk178590472"/>
            <w:r w:rsidR="00AA75F8" w:rsidRPr="006300E0">
              <w:rPr>
                <w:b/>
                <w:bCs/>
              </w:rPr>
              <w:t>із січня по серпень 2021 року</w:t>
            </w:r>
            <w:bookmarkEnd w:id="14"/>
            <w:r w:rsidR="00AA75F8" w:rsidRPr="006300E0">
              <w:rPr>
                <w:b/>
                <w:bCs/>
              </w:rPr>
              <w:t>.</w:t>
            </w:r>
          </w:p>
          <w:p w14:paraId="647C8FBD" w14:textId="3956C891" w:rsidR="00AA75F8" w:rsidRPr="006300E0" w:rsidRDefault="00AA75F8" w:rsidP="00AA75F8">
            <w:pPr>
              <w:pStyle w:val="rvps2"/>
              <w:shd w:val="clear" w:color="auto" w:fill="FFFFFF"/>
              <w:ind w:firstLine="529"/>
              <w:contextualSpacing/>
              <w:jc w:val="both"/>
              <w:rPr>
                <w:b/>
                <w:bCs/>
                <w:i/>
                <w:iCs/>
              </w:rPr>
            </w:pPr>
            <m:oMath>
              <m:r>
                <m:rPr>
                  <m:nor/>
                </m:rPr>
                <w:rPr>
                  <w:rFonts w:ascii="Cambria Math" w:hAnsi="Cambria Math"/>
                  <w:b/>
                  <w:bCs/>
                  <w:i/>
                  <w:iCs/>
                </w:rPr>
                <m:t>α</m:t>
              </m:r>
            </m:oMath>
            <w:r w:rsidRPr="006300E0">
              <w:rPr>
                <w:b/>
                <w:bCs/>
                <w:i/>
                <w:iCs/>
              </w:rPr>
              <w:t xml:space="preserve"> – </w:t>
            </w:r>
            <w:r w:rsidRPr="006300E0">
              <w:rPr>
                <w:b/>
                <w:bCs/>
              </w:rPr>
              <w:t xml:space="preserve">коефіцієнт відносного зростання, який визначається як  співвідношення середньої заробітної плати штатних працівників промисловості в Україні за період </w:t>
            </w:r>
            <w:r w:rsidR="00AE33EF" w:rsidRPr="006300E0">
              <w:rPr>
                <w:b/>
                <w:bCs/>
              </w:rPr>
              <w:t>із січня по серпень року</w:t>
            </w:r>
            <w:r w:rsidRPr="006300E0">
              <w:rPr>
                <w:b/>
                <w:bCs/>
              </w:rPr>
              <w:t xml:space="preserve">, що передує року, на який визначаються ВОП, до середньої заробітної плати штатних працівників промисловості в Україні за період </w:t>
            </w:r>
            <w:r w:rsidR="00AE33EF" w:rsidRPr="006300E0">
              <w:rPr>
                <w:b/>
                <w:bCs/>
              </w:rPr>
              <w:t>із січня по серпень 2021 року</w:t>
            </w:r>
            <w:r w:rsidRPr="006300E0">
              <w:rPr>
                <w:b/>
                <w:bCs/>
              </w:rPr>
              <w:t>.</w:t>
            </w:r>
          </w:p>
          <w:p w14:paraId="7E569508" w14:textId="124DFC37" w:rsidR="00AA75F8" w:rsidRPr="006300E0" w:rsidRDefault="00AA75F8" w:rsidP="00AA75F8">
            <w:pPr>
              <w:pStyle w:val="rvps2"/>
              <w:shd w:val="clear" w:color="auto" w:fill="FFFFFF"/>
              <w:ind w:firstLine="529"/>
              <w:contextualSpacing/>
              <w:jc w:val="both"/>
              <w:rPr>
                <w:b/>
                <w:bCs/>
              </w:rPr>
            </w:pPr>
            <w:r w:rsidRPr="006300E0">
              <w:rPr>
                <w:b/>
                <w:bCs/>
              </w:rPr>
              <w:t xml:space="preserve">У разі відсутності даних щодо середньої заробітної плати штатних працівників промисловості в Україні за період </w:t>
            </w:r>
            <w:r w:rsidR="00AE33EF" w:rsidRPr="006300E0">
              <w:rPr>
                <w:b/>
                <w:bCs/>
              </w:rPr>
              <w:t>із січня по серпень</w:t>
            </w:r>
            <w:r w:rsidRPr="006300E0">
              <w:rPr>
                <w:b/>
                <w:bCs/>
              </w:rPr>
              <w:t xml:space="preserve"> року, що передує року, на який визначаються ВОП, для визначення коефіцієнт</w:t>
            </w:r>
            <w:r w:rsidR="00663837">
              <w:rPr>
                <w:b/>
                <w:bCs/>
              </w:rPr>
              <w:t>а</w:t>
            </w:r>
            <w:r w:rsidRPr="006300E0">
              <w:rPr>
                <w:b/>
                <w:bCs/>
              </w:rPr>
              <w:t xml:space="preserve"> α приймаються останні наявні звітні данні Державної служби статистики України щодо середньої заробітної плати штатних працівників промисловості в Україні.  </w:t>
            </w:r>
          </w:p>
        </w:tc>
      </w:tr>
    </w:tbl>
    <w:p w14:paraId="32F4354F" w14:textId="77777777" w:rsidR="007E47BB" w:rsidRPr="006300E0" w:rsidRDefault="007E47BB" w:rsidP="003D3AAA">
      <w:pPr>
        <w:pStyle w:val="a4"/>
        <w:spacing w:before="0" w:beforeAutospacing="0" w:after="0" w:afterAutospacing="0"/>
        <w:ind w:firstLine="709"/>
        <w:jc w:val="center"/>
        <w:rPr>
          <w:b/>
        </w:rPr>
      </w:pPr>
    </w:p>
    <w:sectPr w:rsidR="007E47BB" w:rsidRPr="006300E0" w:rsidSect="005E73E8">
      <w:pgSz w:w="16838" w:h="11906" w:orient="landscape"/>
      <w:pgMar w:top="568" w:right="1103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B0269"/>
    <w:multiLevelType w:val="hybridMultilevel"/>
    <w:tmpl w:val="E9A2A7C2"/>
    <w:lvl w:ilvl="0" w:tplc="D8EA2886">
      <w:start w:val="1"/>
      <w:numFmt w:val="decimal"/>
      <w:lvlText w:val="10.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F22F0A"/>
    <w:multiLevelType w:val="hybridMultilevel"/>
    <w:tmpl w:val="990CD2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32324">
    <w:abstractNumId w:val="0"/>
  </w:num>
  <w:num w:numId="2" w16cid:durableId="1391463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99A"/>
    <w:rsid w:val="000262DF"/>
    <w:rsid w:val="00060EB0"/>
    <w:rsid w:val="000655D7"/>
    <w:rsid w:val="00072BBB"/>
    <w:rsid w:val="00080C55"/>
    <w:rsid w:val="000A67A6"/>
    <w:rsid w:val="000C43F0"/>
    <w:rsid w:val="000E2860"/>
    <w:rsid w:val="000E2D6E"/>
    <w:rsid w:val="001029DC"/>
    <w:rsid w:val="00117684"/>
    <w:rsid w:val="00142A0B"/>
    <w:rsid w:val="0014406E"/>
    <w:rsid w:val="00144CDF"/>
    <w:rsid w:val="00146C72"/>
    <w:rsid w:val="00152EF0"/>
    <w:rsid w:val="001562B4"/>
    <w:rsid w:val="00157AAD"/>
    <w:rsid w:val="00186964"/>
    <w:rsid w:val="001A0AA5"/>
    <w:rsid w:val="001A3309"/>
    <w:rsid w:val="001A66A8"/>
    <w:rsid w:val="001B0C28"/>
    <w:rsid w:val="001B2E0C"/>
    <w:rsid w:val="001B4EB7"/>
    <w:rsid w:val="001D4068"/>
    <w:rsid w:val="001D71AF"/>
    <w:rsid w:val="001D7431"/>
    <w:rsid w:val="001E40B0"/>
    <w:rsid w:val="001E77F5"/>
    <w:rsid w:val="001E7BDD"/>
    <w:rsid w:val="00201D8E"/>
    <w:rsid w:val="00231BE0"/>
    <w:rsid w:val="002601DF"/>
    <w:rsid w:val="002C381F"/>
    <w:rsid w:val="00317B33"/>
    <w:rsid w:val="003305B9"/>
    <w:rsid w:val="00342DA3"/>
    <w:rsid w:val="00345F6F"/>
    <w:rsid w:val="00350F52"/>
    <w:rsid w:val="00362659"/>
    <w:rsid w:val="003663C2"/>
    <w:rsid w:val="003737EF"/>
    <w:rsid w:val="00373FC7"/>
    <w:rsid w:val="00375C7C"/>
    <w:rsid w:val="0038199A"/>
    <w:rsid w:val="003D3AAA"/>
    <w:rsid w:val="003F1ADF"/>
    <w:rsid w:val="004224A0"/>
    <w:rsid w:val="00422DD1"/>
    <w:rsid w:val="00432BD2"/>
    <w:rsid w:val="00437EBF"/>
    <w:rsid w:val="004469A8"/>
    <w:rsid w:val="00450866"/>
    <w:rsid w:val="00494269"/>
    <w:rsid w:val="004A31E8"/>
    <w:rsid w:val="004B57E5"/>
    <w:rsid w:val="004B7A30"/>
    <w:rsid w:val="004C2300"/>
    <w:rsid w:val="004C7326"/>
    <w:rsid w:val="004D5DAB"/>
    <w:rsid w:val="004D61F3"/>
    <w:rsid w:val="004E7CFE"/>
    <w:rsid w:val="004F2D47"/>
    <w:rsid w:val="004F4582"/>
    <w:rsid w:val="005017BF"/>
    <w:rsid w:val="00510F09"/>
    <w:rsid w:val="00526BAA"/>
    <w:rsid w:val="00554FE8"/>
    <w:rsid w:val="00560EDA"/>
    <w:rsid w:val="005A5715"/>
    <w:rsid w:val="005A7964"/>
    <w:rsid w:val="005B3FC2"/>
    <w:rsid w:val="005C5DBF"/>
    <w:rsid w:val="005D3D26"/>
    <w:rsid w:val="005E73E8"/>
    <w:rsid w:val="005F5810"/>
    <w:rsid w:val="005F65D0"/>
    <w:rsid w:val="006047F6"/>
    <w:rsid w:val="006216A1"/>
    <w:rsid w:val="006231A9"/>
    <w:rsid w:val="006300E0"/>
    <w:rsid w:val="0064268E"/>
    <w:rsid w:val="00645A75"/>
    <w:rsid w:val="00663837"/>
    <w:rsid w:val="006B08FC"/>
    <w:rsid w:val="006D427C"/>
    <w:rsid w:val="006D5963"/>
    <w:rsid w:val="006E3F4E"/>
    <w:rsid w:val="0070485E"/>
    <w:rsid w:val="00711D6F"/>
    <w:rsid w:val="007533AF"/>
    <w:rsid w:val="007560AD"/>
    <w:rsid w:val="007621B2"/>
    <w:rsid w:val="0076285C"/>
    <w:rsid w:val="00762AC4"/>
    <w:rsid w:val="00762E0C"/>
    <w:rsid w:val="007739DD"/>
    <w:rsid w:val="00776520"/>
    <w:rsid w:val="00782C0B"/>
    <w:rsid w:val="007D6F81"/>
    <w:rsid w:val="007E0022"/>
    <w:rsid w:val="007E47BB"/>
    <w:rsid w:val="007F0BB3"/>
    <w:rsid w:val="007F42F5"/>
    <w:rsid w:val="00807083"/>
    <w:rsid w:val="00814E5B"/>
    <w:rsid w:val="00820228"/>
    <w:rsid w:val="00827785"/>
    <w:rsid w:val="00883697"/>
    <w:rsid w:val="008A52CD"/>
    <w:rsid w:val="008C1724"/>
    <w:rsid w:val="008D554C"/>
    <w:rsid w:val="008F0689"/>
    <w:rsid w:val="0091476E"/>
    <w:rsid w:val="00915A7B"/>
    <w:rsid w:val="00925A62"/>
    <w:rsid w:val="00925C1B"/>
    <w:rsid w:val="00926320"/>
    <w:rsid w:val="00934C4C"/>
    <w:rsid w:val="00937CF8"/>
    <w:rsid w:val="009412D9"/>
    <w:rsid w:val="00962E2A"/>
    <w:rsid w:val="009817C0"/>
    <w:rsid w:val="009820AE"/>
    <w:rsid w:val="0099247E"/>
    <w:rsid w:val="009A0ABB"/>
    <w:rsid w:val="009A1C70"/>
    <w:rsid w:val="009C29DA"/>
    <w:rsid w:val="009D4C99"/>
    <w:rsid w:val="009D5DB9"/>
    <w:rsid w:val="009D7239"/>
    <w:rsid w:val="00A07BE4"/>
    <w:rsid w:val="00A16AA2"/>
    <w:rsid w:val="00A2644A"/>
    <w:rsid w:val="00A274C1"/>
    <w:rsid w:val="00A40DD6"/>
    <w:rsid w:val="00A6422D"/>
    <w:rsid w:val="00A916F5"/>
    <w:rsid w:val="00A9669C"/>
    <w:rsid w:val="00A97247"/>
    <w:rsid w:val="00AA31C1"/>
    <w:rsid w:val="00AA429F"/>
    <w:rsid w:val="00AA5EEE"/>
    <w:rsid w:val="00AA75F8"/>
    <w:rsid w:val="00AB64AB"/>
    <w:rsid w:val="00AB6C11"/>
    <w:rsid w:val="00AE33EF"/>
    <w:rsid w:val="00AF02ED"/>
    <w:rsid w:val="00B062A9"/>
    <w:rsid w:val="00B06BBE"/>
    <w:rsid w:val="00B61842"/>
    <w:rsid w:val="00B72921"/>
    <w:rsid w:val="00B77F4D"/>
    <w:rsid w:val="00B82A37"/>
    <w:rsid w:val="00B8307F"/>
    <w:rsid w:val="00BA4B2A"/>
    <w:rsid w:val="00BF1961"/>
    <w:rsid w:val="00BF1D24"/>
    <w:rsid w:val="00C033AB"/>
    <w:rsid w:val="00C03B53"/>
    <w:rsid w:val="00C044F2"/>
    <w:rsid w:val="00C12C7A"/>
    <w:rsid w:val="00C34806"/>
    <w:rsid w:val="00C41EFE"/>
    <w:rsid w:val="00C5038B"/>
    <w:rsid w:val="00C52BFC"/>
    <w:rsid w:val="00C7147A"/>
    <w:rsid w:val="00C72706"/>
    <w:rsid w:val="00C80C45"/>
    <w:rsid w:val="00C81459"/>
    <w:rsid w:val="00C85762"/>
    <w:rsid w:val="00CE0D56"/>
    <w:rsid w:val="00D10A79"/>
    <w:rsid w:val="00D13FAB"/>
    <w:rsid w:val="00D42CC9"/>
    <w:rsid w:val="00D54D45"/>
    <w:rsid w:val="00D66017"/>
    <w:rsid w:val="00D66AA6"/>
    <w:rsid w:val="00D8000E"/>
    <w:rsid w:val="00D85997"/>
    <w:rsid w:val="00D9036A"/>
    <w:rsid w:val="00D96FE9"/>
    <w:rsid w:val="00DB37FF"/>
    <w:rsid w:val="00DB5C20"/>
    <w:rsid w:val="00DB7FB5"/>
    <w:rsid w:val="00DC7E59"/>
    <w:rsid w:val="00DD548E"/>
    <w:rsid w:val="00E21438"/>
    <w:rsid w:val="00E44B0F"/>
    <w:rsid w:val="00E70CD5"/>
    <w:rsid w:val="00E83421"/>
    <w:rsid w:val="00E92847"/>
    <w:rsid w:val="00EB60BA"/>
    <w:rsid w:val="00EB679A"/>
    <w:rsid w:val="00EF481D"/>
    <w:rsid w:val="00EF501F"/>
    <w:rsid w:val="00F07759"/>
    <w:rsid w:val="00F11A42"/>
    <w:rsid w:val="00F23428"/>
    <w:rsid w:val="00F30D95"/>
    <w:rsid w:val="00F54531"/>
    <w:rsid w:val="00FA49E5"/>
    <w:rsid w:val="00FB07E6"/>
    <w:rsid w:val="00FB10B0"/>
    <w:rsid w:val="00FB4BBC"/>
    <w:rsid w:val="00FC01C4"/>
    <w:rsid w:val="00FD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DEF16"/>
  <w15:chartTrackingRefBased/>
  <w15:docId w15:val="{0AE46050-5488-4991-B541-0919225A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3E8"/>
    <w:pPr>
      <w:spacing w:after="200" w:line="276" w:lineRule="auto"/>
    </w:pPr>
    <w:rPr>
      <w:lang w:val="ru-RU"/>
    </w:rPr>
  </w:style>
  <w:style w:type="paragraph" w:styleId="3">
    <w:name w:val="heading 3"/>
    <w:basedOn w:val="a"/>
    <w:link w:val="30"/>
    <w:uiPriority w:val="9"/>
    <w:qFormat/>
    <w:rsid w:val="003737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3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737E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"/>
    <w:uiPriority w:val="99"/>
    <w:unhideWhenUsed/>
    <w:rsid w:val="0037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3737EF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rvps2">
    <w:name w:val="rvps2"/>
    <w:basedOn w:val="a"/>
    <w:rsid w:val="00560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560EDA"/>
  </w:style>
  <w:style w:type="character" w:styleId="a6">
    <w:name w:val="Hyperlink"/>
    <w:basedOn w:val="a0"/>
    <w:uiPriority w:val="99"/>
    <w:semiHidden/>
    <w:unhideWhenUsed/>
    <w:rsid w:val="00560EDA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437EBF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37EBF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rsid w:val="00437EBF"/>
    <w:rPr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37EBF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437EBF"/>
    <w:rPr>
      <w:b/>
      <w:bCs/>
      <w:sz w:val="20"/>
      <w:szCs w:val="2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437E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437EBF"/>
    <w:rPr>
      <w:rFonts w:ascii="Segoe UI" w:hAnsi="Segoe UI" w:cs="Segoe UI"/>
      <w:sz w:val="18"/>
      <w:szCs w:val="18"/>
      <w:lang w:val="ru-RU"/>
    </w:rPr>
  </w:style>
  <w:style w:type="character" w:styleId="ae">
    <w:name w:val="Placeholder Text"/>
    <w:basedOn w:val="a0"/>
    <w:uiPriority w:val="99"/>
    <w:semiHidden/>
    <w:rsid w:val="004469A8"/>
    <w:rPr>
      <w:color w:val="666666"/>
    </w:rPr>
  </w:style>
  <w:style w:type="paragraph" w:styleId="af">
    <w:name w:val="Revision"/>
    <w:hidden/>
    <w:uiPriority w:val="99"/>
    <w:semiHidden/>
    <w:rsid w:val="00D85997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996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43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30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70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43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08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4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6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7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79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5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4478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05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95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61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35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510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19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76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0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89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file/imgs/93/p461905n222-5.emf" TargetMode="External"/><Relationship Id="rId13" Type="http://schemas.openxmlformats.org/officeDocument/2006/relationships/image" Target="media/image4.gif"/><Relationship Id="rId18" Type="http://schemas.openxmlformats.org/officeDocument/2006/relationships/hyperlink" Target="https://zakon.rada.gov.ua/laws/file/imgs/93/p461905n227v1-10.bmp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gif"/><Relationship Id="rId7" Type="http://schemas.openxmlformats.org/officeDocument/2006/relationships/image" Target="media/image1.gif"/><Relationship Id="rId12" Type="http://schemas.openxmlformats.org/officeDocument/2006/relationships/hyperlink" Target="https://zakon.rada.gov.ua/laws/file/imgs/93/p461905n224v1-7.bmp" TargetMode="External"/><Relationship Id="rId17" Type="http://schemas.openxmlformats.org/officeDocument/2006/relationships/image" Target="media/image6.gif"/><Relationship Id="rId25" Type="http://schemas.openxmlformats.org/officeDocument/2006/relationships/image" Target="media/image10.gif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file/imgs/93/p461905n226v1-9.bmp" TargetMode="External"/><Relationship Id="rId20" Type="http://schemas.openxmlformats.org/officeDocument/2006/relationships/hyperlink" Target="https://zakon.rada.gov.ua/laws/file/imgs/93/p461905n228v1-11.em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file/imgs/93/p461905n221v1-4.bmp" TargetMode="External"/><Relationship Id="rId11" Type="http://schemas.openxmlformats.org/officeDocument/2006/relationships/image" Target="media/image3.gif"/><Relationship Id="rId24" Type="http://schemas.openxmlformats.org/officeDocument/2006/relationships/hyperlink" Target="https://zakon.rada.gov.ua/laws/file/imgs/93/p461905n229v1-13.bmp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23" Type="http://schemas.openxmlformats.org/officeDocument/2006/relationships/image" Target="media/image9.gif"/><Relationship Id="rId10" Type="http://schemas.openxmlformats.org/officeDocument/2006/relationships/hyperlink" Target="https://zakon.rada.gov.ua/laws/file/imgs/93/p461905n223v1-6.bmp" TargetMode="External"/><Relationship Id="rId19" Type="http://schemas.openxmlformats.org/officeDocument/2006/relationships/image" Target="media/image7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https://zakon.rada.gov.ua/laws/file/imgs/93/p461905n225v1-8.bmp" TargetMode="External"/><Relationship Id="rId22" Type="http://schemas.openxmlformats.org/officeDocument/2006/relationships/hyperlink" Target="https://zakon.rada.gov.ua/laws/file/imgs/83/p461905n228v1-12.em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BDAF4-9209-477C-A571-9760B7F10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8466</Words>
  <Characters>4826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Кулажина</dc:creator>
  <cp:keywords/>
  <dc:description/>
  <cp:lastModifiedBy>AI</cp:lastModifiedBy>
  <cp:revision>4</cp:revision>
  <cp:lastPrinted>2023-07-25T10:48:00Z</cp:lastPrinted>
  <dcterms:created xsi:type="dcterms:W3CDTF">2024-09-30T09:05:00Z</dcterms:created>
  <dcterms:modified xsi:type="dcterms:W3CDTF">2024-10-02T07:42:00Z</dcterms:modified>
</cp:coreProperties>
</file>