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9DAF3" w14:textId="0DFF9670" w:rsidR="003B7689" w:rsidRDefault="008470AB" w:rsidP="006C41B0">
      <w:pPr>
        <w:ind w:left="6372" w:firstLine="708"/>
        <w:jc w:val="center"/>
        <w:rPr>
          <w:lang w:val="uk-UA"/>
        </w:rPr>
      </w:pPr>
      <w:r>
        <w:rPr>
          <w:lang w:val="uk-UA"/>
        </w:rPr>
        <w:t xml:space="preserve">        </w:t>
      </w:r>
      <w:r w:rsidR="006C41B0" w:rsidRPr="00E8753F">
        <w:rPr>
          <w:lang w:val="uk-UA"/>
        </w:rPr>
        <w:t>ПРОЄКТ</w:t>
      </w:r>
    </w:p>
    <w:p w14:paraId="49D1D516" w14:textId="77777777" w:rsidR="00755810" w:rsidRPr="00E8753F" w:rsidRDefault="00755810" w:rsidP="006C41B0">
      <w:pPr>
        <w:ind w:left="6372" w:firstLine="708"/>
        <w:jc w:val="center"/>
        <w:rPr>
          <w:lang w:val="uk-UA"/>
        </w:rPr>
      </w:pPr>
    </w:p>
    <w:p w14:paraId="02B57F3F" w14:textId="7696FCC4" w:rsidR="00410304" w:rsidRPr="00E8753F" w:rsidRDefault="00EA0ACE">
      <w:pPr>
        <w:jc w:val="center"/>
        <w:rPr>
          <w:lang w:val="uk-UA"/>
        </w:rPr>
      </w:pPr>
      <w:r w:rsidRPr="00E8753F">
        <w:rPr>
          <w:noProof/>
          <w:sz w:val="20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7DF3948" w14:textId="77777777" w:rsidR="00410304" w:rsidRPr="00E8753F" w:rsidRDefault="00410304">
      <w:pPr>
        <w:jc w:val="center"/>
        <w:rPr>
          <w:lang w:val="uk-UA"/>
        </w:rPr>
      </w:pPr>
    </w:p>
    <w:p w14:paraId="19A524C6" w14:textId="77777777" w:rsidR="00410304" w:rsidRPr="00E8753F" w:rsidRDefault="00410304">
      <w:pPr>
        <w:jc w:val="center"/>
        <w:rPr>
          <w:b/>
          <w:szCs w:val="28"/>
          <w:lang w:val="uk-UA"/>
        </w:rPr>
      </w:pPr>
      <w:r w:rsidRPr="00E8753F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E8753F" w:rsidRDefault="00410304">
      <w:pPr>
        <w:jc w:val="center"/>
        <w:rPr>
          <w:b/>
          <w:szCs w:val="28"/>
          <w:lang w:val="uk-UA"/>
        </w:rPr>
      </w:pPr>
      <w:r w:rsidRPr="00E8753F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E8753F" w:rsidRDefault="00410304">
      <w:pPr>
        <w:jc w:val="center"/>
        <w:rPr>
          <w:b/>
          <w:szCs w:val="28"/>
          <w:lang w:val="uk-UA"/>
        </w:rPr>
      </w:pPr>
      <w:r w:rsidRPr="00E8753F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E8753F" w:rsidRDefault="00410304">
      <w:pPr>
        <w:jc w:val="center"/>
        <w:rPr>
          <w:b/>
          <w:szCs w:val="28"/>
          <w:u w:val="single"/>
          <w:lang w:val="uk-UA"/>
        </w:rPr>
      </w:pPr>
      <w:r w:rsidRPr="00E8753F">
        <w:rPr>
          <w:b/>
          <w:szCs w:val="28"/>
          <w:lang w:val="uk-UA"/>
        </w:rPr>
        <w:t>(НКРЕКП)</w:t>
      </w:r>
    </w:p>
    <w:p w14:paraId="447B1116" w14:textId="77777777" w:rsidR="00410304" w:rsidRPr="00E8753F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E8753F" w:rsidRDefault="00410304">
      <w:pPr>
        <w:jc w:val="center"/>
        <w:rPr>
          <w:spacing w:val="40"/>
          <w:sz w:val="24"/>
          <w:lang w:val="uk-UA"/>
        </w:rPr>
      </w:pPr>
    </w:p>
    <w:p w14:paraId="2653746E" w14:textId="77777777" w:rsidR="00410304" w:rsidRPr="00E8753F" w:rsidRDefault="00410304">
      <w:pPr>
        <w:jc w:val="center"/>
        <w:rPr>
          <w:b/>
          <w:spacing w:val="32"/>
          <w:sz w:val="32"/>
          <w:szCs w:val="32"/>
          <w:lang w:val="uk-UA"/>
        </w:rPr>
      </w:pPr>
      <w:r w:rsidRPr="00E8753F">
        <w:rPr>
          <w:b/>
          <w:spacing w:val="32"/>
          <w:sz w:val="32"/>
          <w:szCs w:val="32"/>
          <w:lang w:val="uk-UA"/>
        </w:rPr>
        <w:t>ПОСТАНОВА</w:t>
      </w:r>
    </w:p>
    <w:p w14:paraId="6AA6675E" w14:textId="77777777" w:rsidR="00410304" w:rsidRPr="00E8753F" w:rsidRDefault="00410304">
      <w:pPr>
        <w:rPr>
          <w:sz w:val="24"/>
          <w:szCs w:val="24"/>
          <w:lang w:val="uk-UA"/>
        </w:rPr>
      </w:pPr>
      <w:r w:rsidRPr="00E8753F">
        <w:rPr>
          <w:lang w:val="uk-UA"/>
        </w:rPr>
        <w:tab/>
      </w:r>
      <w:r w:rsidRPr="00E8753F">
        <w:rPr>
          <w:lang w:val="uk-UA"/>
        </w:rPr>
        <w:tab/>
      </w:r>
      <w:r w:rsidRPr="00E8753F">
        <w:rPr>
          <w:lang w:val="uk-UA"/>
        </w:rPr>
        <w:tab/>
      </w:r>
      <w:r w:rsidRPr="00E8753F">
        <w:rPr>
          <w:lang w:val="uk-UA"/>
        </w:rPr>
        <w:tab/>
      </w:r>
      <w:r w:rsidRPr="00E8753F">
        <w:rPr>
          <w:lang w:val="uk-UA"/>
        </w:rPr>
        <w:tab/>
      </w:r>
    </w:p>
    <w:p w14:paraId="0CD85EF6" w14:textId="77777777" w:rsidR="00410304" w:rsidRPr="00E8753F" w:rsidRDefault="00410304">
      <w:pPr>
        <w:jc w:val="center"/>
        <w:rPr>
          <w:spacing w:val="40"/>
          <w:sz w:val="24"/>
          <w:lang w:val="uk-UA"/>
        </w:rPr>
      </w:pPr>
    </w:p>
    <w:p w14:paraId="63BFC6BA" w14:textId="77777777" w:rsidR="00D95A5F" w:rsidRPr="00E8753F" w:rsidRDefault="00D95A5F" w:rsidP="00D95A5F">
      <w:pPr>
        <w:jc w:val="center"/>
        <w:rPr>
          <w:rFonts w:eastAsia="Calibri"/>
          <w:szCs w:val="28"/>
          <w:lang w:val="uk-UA"/>
        </w:rPr>
      </w:pPr>
      <w:r w:rsidRPr="00E8753F">
        <w:rPr>
          <w:rFonts w:eastAsia="Calibri"/>
          <w:szCs w:val="28"/>
          <w:lang w:val="uk-UA"/>
        </w:rPr>
        <w:t xml:space="preserve">_____________________                                   </w:t>
      </w:r>
      <w:r w:rsidRPr="00E8753F">
        <w:rPr>
          <w:rFonts w:eastAsia="Calibri"/>
          <w:szCs w:val="28"/>
        </w:rPr>
        <w:t xml:space="preserve"> </w:t>
      </w:r>
      <w:r w:rsidRPr="00E8753F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E8753F" w:rsidRDefault="00D95A5F" w:rsidP="00D95A5F">
      <w:pPr>
        <w:jc w:val="center"/>
        <w:rPr>
          <w:rFonts w:eastAsia="Calibri"/>
          <w:sz w:val="27"/>
          <w:szCs w:val="27"/>
          <w:lang w:val="uk-UA"/>
        </w:rPr>
      </w:pPr>
      <w:r w:rsidRPr="00E8753F">
        <w:rPr>
          <w:rFonts w:eastAsia="Calibri"/>
          <w:sz w:val="27"/>
          <w:szCs w:val="27"/>
          <w:lang w:val="uk-UA"/>
        </w:rPr>
        <w:t>Київ</w:t>
      </w:r>
    </w:p>
    <w:p w14:paraId="26D0454A" w14:textId="77777777" w:rsidR="00863779" w:rsidRPr="00E8753F" w:rsidRDefault="00863779">
      <w:pPr>
        <w:jc w:val="center"/>
        <w:rPr>
          <w:szCs w:val="28"/>
          <w:lang w:val="uk-UA"/>
        </w:rPr>
      </w:pPr>
    </w:p>
    <w:tbl>
      <w:tblPr>
        <w:tblW w:w="4819" w:type="dxa"/>
        <w:tblLayout w:type="fixed"/>
        <w:tblLook w:val="0000" w:firstRow="0" w:lastRow="0" w:firstColumn="0" w:lastColumn="0" w:noHBand="0" w:noVBand="0"/>
      </w:tblPr>
      <w:tblGrid>
        <w:gridCol w:w="4536"/>
        <w:gridCol w:w="283"/>
      </w:tblGrid>
      <w:tr w:rsidR="00EE414E" w:rsidRPr="00E8753F" w14:paraId="139E4324" w14:textId="77777777" w:rsidTr="00D95A5F">
        <w:trPr>
          <w:trHeight w:val="609"/>
        </w:trPr>
        <w:tc>
          <w:tcPr>
            <w:tcW w:w="4536" w:type="dxa"/>
          </w:tcPr>
          <w:p w14:paraId="1EFEF8CF" w14:textId="28E317F6" w:rsidR="00DA7636" w:rsidRPr="00E8753F" w:rsidRDefault="00ED408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E8753F">
              <w:rPr>
                <w:szCs w:val="28"/>
              </w:rPr>
              <w:t xml:space="preserve">Про затвердження Змін до деяких </w:t>
            </w:r>
            <w:r w:rsidR="000F22CA" w:rsidRPr="00E8753F">
              <w:rPr>
                <w:szCs w:val="28"/>
              </w:rPr>
              <w:t>постанов НКРЕКП</w:t>
            </w:r>
          </w:p>
        </w:tc>
        <w:tc>
          <w:tcPr>
            <w:tcW w:w="283" w:type="dxa"/>
          </w:tcPr>
          <w:p w14:paraId="369BD745" w14:textId="77777777" w:rsidR="00DA7636" w:rsidRPr="00E8753F" w:rsidRDefault="00DA7636">
            <w:pPr>
              <w:pStyle w:val="2"/>
              <w:ind w:left="-108"/>
            </w:pPr>
          </w:p>
        </w:tc>
      </w:tr>
    </w:tbl>
    <w:p w14:paraId="39828416" w14:textId="77777777" w:rsidR="00DA7636" w:rsidRPr="00E8753F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60AB918D" w:rsidR="00240EDA" w:rsidRPr="00E8753F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E8753F">
        <w:rPr>
          <w:szCs w:val="28"/>
          <w:shd w:val="clear" w:color="auto" w:fill="FFFFFF"/>
          <w:lang w:val="uk-UA"/>
        </w:rPr>
        <w:t xml:space="preserve">Відповідно до </w:t>
      </w:r>
      <w:r w:rsidR="00BB22B9">
        <w:rPr>
          <w:szCs w:val="28"/>
          <w:shd w:val="clear" w:color="auto" w:fill="FFFFFF"/>
          <w:lang w:val="uk-UA"/>
        </w:rPr>
        <w:t>З</w:t>
      </w:r>
      <w:r w:rsidRPr="00E8753F">
        <w:rPr>
          <w:szCs w:val="28"/>
          <w:shd w:val="clear" w:color="auto" w:fill="FFFFFF"/>
          <w:lang w:val="uk-UA"/>
        </w:rPr>
        <w:t>акон</w:t>
      </w:r>
      <w:r w:rsidR="00BB22B9">
        <w:rPr>
          <w:szCs w:val="28"/>
          <w:shd w:val="clear" w:color="auto" w:fill="FFFFFF"/>
          <w:lang w:val="uk-UA"/>
        </w:rPr>
        <w:t>у</w:t>
      </w:r>
      <w:r w:rsidRPr="00E8753F">
        <w:rPr>
          <w:szCs w:val="28"/>
          <w:shd w:val="clear" w:color="auto" w:fill="FFFFFF"/>
          <w:lang w:val="uk-UA"/>
        </w:rPr>
        <w:t xml:space="preserve"> України «Про Національну комісію, що здійснює державне регулювання у сферах енергетики та комунальних послуг»</w:t>
      </w:r>
      <w:r w:rsidR="00BB22B9">
        <w:rPr>
          <w:szCs w:val="28"/>
          <w:shd w:val="clear" w:color="auto" w:fill="FFFFFF"/>
          <w:lang w:val="uk-UA"/>
        </w:rPr>
        <w:t xml:space="preserve"> </w:t>
      </w:r>
      <w:r w:rsidRPr="00E8753F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51E94F68" w14:textId="77777777" w:rsidR="004649AA" w:rsidRPr="00E8753F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E8753F" w:rsidRDefault="00DA7636" w:rsidP="00DA7636">
      <w:pPr>
        <w:jc w:val="both"/>
        <w:rPr>
          <w:b/>
          <w:szCs w:val="28"/>
          <w:lang w:val="uk-UA"/>
        </w:rPr>
      </w:pPr>
      <w:r w:rsidRPr="00E8753F">
        <w:rPr>
          <w:b/>
          <w:szCs w:val="28"/>
          <w:lang w:val="uk-UA"/>
        </w:rPr>
        <w:t>ПОСТАНОВЛЯЄ:</w:t>
      </w:r>
    </w:p>
    <w:p w14:paraId="2F9A06BC" w14:textId="77777777" w:rsidR="00DA7636" w:rsidRPr="00E8753F" w:rsidRDefault="00DA7636" w:rsidP="00DA7636">
      <w:pPr>
        <w:jc w:val="both"/>
        <w:rPr>
          <w:szCs w:val="28"/>
          <w:lang w:val="uk-UA"/>
        </w:rPr>
      </w:pPr>
    </w:p>
    <w:p w14:paraId="43011FE8" w14:textId="35E42016" w:rsidR="00BC2272" w:rsidRPr="00E8753F" w:rsidRDefault="00BC2272" w:rsidP="00A70592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1" w:name="_Hlk46905202"/>
      <w:r w:rsidRPr="00E8753F">
        <w:rPr>
          <w:szCs w:val="28"/>
          <w:shd w:val="clear" w:color="auto" w:fill="FFFFFF"/>
          <w:lang w:val="uk-UA"/>
        </w:rPr>
        <w:t xml:space="preserve">Затвердити </w:t>
      </w:r>
      <w:r w:rsidR="006C7932" w:rsidRPr="00E8753F">
        <w:rPr>
          <w:szCs w:val="28"/>
          <w:shd w:val="clear" w:color="auto" w:fill="FFFFFF"/>
          <w:lang w:val="uk-UA"/>
        </w:rPr>
        <w:t xml:space="preserve">Зміни </w:t>
      </w:r>
      <w:r w:rsidRPr="00E8753F">
        <w:rPr>
          <w:szCs w:val="28"/>
          <w:shd w:val="clear" w:color="auto" w:fill="FFFFFF"/>
          <w:lang w:val="uk-UA"/>
        </w:rPr>
        <w:t xml:space="preserve">до деяких </w:t>
      </w:r>
      <w:r w:rsidR="000F22CA" w:rsidRPr="00E8753F">
        <w:rPr>
          <w:szCs w:val="28"/>
          <w:shd w:val="clear" w:color="auto" w:fill="FFFFFF"/>
          <w:lang w:val="uk-UA"/>
        </w:rPr>
        <w:t xml:space="preserve">постанов Національної комісії, що здійснює державне регулювання у сферах енергетики та комунальних послуг                             </w:t>
      </w:r>
      <w:r w:rsidR="001D4BB8" w:rsidRPr="00E8753F">
        <w:rPr>
          <w:szCs w:val="28"/>
          <w:shd w:val="clear" w:color="auto" w:fill="FFFFFF"/>
          <w:lang w:val="uk-UA"/>
        </w:rPr>
        <w:t xml:space="preserve"> (далі – Зміни)</w:t>
      </w:r>
      <w:r w:rsidRPr="00E8753F">
        <w:rPr>
          <w:szCs w:val="28"/>
          <w:shd w:val="clear" w:color="auto" w:fill="FFFFFF"/>
          <w:lang w:val="uk-UA"/>
        </w:rPr>
        <w:t>, що додаються.</w:t>
      </w:r>
    </w:p>
    <w:p w14:paraId="0FED99FB" w14:textId="77777777" w:rsidR="00A70592" w:rsidRPr="00E8753F" w:rsidRDefault="00A70592" w:rsidP="00A70592">
      <w:pPr>
        <w:shd w:val="clear" w:color="auto" w:fill="FFFFFF"/>
        <w:tabs>
          <w:tab w:val="left" w:pos="993"/>
        </w:tabs>
        <w:ind w:firstLine="567"/>
        <w:jc w:val="both"/>
        <w:rPr>
          <w:szCs w:val="28"/>
          <w:shd w:val="clear" w:color="auto" w:fill="FFFFFF"/>
          <w:lang w:val="uk-UA"/>
        </w:rPr>
      </w:pPr>
    </w:p>
    <w:p w14:paraId="35DE84C1" w14:textId="77777777" w:rsidR="00A55B80" w:rsidRPr="00A55B80" w:rsidRDefault="00BC2272" w:rsidP="00A55B80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E8753F">
        <w:rPr>
          <w:lang w:val="uk-UA"/>
        </w:rPr>
        <w:t xml:space="preserve">Ця постанова набирає чинності </w:t>
      </w:r>
      <w:r w:rsidRPr="00E8753F">
        <w:rPr>
          <w:szCs w:val="28"/>
          <w:lang w:val="uk-UA"/>
        </w:rPr>
        <w:t>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 w:rsidRPr="00E8753F">
        <w:rPr>
          <w:szCs w:val="28"/>
          <w:lang w:val="uk-UA"/>
        </w:rPr>
        <w:t>.</w:t>
      </w:r>
    </w:p>
    <w:p w14:paraId="4A7FFDD9" w14:textId="77777777" w:rsidR="00CC1965" w:rsidRDefault="00CC1965" w:rsidP="00A55B80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</w:rPr>
      </w:pPr>
    </w:p>
    <w:p w14:paraId="78E1A05D" w14:textId="77777777" w:rsidR="00CC1965" w:rsidRDefault="00CC1965" w:rsidP="00A55B80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</w:rPr>
      </w:pPr>
    </w:p>
    <w:p w14:paraId="55F8109B" w14:textId="6F3F76A9" w:rsidR="00A55B80" w:rsidRDefault="00A55B80" w:rsidP="004949DF">
      <w:pPr>
        <w:pStyle w:val="ab"/>
        <w:shd w:val="clear" w:color="auto" w:fill="FFFFFF"/>
        <w:ind w:left="567" w:hanging="567"/>
        <w:jc w:val="both"/>
        <w:rPr>
          <w:szCs w:val="28"/>
        </w:rPr>
      </w:pPr>
      <w:r w:rsidRPr="00A55B80">
        <w:rPr>
          <w:szCs w:val="28"/>
        </w:rPr>
        <w:t xml:space="preserve">Голова НКРЕКП                                                      </w:t>
      </w:r>
      <w:r w:rsidRPr="00A55B80">
        <w:rPr>
          <w:szCs w:val="28"/>
        </w:rPr>
        <w:tab/>
      </w:r>
      <w:r w:rsidR="00C24830">
        <w:rPr>
          <w:szCs w:val="28"/>
          <w:lang w:val="uk-UA"/>
        </w:rPr>
        <w:t xml:space="preserve">           </w:t>
      </w:r>
      <w:r w:rsidRPr="00A55B80">
        <w:rPr>
          <w:szCs w:val="28"/>
        </w:rPr>
        <w:t xml:space="preserve"> </w:t>
      </w:r>
      <w:proofErr w:type="spellStart"/>
      <w:r w:rsidRPr="00A55B80">
        <w:rPr>
          <w:szCs w:val="28"/>
        </w:rPr>
        <w:t>Юрій</w:t>
      </w:r>
      <w:proofErr w:type="spellEnd"/>
      <w:r w:rsidRPr="00A55B80">
        <w:rPr>
          <w:szCs w:val="28"/>
        </w:rPr>
        <w:t xml:space="preserve"> ВЛАСЕНКО</w:t>
      </w:r>
    </w:p>
    <w:p w14:paraId="76DEA495" w14:textId="77777777" w:rsidR="00A55B80" w:rsidRDefault="00A55B80" w:rsidP="00A55B80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  <w:sectPr w:rsidR="00A55B80" w:rsidSect="00A55B80">
          <w:headerReference w:type="default" r:id="rId9"/>
          <w:headerReference w:type="first" r:id="rId10"/>
          <w:pgSz w:w="11907" w:h="16840" w:code="9"/>
          <w:pgMar w:top="1134" w:right="567" w:bottom="1701" w:left="1701" w:header="709" w:footer="709" w:gutter="0"/>
          <w:pgNumType w:start="1"/>
          <w:cols w:space="720"/>
          <w:titlePg/>
          <w:docGrid w:linePitch="381"/>
        </w:sectPr>
      </w:pPr>
    </w:p>
    <w:p w14:paraId="3CAD0569" w14:textId="77777777" w:rsidR="00A55B80" w:rsidRPr="00E8753F" w:rsidRDefault="00A55B80" w:rsidP="00A55B80">
      <w:pPr>
        <w:pStyle w:val="ad"/>
        <w:tabs>
          <w:tab w:val="left" w:pos="993"/>
        </w:tabs>
        <w:ind w:left="5529" w:firstLine="0"/>
        <w:rPr>
          <w:szCs w:val="28"/>
        </w:rPr>
      </w:pPr>
      <w:r w:rsidRPr="00E8753F">
        <w:rPr>
          <w:szCs w:val="28"/>
        </w:rPr>
        <w:lastRenderedPageBreak/>
        <w:t>ЗАТВЕРДЖЕНО</w:t>
      </w:r>
    </w:p>
    <w:p w14:paraId="54B5535A" w14:textId="07C70967" w:rsidR="00A55B80" w:rsidRPr="00E8753F" w:rsidRDefault="00A55B80" w:rsidP="00A55B80">
      <w:pPr>
        <w:pStyle w:val="ad"/>
        <w:tabs>
          <w:tab w:val="left" w:pos="993"/>
          <w:tab w:val="left" w:pos="6120"/>
        </w:tabs>
        <w:ind w:left="5529" w:firstLine="0"/>
        <w:rPr>
          <w:szCs w:val="28"/>
        </w:rPr>
      </w:pPr>
      <w:r w:rsidRPr="00E8753F">
        <w:rPr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4B4B851A" w14:textId="77777777" w:rsidR="00A55B80" w:rsidRPr="00E8753F" w:rsidRDefault="00A55B80" w:rsidP="00A55B80">
      <w:pPr>
        <w:pStyle w:val="ad"/>
        <w:tabs>
          <w:tab w:val="left" w:pos="993"/>
        </w:tabs>
        <w:ind w:left="5529" w:firstLine="0"/>
        <w:rPr>
          <w:szCs w:val="28"/>
          <w:lang w:val="ru-RU"/>
        </w:rPr>
      </w:pPr>
      <w:r w:rsidRPr="00E8753F">
        <w:rPr>
          <w:szCs w:val="28"/>
        </w:rPr>
        <w:t xml:space="preserve"> </w:t>
      </w:r>
      <w:r w:rsidRPr="00E8753F">
        <w:rPr>
          <w:szCs w:val="28"/>
          <w:lang w:val="ru-RU"/>
        </w:rPr>
        <w:t>_</w:t>
      </w:r>
      <w:r w:rsidRPr="00E8753F">
        <w:rPr>
          <w:szCs w:val="28"/>
        </w:rPr>
        <w:t>_____________№_____</w:t>
      </w:r>
    </w:p>
    <w:p w14:paraId="29833D24" w14:textId="77777777" w:rsidR="00BC2272" w:rsidRPr="00E8753F" w:rsidRDefault="00BC2272" w:rsidP="00705050">
      <w:pPr>
        <w:pStyle w:val="ad"/>
        <w:tabs>
          <w:tab w:val="left" w:pos="993"/>
        </w:tabs>
        <w:ind w:firstLine="0"/>
        <w:rPr>
          <w:szCs w:val="28"/>
          <w:lang w:val="ru-RU"/>
        </w:rPr>
      </w:pPr>
    </w:p>
    <w:p w14:paraId="2ACD5EA1" w14:textId="77777777" w:rsidR="00BC2272" w:rsidRPr="00E8753F" w:rsidRDefault="00BC2272" w:rsidP="00705050">
      <w:pPr>
        <w:pStyle w:val="ad"/>
        <w:tabs>
          <w:tab w:val="left" w:pos="993"/>
        </w:tabs>
        <w:ind w:firstLine="0"/>
        <w:rPr>
          <w:b/>
          <w:szCs w:val="28"/>
        </w:rPr>
      </w:pPr>
    </w:p>
    <w:p w14:paraId="23B40415" w14:textId="77777777" w:rsidR="00BC2272" w:rsidRPr="00E8753F" w:rsidRDefault="00BC2272" w:rsidP="00BC2272">
      <w:pPr>
        <w:pStyle w:val="ad"/>
        <w:tabs>
          <w:tab w:val="left" w:pos="993"/>
        </w:tabs>
        <w:ind w:firstLine="0"/>
        <w:jc w:val="center"/>
        <w:rPr>
          <w:szCs w:val="28"/>
        </w:rPr>
      </w:pPr>
      <w:r w:rsidRPr="00E8753F">
        <w:rPr>
          <w:b/>
          <w:szCs w:val="28"/>
        </w:rPr>
        <w:t>Зміни</w:t>
      </w:r>
    </w:p>
    <w:p w14:paraId="4C0D58F1" w14:textId="656C8506" w:rsidR="00BC2272" w:rsidRPr="00E8753F" w:rsidRDefault="00BC2272" w:rsidP="00BC2272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  <w:r w:rsidRPr="00E8753F">
        <w:rPr>
          <w:b/>
          <w:szCs w:val="28"/>
        </w:rPr>
        <w:t xml:space="preserve">до деяких </w:t>
      </w:r>
      <w:r w:rsidR="000F22CA" w:rsidRPr="00E8753F">
        <w:rPr>
          <w:b/>
          <w:szCs w:val="28"/>
        </w:rPr>
        <w:t xml:space="preserve">постанов Національної комісії, що здійснює державне регулювання у сферах енергетики та комунальних послуг                              </w:t>
      </w:r>
    </w:p>
    <w:p w14:paraId="7C521664" w14:textId="77777777" w:rsidR="00A40598" w:rsidRPr="00E8753F" w:rsidRDefault="00A40598" w:rsidP="00A40598">
      <w:pPr>
        <w:shd w:val="clear" w:color="auto" w:fill="FFFFFF"/>
        <w:tabs>
          <w:tab w:val="left" w:pos="318"/>
        </w:tabs>
        <w:textAlignment w:val="baseline"/>
        <w:rPr>
          <w:rFonts w:eastAsia="Calibri"/>
          <w:b/>
          <w:bCs/>
          <w:szCs w:val="28"/>
          <w:lang w:val="uk-UA" w:eastAsia="uk-UA"/>
        </w:rPr>
      </w:pPr>
      <w:bookmarkStart w:id="2" w:name="_Hlk146534746"/>
    </w:p>
    <w:p w14:paraId="4C686E3D" w14:textId="003E97CC" w:rsidR="00871927" w:rsidRPr="00E8753F" w:rsidRDefault="00871927" w:rsidP="00A40598">
      <w:pPr>
        <w:shd w:val="clear" w:color="auto" w:fill="FFFFFF"/>
        <w:tabs>
          <w:tab w:val="left" w:pos="318"/>
        </w:tabs>
        <w:textAlignment w:val="baseline"/>
        <w:rPr>
          <w:sz w:val="24"/>
          <w:szCs w:val="24"/>
          <w:lang w:val="uk-UA"/>
        </w:rPr>
      </w:pPr>
      <w:r w:rsidRPr="00E8753F">
        <w:rPr>
          <w:sz w:val="24"/>
          <w:szCs w:val="24"/>
          <w:lang w:val="uk-UA"/>
        </w:rPr>
        <w:t xml:space="preserve">                                 </w:t>
      </w:r>
    </w:p>
    <w:p w14:paraId="6C276503" w14:textId="098C9A3D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E8753F">
        <w:rPr>
          <w:szCs w:val="28"/>
        </w:rPr>
        <w:t>1</w:t>
      </w:r>
      <w:r w:rsidRPr="00E8753F">
        <w:rPr>
          <w:szCs w:val="28"/>
          <w:lang w:val="uk-UA"/>
        </w:rPr>
        <w:t xml:space="preserve">. </w:t>
      </w:r>
      <w:r w:rsidRPr="00E8753F">
        <w:rPr>
          <w:bCs/>
          <w:szCs w:val="28"/>
          <w:lang w:val="uk-UA"/>
        </w:rPr>
        <w:t>У главі 1 Ліцензійних умов провадження господарської діяльності</w:t>
      </w:r>
      <w:r w:rsidRPr="00E8753F">
        <w:rPr>
          <w:szCs w:val="28"/>
          <w:lang w:val="uk-UA"/>
        </w:rPr>
        <w:t xml:space="preserve"> з постачання природного газу, затверджених постановою Національної комісії, що здійснює державне регулювання </w:t>
      </w:r>
      <w:proofErr w:type="gramStart"/>
      <w:r w:rsidRPr="00E8753F">
        <w:rPr>
          <w:szCs w:val="28"/>
          <w:lang w:val="uk-UA"/>
        </w:rPr>
        <w:t>у сферах</w:t>
      </w:r>
      <w:proofErr w:type="gramEnd"/>
      <w:r w:rsidRPr="00E8753F">
        <w:rPr>
          <w:szCs w:val="28"/>
          <w:lang w:val="uk-UA"/>
        </w:rPr>
        <w:t xml:space="preserve"> енергетики та комунальних послуг, від 16 лютого 2017 року № 201:</w:t>
      </w:r>
    </w:p>
    <w:p w14:paraId="3E5B183B" w14:textId="31EC7B6C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абзац четвертий пункту 1.3 доповнити знаками та словами «(далі – Порядок ліцензування)»; </w:t>
      </w:r>
    </w:p>
    <w:p w14:paraId="47BD57E4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після пункту 1.3 доповнити новим пунктом 1.4 такого змісту:</w:t>
      </w:r>
    </w:p>
    <w:p w14:paraId="45E1921B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«1.4. Ліцензування господарської діяльності з постачання природного газу здійснюється відповідно до Порядку ліцензування. </w:t>
      </w:r>
    </w:p>
    <w:p w14:paraId="79AEEC33" w14:textId="7C2EBC68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період дії воєнного стану в Україні та протягом 30 робочих днів після його закінчення або скасування ліцензування діяльності з постачання природного газу здійснюється  з урахуванням таких особливостей:</w:t>
      </w:r>
    </w:p>
    <w:p w14:paraId="46A84AED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414F3D3D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1) заяви про отримання ліцензії не підлягають розгляду</w:t>
      </w:r>
      <w:r w:rsidRPr="00E8753F">
        <w:rPr>
          <w:lang w:val="uk-UA"/>
        </w:rPr>
        <w:t xml:space="preserve"> </w:t>
      </w:r>
      <w:r w:rsidRPr="00E8753F">
        <w:rPr>
          <w:bCs/>
          <w:szCs w:val="28"/>
          <w:lang w:val="uk-UA"/>
        </w:rPr>
        <w:t>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 № 309 (далі – Перелік територій);</w:t>
      </w:r>
    </w:p>
    <w:p w14:paraId="17ED3085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016B0C40" w14:textId="7F1A0A08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2) заяви про анулювання ліцензій не підлягають розгляду та повертаються ліцензіату, якщо вони подані суб’єктами господарювання, місцезнаходженням яких є області України, де відповідно до Переліку територій наявні території </w:t>
      </w:r>
      <w:r w:rsidRPr="00B13DCF">
        <w:rPr>
          <w:bCs/>
          <w:szCs w:val="28"/>
          <w:lang w:val="uk-UA"/>
        </w:rPr>
        <w:t>активних бойових дій та території тимчасово окуповані Російською Федерацією</w:t>
      </w:r>
      <w:r w:rsidR="00171F38" w:rsidRPr="00B13DCF">
        <w:rPr>
          <w:bCs/>
          <w:szCs w:val="28"/>
          <w:lang w:val="uk-UA"/>
        </w:rPr>
        <w:t>.</w:t>
      </w:r>
      <w:r w:rsidRPr="00B13DCF">
        <w:rPr>
          <w:bCs/>
          <w:szCs w:val="28"/>
          <w:lang w:val="uk-UA"/>
        </w:rPr>
        <w:t>»</w:t>
      </w:r>
      <w:r w:rsidR="006456E4" w:rsidRPr="00B13DCF">
        <w:rPr>
          <w:bCs/>
          <w:szCs w:val="28"/>
          <w:lang w:val="uk-UA"/>
        </w:rPr>
        <w:t>.</w:t>
      </w:r>
    </w:p>
    <w:p w14:paraId="02C1B3FE" w14:textId="287BFE1B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зв’язку з цим пункти  1.4 – 1.8 вважати відповідно пунктами 1.</w:t>
      </w:r>
      <w:r w:rsidR="00F65579">
        <w:rPr>
          <w:bCs/>
          <w:szCs w:val="28"/>
          <w:lang w:val="uk-UA"/>
        </w:rPr>
        <w:t>5</w:t>
      </w:r>
      <w:r w:rsidRPr="00E8753F">
        <w:rPr>
          <w:bCs/>
          <w:szCs w:val="28"/>
          <w:lang w:val="uk-UA"/>
        </w:rPr>
        <w:t xml:space="preserve"> – 1.9.</w:t>
      </w:r>
    </w:p>
    <w:p w14:paraId="050FC9C4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4D951A86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0D06D82F" w14:textId="1FBEA0B8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lastRenderedPageBreak/>
        <w:t>2. У главі 1 Ліцензійних умов провадження господарської діяльності з виробництва електричної енергії, затверджених постановою Національної комісії, що здійснює державне регулювання у сферах енергетики та комунальних послуг, від 27 грудня 2017 року № 1467:</w:t>
      </w:r>
    </w:p>
    <w:p w14:paraId="5AA049E1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абзац одинадцятий пункту 1.4 після цифр «548» доповнити знаками та словами «(далі – Порядок ліцензування)»; </w:t>
      </w:r>
    </w:p>
    <w:p w14:paraId="523F2F87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після пункту 1.4 доповнити новим пунктом 1.5 такого змісту:</w:t>
      </w:r>
    </w:p>
    <w:p w14:paraId="5D0F325F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«1.5. Ліцензування господарської діяльності з виробництва електричної енергії здійснюється відповідно до Порядку ліцензування. </w:t>
      </w:r>
    </w:p>
    <w:p w14:paraId="2B0C48AB" w14:textId="461B63FD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період дії воєнного стану в Україні та протягом 30 робочих днів після його закінчення або скасування ліцензування діяльності з виробництва електричної енергії здійснюється  з урахуванням таких особливостей:</w:t>
      </w:r>
    </w:p>
    <w:p w14:paraId="114CA004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43A36F67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1) заяви про отримання ліцензії або розгляд повідомлень про зміну загальної встановленої потужності об’єктів електроенергетики не підлягають розгляду та повертаються здобувачу ліцензії (ліцензіату), якщо вони подані суб’єктами господарювання, місцезнаходженням яких є територія активних бойових дій або тимчасово окупована територія відповідно до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 № 309 (далі – Перелік територій);</w:t>
      </w:r>
    </w:p>
    <w:p w14:paraId="6FF593DD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3B367022" w14:textId="24FFD9FB" w:rsidR="00E8753F" w:rsidRPr="00B13DC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2) заяви про анулювання ліцензій не підлягають розгляду та повертаються ліцензіату, якщо вони подані суб’єктами господарювання, місцезнаходженням яких є області України, де відповідно до Переліку територій наявні території </w:t>
      </w:r>
      <w:r w:rsidRPr="00B13DCF">
        <w:rPr>
          <w:bCs/>
          <w:szCs w:val="28"/>
          <w:lang w:val="uk-UA"/>
        </w:rPr>
        <w:t>активних бойових дій та території тимчасово окуповані Російською Федерацією</w:t>
      </w:r>
      <w:r w:rsidR="00484F5D" w:rsidRPr="00B13DCF">
        <w:rPr>
          <w:bCs/>
          <w:szCs w:val="28"/>
          <w:lang w:val="uk-UA"/>
        </w:rPr>
        <w:t>.</w:t>
      </w:r>
      <w:r w:rsidRPr="00B13DCF">
        <w:rPr>
          <w:bCs/>
          <w:szCs w:val="28"/>
          <w:lang w:val="uk-UA"/>
        </w:rPr>
        <w:t>»</w:t>
      </w:r>
      <w:r w:rsidR="006456E4" w:rsidRPr="00B13DCF">
        <w:rPr>
          <w:bCs/>
          <w:szCs w:val="28"/>
          <w:lang w:val="uk-UA"/>
        </w:rPr>
        <w:t>.</w:t>
      </w:r>
    </w:p>
    <w:p w14:paraId="3278A317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зв’язку з цим пункти 1.5 – 1.10 вважати відповідно пунктами 1.6 – 1.11.</w:t>
      </w:r>
    </w:p>
    <w:p w14:paraId="591581EB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29260909" w14:textId="7EC168BD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3. У главі 1 Ліцензійних умов провадження господарської діяльності з </w:t>
      </w:r>
      <w:bookmarkStart w:id="3" w:name="_Hlk177378804"/>
      <w:r w:rsidRPr="00E8753F">
        <w:rPr>
          <w:bCs/>
          <w:szCs w:val="28"/>
          <w:lang w:val="uk-UA"/>
        </w:rPr>
        <w:t>перепродажу електричної енергії (трейдерської діяльності)</w:t>
      </w:r>
      <w:bookmarkEnd w:id="3"/>
      <w:r w:rsidRPr="00E8753F">
        <w:rPr>
          <w:bCs/>
          <w:szCs w:val="28"/>
          <w:lang w:val="uk-UA"/>
        </w:rPr>
        <w:t>, затверджених постановою Національної комісії, що здійснює державне регулювання у сферах енергетики та комунальних послуг, від 27 грудня 2017 року № 1468:</w:t>
      </w:r>
    </w:p>
    <w:p w14:paraId="333570FE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абзац п’ятий пункту 1.4 після цифр «548» доповнити знаками та словами «(далі – Порядок ліцензування)»; </w:t>
      </w:r>
    </w:p>
    <w:p w14:paraId="243C8822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після пункту 1.4 доповнити новим пунктом 1.5 такого змісту:</w:t>
      </w:r>
    </w:p>
    <w:p w14:paraId="413F3B3F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«1.5. Ліцензування господарської діяльності з перепродажу електричної енергії (трейдерської діяльності) здійснюється відповідно до Порядку ліцензування. </w:t>
      </w:r>
    </w:p>
    <w:p w14:paraId="31D0B0E3" w14:textId="6F61F0AD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У період дії воєнного стану в Україні та протягом 30 робочих днів після його закінчення або скасування ліцензування діяльності з перепродажу </w:t>
      </w:r>
      <w:r w:rsidRPr="00E8753F">
        <w:rPr>
          <w:bCs/>
          <w:szCs w:val="28"/>
          <w:lang w:val="uk-UA"/>
        </w:rPr>
        <w:lastRenderedPageBreak/>
        <w:t>електричної енергії (трейдерської діяльності) здійснюється  з урахуванням таких особливостей:</w:t>
      </w:r>
    </w:p>
    <w:p w14:paraId="2E1EB581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6B25E2D0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1) заяви про отримання ліцензії не підлягають розгляду</w:t>
      </w:r>
      <w:r w:rsidRPr="00E8753F">
        <w:rPr>
          <w:lang w:val="uk-UA"/>
        </w:rPr>
        <w:t xml:space="preserve"> </w:t>
      </w:r>
      <w:r w:rsidRPr="00E8753F">
        <w:rPr>
          <w:bCs/>
          <w:szCs w:val="28"/>
          <w:lang w:val="uk-UA"/>
        </w:rPr>
        <w:t>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 № 309 (далі – Перелік територій);</w:t>
      </w:r>
    </w:p>
    <w:p w14:paraId="277B344F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3C928029" w14:textId="2E958A8E" w:rsidR="00E8753F" w:rsidRPr="00B13DC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2) заяви про анулювання ліцензій не підлягають розгляду та повертаються ліцензіату, якщо вони подані суб’єктами господарювання, місцезнаходженням яких є </w:t>
      </w:r>
      <w:r w:rsidRPr="00B13DCF">
        <w:rPr>
          <w:bCs/>
          <w:szCs w:val="28"/>
          <w:lang w:val="uk-UA"/>
        </w:rPr>
        <w:t>області України, де відповідно до Переліку територій наявні території активних бойових дій та території тимчасово окуповані Російською Федерацією</w:t>
      </w:r>
      <w:r w:rsidR="00484F5D" w:rsidRPr="00B13DCF">
        <w:rPr>
          <w:bCs/>
          <w:szCs w:val="28"/>
          <w:lang w:val="uk-UA"/>
        </w:rPr>
        <w:t>.</w:t>
      </w:r>
      <w:r w:rsidRPr="00B13DCF">
        <w:rPr>
          <w:bCs/>
          <w:szCs w:val="28"/>
          <w:lang w:val="uk-UA"/>
        </w:rPr>
        <w:t>»</w:t>
      </w:r>
      <w:r w:rsidR="006456E4" w:rsidRPr="00B13DCF">
        <w:rPr>
          <w:bCs/>
          <w:szCs w:val="28"/>
          <w:lang w:val="uk-UA"/>
        </w:rPr>
        <w:t>.</w:t>
      </w:r>
    </w:p>
    <w:p w14:paraId="5B4B66FB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зв’язку з цим пункти  1.5 – 1.10 вважати відповідно пунктами 1.6 – 1.11.</w:t>
      </w:r>
    </w:p>
    <w:p w14:paraId="0D68EADD" w14:textId="77777777" w:rsidR="00E8753F" w:rsidRPr="00E8753F" w:rsidRDefault="00E8753F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379073D6" w14:textId="01EB6E74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</w:rPr>
        <w:t>4</w:t>
      </w:r>
      <w:r w:rsidRPr="00E8753F">
        <w:rPr>
          <w:bCs/>
          <w:szCs w:val="28"/>
          <w:lang w:val="uk-UA"/>
        </w:rPr>
        <w:t xml:space="preserve">. У главі 1 Ліцензійних умов провадження господарської діяльності з постачання електричної енергії споживачу, затверджених постановою Національної комісії, що здійснює державне регулювання </w:t>
      </w:r>
      <w:proofErr w:type="gramStart"/>
      <w:r w:rsidRPr="00E8753F">
        <w:rPr>
          <w:bCs/>
          <w:szCs w:val="28"/>
          <w:lang w:val="uk-UA"/>
        </w:rPr>
        <w:t>у сферах</w:t>
      </w:r>
      <w:proofErr w:type="gramEnd"/>
      <w:r w:rsidRPr="00E8753F">
        <w:rPr>
          <w:bCs/>
          <w:szCs w:val="28"/>
          <w:lang w:val="uk-UA"/>
        </w:rPr>
        <w:t xml:space="preserve"> енергетики та комунальних послуг, від 27 грудня 2017 року № 1469:</w:t>
      </w:r>
    </w:p>
    <w:p w14:paraId="3BB8A94A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абзац восьмий пункту 1.3 після цифр «548» доповнити знаками та словами «(далі – Порядок ліцензування)»; </w:t>
      </w:r>
    </w:p>
    <w:p w14:paraId="36435FD7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після пункту 1.3 доповнити новим пунктом 1.4 такого змісту:</w:t>
      </w:r>
    </w:p>
    <w:p w14:paraId="51C07A6B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«1.4. Ліцензування господарської діяльності з постачання електричної енергії споживачу здійснюється відповідно до Порядку ліцензування. </w:t>
      </w:r>
    </w:p>
    <w:p w14:paraId="6025475E" w14:textId="4BE03FC8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період дії воєнного стану в Україні та протягом 30 робочих днів після його закінчення або скасування ліцензування діяльності з постачання електричної енергії споживачу здійснюється  з урахуванням таких особливостей:</w:t>
      </w:r>
    </w:p>
    <w:p w14:paraId="112FBB97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6F3C4C8B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1) заяви про отримання ліцензії не підлягають розгляду</w:t>
      </w:r>
      <w:r w:rsidRPr="00E8753F">
        <w:rPr>
          <w:lang w:val="uk-UA"/>
        </w:rPr>
        <w:t xml:space="preserve"> </w:t>
      </w:r>
      <w:r w:rsidRPr="00E8753F">
        <w:rPr>
          <w:bCs/>
          <w:szCs w:val="28"/>
          <w:lang w:val="uk-UA"/>
        </w:rPr>
        <w:t>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 № 309 (далі – Перелік територій);</w:t>
      </w:r>
    </w:p>
    <w:p w14:paraId="775175A4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0B1B0C3E" w14:textId="39F12933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2) заяви про анулювання ліцензій не підлягають розгляду та повертаються ліцензіату, якщо вони подані суб’єктами господарювання, місцезнаходженням яких є області України, де відповідно до Переліку територій наявні території </w:t>
      </w:r>
      <w:r w:rsidRPr="00E8753F">
        <w:rPr>
          <w:bCs/>
          <w:szCs w:val="28"/>
          <w:lang w:val="uk-UA"/>
        </w:rPr>
        <w:lastRenderedPageBreak/>
        <w:t xml:space="preserve">активних </w:t>
      </w:r>
      <w:r w:rsidRPr="00B13DCF">
        <w:rPr>
          <w:bCs/>
          <w:szCs w:val="28"/>
          <w:lang w:val="uk-UA"/>
        </w:rPr>
        <w:t>бойових дій та території тимчасово окуповані Російською Федерацією</w:t>
      </w:r>
      <w:r w:rsidR="001360E8" w:rsidRPr="00B13DCF">
        <w:rPr>
          <w:bCs/>
          <w:szCs w:val="28"/>
          <w:lang w:val="uk-UA"/>
        </w:rPr>
        <w:t>.</w:t>
      </w:r>
      <w:r w:rsidRPr="00B13DCF">
        <w:rPr>
          <w:bCs/>
          <w:szCs w:val="28"/>
          <w:lang w:val="uk-UA"/>
        </w:rPr>
        <w:t>»</w:t>
      </w:r>
      <w:r w:rsidR="006456E4" w:rsidRPr="00B13DCF">
        <w:rPr>
          <w:bCs/>
          <w:szCs w:val="28"/>
          <w:lang w:val="uk-UA"/>
        </w:rPr>
        <w:t>.</w:t>
      </w:r>
    </w:p>
    <w:p w14:paraId="27B15D26" w14:textId="77777777" w:rsidR="00E8753F" w:rsidRPr="00E8753F" w:rsidRDefault="00E8753F" w:rsidP="00E8753F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зв’язку з цим пункти 1.4 – 1.9 вважати відповідно пунктами 1.5 – 1.10.</w:t>
      </w:r>
    </w:p>
    <w:p w14:paraId="5C8D660A" w14:textId="77777777" w:rsidR="00E8753F" w:rsidRPr="00E8753F" w:rsidRDefault="00E8753F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7FB7942A" w14:textId="4D45C058" w:rsidR="000F22CA" w:rsidRPr="00E8753F" w:rsidRDefault="00E8753F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5</w:t>
      </w:r>
      <w:r w:rsidR="00586ECD" w:rsidRPr="00E8753F">
        <w:rPr>
          <w:bCs/>
          <w:szCs w:val="28"/>
          <w:lang w:val="uk-UA"/>
        </w:rPr>
        <w:t xml:space="preserve">. </w:t>
      </w:r>
      <w:r w:rsidR="000F22CA" w:rsidRPr="00E8753F">
        <w:rPr>
          <w:bCs/>
          <w:szCs w:val="28"/>
          <w:lang w:val="uk-UA"/>
        </w:rPr>
        <w:t>У Порядку ліцензування видів господарської діяльності, державне регулювання яких здійснюється Національною комісією, що здійснює державне регулювання у сферах енергетики та комунальних послуг, затвердженому постановою Національної комісії, що здійснює державне регулювання у сферах енергетики та комунальних послуг, від  03 березня 2020 року  № 548:</w:t>
      </w:r>
    </w:p>
    <w:p w14:paraId="1575A1B9" w14:textId="77777777" w:rsidR="00796701" w:rsidRPr="00E8753F" w:rsidRDefault="00796701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0E0A0741" w14:textId="3B4DBB47" w:rsidR="00834F20" w:rsidRPr="00E8753F" w:rsidRDefault="00834F20">
      <w:pPr>
        <w:pStyle w:val="ab"/>
        <w:numPr>
          <w:ilvl w:val="0"/>
          <w:numId w:val="21"/>
        </w:numPr>
        <w:shd w:val="clear" w:color="auto" w:fill="FFFFFF"/>
        <w:tabs>
          <w:tab w:val="left" w:pos="318"/>
          <w:tab w:val="left" w:pos="1134"/>
        </w:tabs>
        <w:ind w:left="0"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підпункт </w:t>
      </w:r>
      <w:r w:rsidR="00EF12A5" w:rsidRPr="00E8753F">
        <w:rPr>
          <w:bCs/>
          <w:szCs w:val="28"/>
          <w:lang w:val="uk-UA"/>
        </w:rPr>
        <w:t>2</w:t>
      </w:r>
      <w:r w:rsidRPr="00E8753F">
        <w:rPr>
          <w:bCs/>
          <w:szCs w:val="28"/>
          <w:lang w:val="uk-UA"/>
        </w:rPr>
        <w:t xml:space="preserve"> п</w:t>
      </w:r>
      <w:r w:rsidR="00796701" w:rsidRPr="00E8753F">
        <w:rPr>
          <w:bCs/>
          <w:szCs w:val="28"/>
          <w:lang w:val="uk-UA"/>
        </w:rPr>
        <w:t>ункт</w:t>
      </w:r>
      <w:r w:rsidRPr="00E8753F">
        <w:rPr>
          <w:bCs/>
          <w:szCs w:val="28"/>
          <w:lang w:val="uk-UA"/>
        </w:rPr>
        <w:t>у</w:t>
      </w:r>
      <w:r w:rsidR="00796701" w:rsidRPr="00E8753F">
        <w:rPr>
          <w:bCs/>
          <w:szCs w:val="28"/>
          <w:lang w:val="uk-UA"/>
        </w:rPr>
        <w:t xml:space="preserve"> 4.2 доповнити </w:t>
      </w:r>
      <w:r w:rsidRPr="00E8753F">
        <w:rPr>
          <w:bCs/>
          <w:szCs w:val="28"/>
          <w:lang w:val="uk-UA"/>
        </w:rPr>
        <w:t>словами та знаками</w:t>
      </w:r>
      <w:r w:rsidR="00796701" w:rsidRPr="00E8753F">
        <w:rPr>
          <w:bCs/>
          <w:szCs w:val="28"/>
          <w:lang w:val="uk-UA"/>
        </w:rPr>
        <w:t xml:space="preserve"> «</w:t>
      </w:r>
      <w:r w:rsidRPr="00E8753F">
        <w:rPr>
          <w:bCs/>
          <w:szCs w:val="28"/>
          <w:lang w:val="uk-UA"/>
        </w:rPr>
        <w:t>та особами, місцезнаходженням (місцем проживання) яких є тимчасово окупована територія (крім випадків наявності в таких осіб довідки про взяття на облік внутрішньо переміщеної особи, чинність якої підтверджується відомостями з Єдиної інформаційної бази даних про внутрішньо переміщених осіб)»</w:t>
      </w:r>
      <w:r w:rsidR="006456E4">
        <w:rPr>
          <w:bCs/>
          <w:szCs w:val="28"/>
          <w:lang w:val="uk-UA"/>
        </w:rPr>
        <w:t>;</w:t>
      </w:r>
    </w:p>
    <w:p w14:paraId="178A34FB" w14:textId="77777777" w:rsidR="00834F20" w:rsidRPr="00E8753F" w:rsidRDefault="00834F20" w:rsidP="00796701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0B3D1499" w14:textId="131D756C" w:rsidR="000A7D5E" w:rsidRPr="00E8753F" w:rsidRDefault="000A7D5E" w:rsidP="005730DF">
      <w:pPr>
        <w:pStyle w:val="ab"/>
        <w:numPr>
          <w:ilvl w:val="0"/>
          <w:numId w:val="21"/>
        </w:numPr>
        <w:shd w:val="clear" w:color="auto" w:fill="FFFFFF"/>
        <w:tabs>
          <w:tab w:val="left" w:pos="318"/>
          <w:tab w:val="left" w:pos="709"/>
          <w:tab w:val="left" w:pos="1134"/>
        </w:tabs>
        <w:ind w:left="0"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абзац перший пункту 6.3 </w:t>
      </w:r>
      <w:r w:rsidR="00834F20" w:rsidRPr="00E8753F">
        <w:rPr>
          <w:bCs/>
          <w:szCs w:val="28"/>
          <w:lang w:val="uk-UA"/>
        </w:rPr>
        <w:t xml:space="preserve">доповнити знаками, </w:t>
      </w:r>
      <w:r w:rsidRPr="00E8753F">
        <w:rPr>
          <w:bCs/>
          <w:szCs w:val="28"/>
          <w:lang w:val="uk-UA"/>
        </w:rPr>
        <w:t>словами</w:t>
      </w:r>
      <w:r w:rsidR="00834F20" w:rsidRPr="00E8753F">
        <w:rPr>
          <w:bCs/>
          <w:szCs w:val="28"/>
          <w:lang w:val="uk-UA"/>
        </w:rPr>
        <w:t xml:space="preserve"> та </w:t>
      </w:r>
      <w:r w:rsidRPr="00E8753F">
        <w:rPr>
          <w:bCs/>
          <w:szCs w:val="28"/>
          <w:lang w:val="uk-UA"/>
        </w:rPr>
        <w:t xml:space="preserve"> цифрами </w:t>
      </w:r>
      <w:r w:rsidR="001C7FC1" w:rsidRPr="00E8753F">
        <w:rPr>
          <w:bCs/>
          <w:szCs w:val="28"/>
          <w:lang w:val="uk-UA"/>
        </w:rPr>
        <w:t>«</w:t>
      </w:r>
      <w:r w:rsidRPr="00E8753F">
        <w:rPr>
          <w:bCs/>
          <w:szCs w:val="28"/>
          <w:lang w:val="uk-UA"/>
        </w:rPr>
        <w:t>(</w:t>
      </w:r>
      <w:r w:rsidR="001C7FC1" w:rsidRPr="00E8753F">
        <w:rPr>
          <w:bCs/>
          <w:szCs w:val="28"/>
          <w:lang w:val="uk-UA"/>
        </w:rPr>
        <w:t xml:space="preserve">крім </w:t>
      </w:r>
      <w:r w:rsidRPr="00E8753F">
        <w:rPr>
          <w:bCs/>
          <w:szCs w:val="28"/>
          <w:lang w:val="uk-UA"/>
        </w:rPr>
        <w:t>суб’єкт</w:t>
      </w:r>
      <w:r w:rsidR="005730DF" w:rsidRPr="00E8753F">
        <w:rPr>
          <w:bCs/>
          <w:szCs w:val="28"/>
          <w:lang w:val="uk-UA"/>
        </w:rPr>
        <w:t>а</w:t>
      </w:r>
      <w:r w:rsidRPr="00E8753F">
        <w:rPr>
          <w:bCs/>
          <w:szCs w:val="28"/>
          <w:lang w:val="uk-UA"/>
        </w:rPr>
        <w:t xml:space="preserve"> господарювання, підприємств</w:t>
      </w:r>
      <w:r w:rsidR="005730DF" w:rsidRPr="00E8753F">
        <w:rPr>
          <w:bCs/>
          <w:szCs w:val="28"/>
          <w:lang w:val="uk-UA"/>
        </w:rPr>
        <w:t>а</w:t>
      </w:r>
      <w:r w:rsidRPr="00E8753F">
        <w:rPr>
          <w:bCs/>
          <w:szCs w:val="28"/>
          <w:lang w:val="uk-UA"/>
        </w:rPr>
        <w:t>, установ</w:t>
      </w:r>
      <w:r w:rsidR="005730DF" w:rsidRPr="00E8753F">
        <w:rPr>
          <w:bCs/>
          <w:szCs w:val="28"/>
          <w:lang w:val="uk-UA"/>
        </w:rPr>
        <w:t>и</w:t>
      </w:r>
      <w:r w:rsidRPr="00E8753F">
        <w:rPr>
          <w:bCs/>
          <w:szCs w:val="28"/>
          <w:lang w:val="uk-UA"/>
        </w:rPr>
        <w:t>, організаці</w:t>
      </w:r>
      <w:r w:rsidR="005730DF" w:rsidRPr="00E8753F">
        <w:rPr>
          <w:bCs/>
          <w:szCs w:val="28"/>
          <w:lang w:val="uk-UA"/>
        </w:rPr>
        <w:t>ї</w:t>
      </w:r>
      <w:r w:rsidRPr="00E8753F">
        <w:rPr>
          <w:bCs/>
          <w:szCs w:val="28"/>
          <w:lang w:val="uk-UA"/>
        </w:rPr>
        <w:t>, що належать до сфери управління міністерства, іншого центрального органу виконавчої влади, або господарського товариства, 50 і більше відсотків акцій (часток) якого знаходиться у статутн</w:t>
      </w:r>
      <w:r w:rsidR="005730DF" w:rsidRPr="00E8753F">
        <w:rPr>
          <w:bCs/>
          <w:szCs w:val="28"/>
          <w:lang w:val="uk-UA"/>
        </w:rPr>
        <w:t>ому</w:t>
      </w:r>
      <w:r w:rsidRPr="00E8753F">
        <w:rPr>
          <w:bCs/>
          <w:szCs w:val="28"/>
          <w:lang w:val="uk-UA"/>
        </w:rPr>
        <w:t xml:space="preserve"> капітал</w:t>
      </w:r>
      <w:r w:rsidR="005730DF" w:rsidRPr="00E8753F">
        <w:rPr>
          <w:bCs/>
          <w:szCs w:val="28"/>
          <w:lang w:val="uk-UA"/>
        </w:rPr>
        <w:t>і</w:t>
      </w:r>
      <w:r w:rsidRPr="00E8753F">
        <w:rPr>
          <w:bCs/>
          <w:szCs w:val="28"/>
          <w:lang w:val="uk-UA"/>
        </w:rPr>
        <w:t xml:space="preserve"> господарськ</w:t>
      </w:r>
      <w:r w:rsidR="005730DF" w:rsidRPr="00E8753F">
        <w:rPr>
          <w:bCs/>
          <w:szCs w:val="28"/>
          <w:lang w:val="uk-UA"/>
        </w:rPr>
        <w:t>ого</w:t>
      </w:r>
      <w:r w:rsidRPr="00E8753F">
        <w:rPr>
          <w:bCs/>
          <w:szCs w:val="28"/>
          <w:lang w:val="uk-UA"/>
        </w:rPr>
        <w:t xml:space="preserve"> товариств</w:t>
      </w:r>
      <w:r w:rsidR="005730DF" w:rsidRPr="00E8753F">
        <w:rPr>
          <w:bCs/>
          <w:szCs w:val="28"/>
          <w:lang w:val="uk-UA"/>
        </w:rPr>
        <w:t>а</w:t>
      </w:r>
      <w:r w:rsidRPr="00E8753F">
        <w:rPr>
          <w:bCs/>
          <w:szCs w:val="28"/>
          <w:lang w:val="uk-UA"/>
        </w:rPr>
        <w:t xml:space="preserve">, частка держави в </w:t>
      </w:r>
      <w:r w:rsidR="005730DF" w:rsidRPr="00E8753F">
        <w:rPr>
          <w:bCs/>
          <w:szCs w:val="28"/>
          <w:lang w:val="uk-UA"/>
        </w:rPr>
        <w:t>якому</w:t>
      </w:r>
      <w:r w:rsidRPr="00E8753F">
        <w:rPr>
          <w:bCs/>
          <w:szCs w:val="28"/>
          <w:lang w:val="uk-UA"/>
        </w:rPr>
        <w:t xml:space="preserve"> становить 100 відсотків, як</w:t>
      </w:r>
      <w:r w:rsidR="005730DF" w:rsidRPr="00E8753F">
        <w:rPr>
          <w:bCs/>
          <w:szCs w:val="28"/>
          <w:lang w:val="uk-UA"/>
        </w:rPr>
        <w:t>ому</w:t>
      </w:r>
      <w:r w:rsidRPr="00E8753F">
        <w:rPr>
          <w:bCs/>
          <w:szCs w:val="28"/>
          <w:lang w:val="uk-UA"/>
        </w:rPr>
        <w:t xml:space="preserve"> було передано цілісний майновий комплекс (засоби провадження господарської діяльності) ліцензіат</w:t>
      </w:r>
      <w:r w:rsidR="005730DF" w:rsidRPr="00E8753F">
        <w:rPr>
          <w:bCs/>
          <w:szCs w:val="28"/>
          <w:lang w:val="uk-UA"/>
        </w:rPr>
        <w:t>а</w:t>
      </w:r>
      <w:r w:rsidRPr="00E8753F">
        <w:rPr>
          <w:bCs/>
          <w:szCs w:val="28"/>
          <w:lang w:val="uk-UA"/>
        </w:rPr>
        <w:t>, на активи як</w:t>
      </w:r>
      <w:r w:rsidR="005730DF" w:rsidRPr="00E8753F">
        <w:rPr>
          <w:bCs/>
          <w:szCs w:val="28"/>
          <w:lang w:val="uk-UA"/>
        </w:rPr>
        <w:t>ого</w:t>
      </w:r>
      <w:r w:rsidRPr="00E8753F">
        <w:rPr>
          <w:bCs/>
          <w:szCs w:val="28"/>
          <w:lang w:val="uk-UA"/>
        </w:rPr>
        <w:t xml:space="preserve"> накладено санкції або арешт у кримінальному провадженні)</w:t>
      </w:r>
      <w:r w:rsidR="00834F20" w:rsidRPr="00E8753F">
        <w:rPr>
          <w:bCs/>
          <w:szCs w:val="28"/>
          <w:lang w:val="uk-UA"/>
        </w:rPr>
        <w:t>»</w:t>
      </w:r>
      <w:r w:rsidRPr="00E8753F">
        <w:rPr>
          <w:bCs/>
          <w:szCs w:val="28"/>
          <w:lang w:val="uk-UA"/>
        </w:rPr>
        <w:t>;</w:t>
      </w:r>
    </w:p>
    <w:p w14:paraId="358098ED" w14:textId="77777777" w:rsidR="001C7FC1" w:rsidRPr="00E8753F" w:rsidRDefault="001C7FC1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06F41BDC" w14:textId="5EC48DEE" w:rsidR="00A454FB" w:rsidRPr="00E8753F" w:rsidRDefault="00834F20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3</w:t>
      </w:r>
      <w:r w:rsidR="00A454FB" w:rsidRPr="00E8753F">
        <w:rPr>
          <w:bCs/>
          <w:szCs w:val="28"/>
          <w:lang w:val="uk-UA"/>
        </w:rPr>
        <w:t>) у пункті 6.4:</w:t>
      </w:r>
    </w:p>
    <w:p w14:paraId="1AFFD598" w14:textId="2D268795" w:rsidR="00F26D35" w:rsidRPr="00E8753F" w:rsidRDefault="00F26D35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6456E4">
        <w:rPr>
          <w:bCs/>
          <w:szCs w:val="28"/>
          <w:lang w:val="uk-UA"/>
        </w:rPr>
        <w:t>абзац</w:t>
      </w:r>
      <w:r w:rsidR="00E8753F" w:rsidRPr="006456E4">
        <w:rPr>
          <w:bCs/>
          <w:szCs w:val="28"/>
          <w:lang w:val="uk-UA"/>
        </w:rPr>
        <w:t>и</w:t>
      </w:r>
      <w:r w:rsidRPr="006456E4">
        <w:rPr>
          <w:bCs/>
          <w:szCs w:val="28"/>
          <w:lang w:val="uk-UA"/>
        </w:rPr>
        <w:t xml:space="preserve"> </w:t>
      </w:r>
      <w:r w:rsidR="00E8753F" w:rsidRPr="006456E4">
        <w:rPr>
          <w:bCs/>
          <w:szCs w:val="28"/>
          <w:lang w:val="uk-UA"/>
        </w:rPr>
        <w:t xml:space="preserve">третій та четвертий </w:t>
      </w:r>
      <w:r w:rsidRPr="006456E4">
        <w:rPr>
          <w:bCs/>
          <w:szCs w:val="28"/>
          <w:lang w:val="uk-UA"/>
        </w:rPr>
        <w:t xml:space="preserve">підпункту 1 доповнити знаками та словами «(дія цього положення </w:t>
      </w:r>
      <w:r w:rsidRPr="00336533">
        <w:rPr>
          <w:bCs/>
          <w:szCs w:val="28"/>
          <w:lang w:val="uk-UA"/>
        </w:rPr>
        <w:t>не застосовуються</w:t>
      </w:r>
      <w:r w:rsidRPr="006456E4">
        <w:rPr>
          <w:bCs/>
          <w:szCs w:val="28"/>
          <w:lang w:val="uk-UA"/>
        </w:rPr>
        <w:t xml:space="preserve"> у період дії в Україні воєнного стану та протягом 30 робочих днів після його закінчення або скасування)»;</w:t>
      </w:r>
    </w:p>
    <w:p w14:paraId="42F8F725" w14:textId="5C627036" w:rsidR="00796701" w:rsidRPr="00E8753F" w:rsidRDefault="007F46D0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після абзацу дев’ятого </w:t>
      </w:r>
      <w:r w:rsidR="00834F20" w:rsidRPr="00E8753F">
        <w:rPr>
          <w:bCs/>
          <w:szCs w:val="28"/>
          <w:lang w:val="uk-UA"/>
        </w:rPr>
        <w:t>д</w:t>
      </w:r>
      <w:r w:rsidR="00796701" w:rsidRPr="00E8753F">
        <w:rPr>
          <w:bCs/>
          <w:szCs w:val="28"/>
          <w:lang w:val="uk-UA"/>
        </w:rPr>
        <w:t xml:space="preserve">оповнити новими абзацами </w:t>
      </w:r>
      <w:r w:rsidRPr="00E8753F">
        <w:rPr>
          <w:bCs/>
          <w:szCs w:val="28"/>
          <w:lang w:val="uk-UA"/>
        </w:rPr>
        <w:t xml:space="preserve">десятим – дванадцятим </w:t>
      </w:r>
      <w:r w:rsidR="00796701" w:rsidRPr="00E8753F">
        <w:rPr>
          <w:bCs/>
          <w:szCs w:val="28"/>
          <w:lang w:val="uk-UA"/>
        </w:rPr>
        <w:t>такого змісту:</w:t>
      </w:r>
    </w:p>
    <w:p w14:paraId="70F78951" w14:textId="02EDBD48" w:rsidR="007F46D0" w:rsidRPr="00E8753F" w:rsidRDefault="00796701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«</w:t>
      </w:r>
      <w:bookmarkStart w:id="4" w:name="_Hlk177396252"/>
      <w:r w:rsidR="004062EB" w:rsidRPr="00E8753F">
        <w:rPr>
          <w:bCs/>
          <w:szCs w:val="28"/>
          <w:lang w:val="uk-UA"/>
        </w:rPr>
        <w:t>У період дії воєнного стану в України</w:t>
      </w:r>
      <w:r w:rsidRPr="00E8753F">
        <w:rPr>
          <w:lang w:val="uk-UA"/>
        </w:rPr>
        <w:t xml:space="preserve"> </w:t>
      </w:r>
      <w:r w:rsidRPr="00E8753F">
        <w:rPr>
          <w:bCs/>
          <w:szCs w:val="28"/>
          <w:lang w:val="uk-UA"/>
        </w:rPr>
        <w:t>та протягом 30 робочих днів після його закінчення або скасування</w:t>
      </w:r>
      <w:bookmarkEnd w:id="4"/>
      <w:r w:rsidR="004062EB" w:rsidRPr="00E8753F">
        <w:rPr>
          <w:bCs/>
          <w:szCs w:val="28"/>
          <w:lang w:val="uk-UA"/>
        </w:rPr>
        <w:t xml:space="preserve"> НКРЕКП має право прийняти рішення про зупинення дії ліцензії у разі настання підстав, визначених у підпунктах </w:t>
      </w:r>
      <w:r w:rsidRPr="00E8753F">
        <w:rPr>
          <w:bCs/>
          <w:szCs w:val="28"/>
          <w:lang w:val="uk-UA"/>
        </w:rPr>
        <w:t>2 – 5 цього пункту</w:t>
      </w:r>
      <w:r w:rsidR="00744A82">
        <w:rPr>
          <w:bCs/>
          <w:szCs w:val="28"/>
          <w:lang w:val="uk-UA"/>
        </w:rPr>
        <w:t>,</w:t>
      </w:r>
      <w:r w:rsidRPr="00E8753F">
        <w:rPr>
          <w:bCs/>
          <w:szCs w:val="28"/>
          <w:lang w:val="uk-UA"/>
        </w:rPr>
        <w:t xml:space="preserve"> та у разі</w:t>
      </w:r>
      <w:r w:rsidR="007F46D0" w:rsidRPr="00E8753F">
        <w:rPr>
          <w:bCs/>
          <w:szCs w:val="28"/>
          <w:lang w:val="uk-UA"/>
        </w:rPr>
        <w:t xml:space="preserve"> виявлення:</w:t>
      </w:r>
    </w:p>
    <w:p w14:paraId="2DE16740" w14:textId="67E5D738" w:rsidR="000A7D5E" w:rsidRPr="00E8753F" w:rsidRDefault="000A7D5E" w:rsidP="007F46D0">
      <w:pPr>
        <w:pStyle w:val="ab"/>
        <w:numPr>
          <w:ilvl w:val="0"/>
          <w:numId w:val="22"/>
        </w:numPr>
        <w:shd w:val="clear" w:color="auto" w:fill="FFFFFF"/>
        <w:tabs>
          <w:tab w:val="left" w:pos="318"/>
          <w:tab w:val="left" w:pos="709"/>
        </w:tabs>
        <w:ind w:left="0" w:firstLine="709"/>
        <w:jc w:val="both"/>
        <w:textAlignment w:val="baseline"/>
        <w:rPr>
          <w:bCs/>
          <w:szCs w:val="28"/>
          <w:lang w:val="uk-UA"/>
        </w:rPr>
      </w:pPr>
      <w:r w:rsidRPr="000C7146">
        <w:rPr>
          <w:bCs/>
          <w:szCs w:val="28"/>
          <w:lang w:val="uk-UA"/>
        </w:rPr>
        <w:t xml:space="preserve">у ліцензіата об’єктів права власності </w:t>
      </w:r>
      <w:r w:rsidR="001C7FC1" w:rsidRPr="000C7146">
        <w:rPr>
          <w:bCs/>
          <w:szCs w:val="28"/>
          <w:lang w:val="uk-UA"/>
        </w:rPr>
        <w:t>Р</w:t>
      </w:r>
      <w:r w:rsidRPr="000C7146">
        <w:rPr>
          <w:bCs/>
          <w:szCs w:val="28"/>
          <w:lang w:val="uk-UA"/>
        </w:rPr>
        <w:t xml:space="preserve">осійської </w:t>
      </w:r>
      <w:r w:rsidR="001C7FC1" w:rsidRPr="000C7146">
        <w:rPr>
          <w:bCs/>
          <w:szCs w:val="28"/>
          <w:lang w:val="uk-UA"/>
        </w:rPr>
        <w:t>Ф</w:t>
      </w:r>
      <w:r w:rsidRPr="000C7146">
        <w:rPr>
          <w:bCs/>
          <w:szCs w:val="28"/>
          <w:lang w:val="uk-UA"/>
        </w:rPr>
        <w:t xml:space="preserve">едерації та її резидентів (далі </w:t>
      </w:r>
      <w:r w:rsidR="002E258F" w:rsidRPr="000C7146">
        <w:rPr>
          <w:rFonts w:eastAsia="Calibri"/>
          <w:szCs w:val="28"/>
          <w:lang w:val="uk-UA" w:eastAsia="en-US"/>
        </w:rPr>
        <w:t xml:space="preserve">– </w:t>
      </w:r>
      <w:r w:rsidRPr="000C7146">
        <w:rPr>
          <w:bCs/>
          <w:szCs w:val="28"/>
          <w:lang w:val="uk-UA"/>
        </w:rPr>
        <w:t>об’єкти), які підлягають примусовому вилученню відповідно до Закону України «Про основні засади</w:t>
      </w:r>
      <w:r w:rsidRPr="00E8753F">
        <w:rPr>
          <w:bCs/>
          <w:szCs w:val="28"/>
          <w:lang w:val="uk-UA"/>
        </w:rPr>
        <w:t xml:space="preserve"> примусового вилучення в Україні об’єктів права власності Російської Федерації та її резидентів»</w:t>
      </w:r>
      <w:r w:rsidR="00120161" w:rsidRPr="00E8753F">
        <w:rPr>
          <w:bCs/>
          <w:szCs w:val="28"/>
          <w:lang w:val="uk-UA"/>
        </w:rPr>
        <w:t xml:space="preserve">, про що </w:t>
      </w:r>
      <w:r w:rsidRPr="00E8753F">
        <w:rPr>
          <w:bCs/>
          <w:szCs w:val="28"/>
          <w:lang w:val="uk-UA"/>
        </w:rPr>
        <w:t>НКРЕКП направляє інформацію до Кабінету Міністрів України</w:t>
      </w:r>
      <w:r w:rsidR="00120161" w:rsidRPr="00E8753F">
        <w:rPr>
          <w:bCs/>
          <w:szCs w:val="28"/>
          <w:lang w:val="uk-UA"/>
        </w:rPr>
        <w:t xml:space="preserve">. Рішення про </w:t>
      </w:r>
      <w:r w:rsidRPr="00E8753F">
        <w:rPr>
          <w:bCs/>
          <w:szCs w:val="28"/>
          <w:lang w:val="uk-UA"/>
        </w:rPr>
        <w:t xml:space="preserve">зупинення дії ліцензії такому ліцензіату </w:t>
      </w:r>
      <w:r w:rsidR="004062EB" w:rsidRPr="00E8753F">
        <w:rPr>
          <w:bCs/>
          <w:szCs w:val="28"/>
          <w:lang w:val="uk-UA"/>
        </w:rPr>
        <w:t xml:space="preserve">НКРЕКП приймає </w:t>
      </w:r>
      <w:r w:rsidRPr="00E8753F">
        <w:rPr>
          <w:bCs/>
          <w:szCs w:val="28"/>
          <w:lang w:val="uk-UA"/>
        </w:rPr>
        <w:t xml:space="preserve">на період до завершення заходів </w:t>
      </w:r>
      <w:r w:rsidRPr="00E8753F">
        <w:rPr>
          <w:bCs/>
          <w:szCs w:val="28"/>
          <w:lang w:val="uk-UA"/>
        </w:rPr>
        <w:lastRenderedPageBreak/>
        <w:t>щодо проведення примусового вилучення об’єктів у ліцензіата або відмови від здійснення таких заходів;</w:t>
      </w:r>
    </w:p>
    <w:p w14:paraId="066AD1A6" w14:textId="77777777" w:rsidR="007F46D0" w:rsidRPr="00E8753F" w:rsidRDefault="007F46D0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19AC3872" w14:textId="378C37CF" w:rsidR="000A7D5E" w:rsidRPr="006E1F7A" w:rsidRDefault="000A7D5E" w:rsidP="007F46D0">
      <w:pPr>
        <w:pStyle w:val="ab"/>
        <w:numPr>
          <w:ilvl w:val="0"/>
          <w:numId w:val="22"/>
        </w:numPr>
        <w:shd w:val="clear" w:color="auto" w:fill="FFFFFF"/>
        <w:tabs>
          <w:tab w:val="left" w:pos="318"/>
          <w:tab w:val="left" w:pos="709"/>
        </w:tabs>
        <w:ind w:left="0"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інформації про здійснення контролю за діяльністю суб’єкта господарювання у значенні, наведеному у статті 1 Закону України «Про захист економічної конкуренції», особами, місцезнаходженням (місцем проживання) яких є тимчасово окупована територія (крім випадків наявності в таких осіб довідки про взяття на облік внутрішньо переміщеної особи, чинність якої підтверджується </w:t>
      </w:r>
      <w:r w:rsidRPr="006E1F7A">
        <w:rPr>
          <w:bCs/>
          <w:szCs w:val="28"/>
          <w:lang w:val="uk-UA"/>
        </w:rPr>
        <w:t>відомостями з Єдиної інформаційної бази даних про внутрішньо переміщених осіб)</w:t>
      </w:r>
      <w:r w:rsidR="00FB67F5" w:rsidRPr="006E1F7A">
        <w:rPr>
          <w:bCs/>
          <w:szCs w:val="28"/>
          <w:lang w:val="uk-UA"/>
        </w:rPr>
        <w:t>.</w:t>
      </w:r>
      <w:r w:rsidR="00A454FB" w:rsidRPr="006E1F7A">
        <w:rPr>
          <w:bCs/>
          <w:szCs w:val="28"/>
          <w:lang w:val="uk-UA"/>
        </w:rPr>
        <w:t>»</w:t>
      </w:r>
      <w:r w:rsidR="006456E4" w:rsidRPr="006E1F7A">
        <w:rPr>
          <w:bCs/>
          <w:szCs w:val="28"/>
          <w:lang w:val="uk-UA"/>
        </w:rPr>
        <w:t>.</w:t>
      </w:r>
    </w:p>
    <w:p w14:paraId="391A226B" w14:textId="4D7178A4" w:rsidR="007F46D0" w:rsidRPr="00E8753F" w:rsidRDefault="007F46D0" w:rsidP="007F46D0">
      <w:pPr>
        <w:pStyle w:val="ab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зв’язку з цим абзац десятий вважати абзацом тринадцятим;</w:t>
      </w:r>
    </w:p>
    <w:p w14:paraId="176B1CBC" w14:textId="77777777" w:rsidR="00796701" w:rsidRPr="00E8753F" w:rsidRDefault="00796701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343574AB" w14:textId="48B9AC1E" w:rsidR="000A7D5E" w:rsidRPr="00E8753F" w:rsidRDefault="007F46D0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4</w:t>
      </w:r>
      <w:r w:rsidR="000A7D5E" w:rsidRPr="00E8753F">
        <w:rPr>
          <w:bCs/>
          <w:szCs w:val="28"/>
          <w:lang w:val="uk-UA"/>
        </w:rPr>
        <w:t xml:space="preserve">) </w:t>
      </w:r>
      <w:r w:rsidR="00C20DBF" w:rsidRPr="00E8753F">
        <w:rPr>
          <w:bCs/>
          <w:szCs w:val="28"/>
          <w:lang w:val="uk-UA"/>
        </w:rPr>
        <w:t xml:space="preserve">пункт 7.1 після </w:t>
      </w:r>
      <w:r w:rsidRPr="00E8753F">
        <w:rPr>
          <w:bCs/>
          <w:szCs w:val="28"/>
          <w:lang w:val="uk-UA"/>
        </w:rPr>
        <w:t xml:space="preserve">абзацу п’ятнадцятого </w:t>
      </w:r>
      <w:r w:rsidR="00796701" w:rsidRPr="00E8753F">
        <w:rPr>
          <w:bCs/>
          <w:szCs w:val="28"/>
          <w:lang w:val="uk-UA"/>
        </w:rPr>
        <w:t xml:space="preserve">доповнити новим </w:t>
      </w:r>
      <w:r w:rsidRPr="00E8753F">
        <w:rPr>
          <w:bCs/>
          <w:szCs w:val="28"/>
          <w:lang w:val="uk-UA"/>
        </w:rPr>
        <w:t>абзацом шістнадцятим</w:t>
      </w:r>
      <w:r w:rsidR="00796701" w:rsidRPr="00E8753F">
        <w:rPr>
          <w:bCs/>
          <w:szCs w:val="28"/>
          <w:lang w:val="uk-UA"/>
        </w:rPr>
        <w:t xml:space="preserve"> </w:t>
      </w:r>
      <w:r w:rsidR="000A7D5E" w:rsidRPr="00E8753F">
        <w:rPr>
          <w:bCs/>
          <w:szCs w:val="28"/>
          <w:lang w:val="uk-UA"/>
        </w:rPr>
        <w:t>такого змісту:</w:t>
      </w:r>
    </w:p>
    <w:p w14:paraId="028E3328" w14:textId="6D2045D7" w:rsidR="000A7D5E" w:rsidRPr="006E1F7A" w:rsidRDefault="000A7D5E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«</w:t>
      </w:r>
      <w:r w:rsidR="00C20DBF" w:rsidRPr="00E8753F">
        <w:rPr>
          <w:bCs/>
          <w:szCs w:val="28"/>
          <w:lang w:val="uk-UA"/>
        </w:rPr>
        <w:t xml:space="preserve">10) </w:t>
      </w:r>
      <w:r w:rsidRPr="00E8753F">
        <w:rPr>
          <w:bCs/>
          <w:szCs w:val="28"/>
          <w:lang w:val="uk-UA"/>
        </w:rPr>
        <w:t>у</w:t>
      </w:r>
      <w:r w:rsidR="00796701" w:rsidRPr="00E8753F">
        <w:rPr>
          <w:bCs/>
          <w:szCs w:val="28"/>
          <w:lang w:val="uk-UA"/>
        </w:rPr>
        <w:t xml:space="preserve"> період дії воєнного стану в України та протягом 30 робочих днів після його закінчення або скасування, у разі</w:t>
      </w:r>
      <w:r w:rsidR="007F46D0" w:rsidRPr="00E8753F">
        <w:rPr>
          <w:bCs/>
          <w:szCs w:val="28"/>
          <w:lang w:val="uk-UA"/>
        </w:rPr>
        <w:t xml:space="preserve"> </w:t>
      </w:r>
      <w:r w:rsidRPr="00E8753F">
        <w:rPr>
          <w:bCs/>
          <w:szCs w:val="28"/>
          <w:lang w:val="uk-UA"/>
        </w:rPr>
        <w:t xml:space="preserve">документального підтвердження встановлення контролю за діяльністю ліцензіата у значенні, наведеному у </w:t>
      </w:r>
      <w:r w:rsidR="00DA3F63" w:rsidRPr="00E8753F">
        <w:rPr>
          <w:bCs/>
          <w:szCs w:val="28"/>
          <w:lang w:val="uk-UA"/>
        </w:rPr>
        <w:t>статті</w:t>
      </w:r>
      <w:r w:rsidR="00DA3F63">
        <w:rPr>
          <w:bCs/>
          <w:szCs w:val="28"/>
          <w:lang w:val="uk-UA"/>
        </w:rPr>
        <w:t> </w:t>
      </w:r>
      <w:r w:rsidRPr="00E8753F">
        <w:rPr>
          <w:bCs/>
          <w:szCs w:val="28"/>
          <w:lang w:val="uk-UA"/>
        </w:rPr>
        <w:t>1 Закону України «Про захист економічної конкуренції», резидентами держав, що здійснюють збройну агресію проти України, у значенні, наведеному у статті 1 Закону України «Про оборону України</w:t>
      </w:r>
      <w:r w:rsidR="007F46D0" w:rsidRPr="00E8753F">
        <w:rPr>
          <w:bCs/>
          <w:szCs w:val="28"/>
          <w:lang w:val="uk-UA"/>
        </w:rPr>
        <w:t>.</w:t>
      </w:r>
      <w:r w:rsidRPr="00E8753F">
        <w:rPr>
          <w:bCs/>
          <w:szCs w:val="28"/>
          <w:lang w:val="uk-UA"/>
        </w:rPr>
        <w:t>»</w:t>
      </w:r>
      <w:r w:rsidR="006456E4">
        <w:rPr>
          <w:bCs/>
          <w:szCs w:val="28"/>
          <w:lang w:val="uk-UA"/>
        </w:rPr>
        <w:t>.</w:t>
      </w:r>
    </w:p>
    <w:p w14:paraId="5C1DD601" w14:textId="17AE759E" w:rsidR="00C20DBF" w:rsidRPr="006E1F7A" w:rsidRDefault="00C20DBF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6E1F7A">
        <w:rPr>
          <w:bCs/>
          <w:szCs w:val="28"/>
          <w:lang w:val="uk-UA"/>
        </w:rPr>
        <w:t xml:space="preserve">У зв’язку з цим абзац </w:t>
      </w:r>
      <w:r w:rsidR="007F46D0" w:rsidRPr="006E1F7A">
        <w:rPr>
          <w:bCs/>
          <w:szCs w:val="28"/>
          <w:lang w:val="uk-UA"/>
        </w:rPr>
        <w:t>шістнадцятий</w:t>
      </w:r>
      <w:r w:rsidRPr="006E1F7A">
        <w:rPr>
          <w:bCs/>
          <w:szCs w:val="28"/>
          <w:lang w:val="uk-UA"/>
        </w:rPr>
        <w:t xml:space="preserve"> вважати абзацом </w:t>
      </w:r>
      <w:r w:rsidR="007F46D0" w:rsidRPr="006E1F7A">
        <w:rPr>
          <w:bCs/>
          <w:szCs w:val="28"/>
          <w:lang w:val="uk-UA"/>
        </w:rPr>
        <w:t>сімнадцятим</w:t>
      </w:r>
      <w:r w:rsidR="001101A3" w:rsidRPr="006E1F7A">
        <w:rPr>
          <w:bCs/>
          <w:szCs w:val="28"/>
          <w:lang w:val="uk-UA"/>
        </w:rPr>
        <w:t>.</w:t>
      </w:r>
    </w:p>
    <w:p w14:paraId="46E97B66" w14:textId="09B55763" w:rsidR="000F22CA" w:rsidRPr="00E8753F" w:rsidRDefault="000F22CA" w:rsidP="000F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                     </w:t>
      </w:r>
    </w:p>
    <w:p w14:paraId="64353A55" w14:textId="3BCB5840" w:rsidR="00572DC8" w:rsidRPr="00E8753F" w:rsidRDefault="00E8753F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</w:rPr>
        <w:t>6</w:t>
      </w:r>
      <w:r w:rsidR="002222CA" w:rsidRPr="00E8753F">
        <w:rPr>
          <w:bCs/>
          <w:szCs w:val="28"/>
          <w:lang w:val="uk-UA"/>
        </w:rPr>
        <w:t xml:space="preserve">. </w:t>
      </w:r>
      <w:r w:rsidR="0045558E" w:rsidRPr="00E8753F">
        <w:rPr>
          <w:bCs/>
          <w:szCs w:val="28"/>
          <w:lang w:val="uk-UA"/>
        </w:rPr>
        <w:t>Главу</w:t>
      </w:r>
      <w:r w:rsidR="00572DC8" w:rsidRPr="00E8753F">
        <w:rPr>
          <w:bCs/>
          <w:szCs w:val="28"/>
          <w:lang w:val="uk-UA"/>
        </w:rPr>
        <w:t xml:space="preserve"> 1 Ліцензійних умов провадження господарської діяльності </w:t>
      </w:r>
      <w:r w:rsidR="002222CA" w:rsidRPr="00E8753F">
        <w:rPr>
          <w:bCs/>
          <w:szCs w:val="28"/>
          <w:lang w:val="uk-UA"/>
        </w:rPr>
        <w:t xml:space="preserve">зі зберігання енергії, затверджених постановою Національної комісії, що здійснює державне регулювання </w:t>
      </w:r>
      <w:proofErr w:type="gramStart"/>
      <w:r w:rsidR="002222CA" w:rsidRPr="00E8753F">
        <w:rPr>
          <w:bCs/>
          <w:szCs w:val="28"/>
          <w:lang w:val="uk-UA"/>
        </w:rPr>
        <w:t>у сферах</w:t>
      </w:r>
      <w:proofErr w:type="gramEnd"/>
      <w:r w:rsidR="002222CA" w:rsidRPr="00E8753F">
        <w:rPr>
          <w:bCs/>
          <w:szCs w:val="28"/>
          <w:lang w:val="uk-UA"/>
        </w:rPr>
        <w:t xml:space="preserve"> енергетики та комунальних послуг, від 22 липня 2022 року № 798</w:t>
      </w:r>
      <w:r w:rsidR="0045558E" w:rsidRPr="00E8753F">
        <w:rPr>
          <w:bCs/>
          <w:szCs w:val="28"/>
          <w:lang w:val="uk-UA"/>
        </w:rPr>
        <w:t xml:space="preserve">, після пункту 1.4 </w:t>
      </w:r>
      <w:r w:rsidR="00572DC8" w:rsidRPr="00E8753F">
        <w:rPr>
          <w:bCs/>
          <w:szCs w:val="28"/>
          <w:lang w:val="uk-UA"/>
        </w:rPr>
        <w:t>доповнити новим пунктом 1.5 такого змісту:</w:t>
      </w:r>
    </w:p>
    <w:p w14:paraId="690BBE12" w14:textId="6CD1E385" w:rsidR="00572DC8" w:rsidRPr="00E8753F" w:rsidRDefault="00572DC8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«1.5. Ліцензування господарської діяльності </w:t>
      </w:r>
      <w:r w:rsidR="00033877" w:rsidRPr="00E8753F">
        <w:rPr>
          <w:bCs/>
          <w:szCs w:val="28"/>
          <w:lang w:val="uk-UA"/>
        </w:rPr>
        <w:t>зі зберігання енергії</w:t>
      </w:r>
      <w:r w:rsidRPr="00E8753F">
        <w:rPr>
          <w:bCs/>
          <w:szCs w:val="28"/>
          <w:lang w:val="uk-UA"/>
        </w:rPr>
        <w:t xml:space="preserve"> здійснюється відповідно до Порядку. </w:t>
      </w:r>
    </w:p>
    <w:p w14:paraId="0287A7A9" w14:textId="1480F196" w:rsidR="00572DC8" w:rsidRPr="00E8753F" w:rsidRDefault="00572DC8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У період дії воєнного стану в Україні та протягом 30 робочих днів після його закінчення або скасування ліцензування діяльності </w:t>
      </w:r>
      <w:r w:rsidR="00033877" w:rsidRPr="00E8753F">
        <w:rPr>
          <w:bCs/>
          <w:szCs w:val="28"/>
          <w:lang w:val="uk-UA"/>
        </w:rPr>
        <w:t>зі зберігання енергії</w:t>
      </w:r>
      <w:r w:rsidRPr="00E8753F">
        <w:rPr>
          <w:bCs/>
          <w:szCs w:val="28"/>
          <w:lang w:val="uk-UA"/>
        </w:rPr>
        <w:t xml:space="preserve"> здійснюється  з урахуванням таких особливостей:</w:t>
      </w:r>
    </w:p>
    <w:p w14:paraId="2937C02F" w14:textId="77777777" w:rsidR="00572DC8" w:rsidRPr="00E8753F" w:rsidRDefault="00572DC8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5AD490FC" w14:textId="48BE3CE8" w:rsidR="00572DC8" w:rsidRPr="00E8753F" w:rsidRDefault="00572DC8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1) заяви про отримання ліцензії або розгляд повідомлень про зміну загальної </w:t>
      </w:r>
      <w:r w:rsidR="00033877" w:rsidRPr="00E8753F">
        <w:rPr>
          <w:bCs/>
          <w:szCs w:val="28"/>
          <w:lang w:val="uk-UA"/>
        </w:rPr>
        <w:t xml:space="preserve">ліцензованої </w:t>
      </w:r>
      <w:r w:rsidRPr="00E8753F">
        <w:rPr>
          <w:bCs/>
          <w:szCs w:val="28"/>
          <w:lang w:val="uk-UA"/>
        </w:rPr>
        <w:t>потужності не підлягають розгляду та повертаються здобувачу ліцензії (ліцензіату), якщо вони подані суб’єктами господарювання, місцезнаходженням яких є територія активних бойових дій або тимчасово окупована територія відповідно до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 № 309 (далі – Перелік територій);</w:t>
      </w:r>
    </w:p>
    <w:p w14:paraId="27CAF016" w14:textId="77777777" w:rsidR="00572DC8" w:rsidRPr="00E8753F" w:rsidRDefault="00572DC8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2F693BFB" w14:textId="1AE2DAFC" w:rsidR="00572DC8" w:rsidRPr="006E1F7A" w:rsidRDefault="00572DC8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lastRenderedPageBreak/>
        <w:t xml:space="preserve">2) заяви про анулювання ліцензій не підлягають розгляду та повертаються ліцензіату, якщо вони подані суб’єктами господарювання, місцезнаходженням яких є області України, де відповідно до Переліку територій наявні території </w:t>
      </w:r>
      <w:r w:rsidRPr="006E1F7A">
        <w:rPr>
          <w:bCs/>
          <w:szCs w:val="28"/>
          <w:lang w:val="uk-UA"/>
        </w:rPr>
        <w:t>активних бойових дій та території тимчасово окуповані Російською Федерацією</w:t>
      </w:r>
      <w:r w:rsidR="005D471B" w:rsidRPr="006E1F7A">
        <w:rPr>
          <w:bCs/>
          <w:szCs w:val="28"/>
          <w:lang w:val="uk-UA"/>
        </w:rPr>
        <w:t>.</w:t>
      </w:r>
      <w:r w:rsidRPr="006E1F7A">
        <w:rPr>
          <w:bCs/>
          <w:szCs w:val="28"/>
          <w:lang w:val="uk-UA"/>
        </w:rPr>
        <w:t>»</w:t>
      </w:r>
      <w:r w:rsidR="006456E4" w:rsidRPr="006E1F7A">
        <w:rPr>
          <w:bCs/>
          <w:szCs w:val="28"/>
          <w:lang w:val="uk-UA"/>
        </w:rPr>
        <w:t>.</w:t>
      </w:r>
    </w:p>
    <w:p w14:paraId="732EEAAA" w14:textId="29B0B27C" w:rsidR="00572DC8" w:rsidRPr="00E8753F" w:rsidRDefault="00572DC8" w:rsidP="00572DC8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зв’язку з цим пункти  1.5 – 1.</w:t>
      </w:r>
      <w:r w:rsidR="00033877" w:rsidRPr="00E8753F">
        <w:rPr>
          <w:bCs/>
          <w:szCs w:val="28"/>
          <w:lang w:val="uk-UA"/>
        </w:rPr>
        <w:t>9</w:t>
      </w:r>
      <w:r w:rsidRPr="00E8753F">
        <w:rPr>
          <w:bCs/>
          <w:szCs w:val="28"/>
          <w:lang w:val="uk-UA"/>
        </w:rPr>
        <w:t xml:space="preserve"> вважати відповідно пунктами 1.6 – 1.1</w:t>
      </w:r>
      <w:r w:rsidR="00033877" w:rsidRPr="00E8753F">
        <w:rPr>
          <w:bCs/>
          <w:szCs w:val="28"/>
          <w:lang w:val="uk-UA"/>
        </w:rPr>
        <w:t>0</w:t>
      </w:r>
      <w:r w:rsidRPr="00E8753F">
        <w:rPr>
          <w:bCs/>
          <w:szCs w:val="28"/>
          <w:lang w:val="uk-UA"/>
        </w:rPr>
        <w:t>.</w:t>
      </w:r>
    </w:p>
    <w:p w14:paraId="3DF7CB76" w14:textId="77777777" w:rsidR="002222CA" w:rsidRPr="00E8753F" w:rsidRDefault="002222CA" w:rsidP="002222CA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059FD510" w14:textId="0180AA53" w:rsidR="00E619DE" w:rsidRPr="00E8753F" w:rsidRDefault="00E8753F" w:rsidP="005637A2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szCs w:val="28"/>
          <w:lang w:val="uk-UA"/>
        </w:rPr>
      </w:pPr>
      <w:r w:rsidRPr="00E8753F">
        <w:rPr>
          <w:bCs/>
          <w:szCs w:val="28"/>
        </w:rPr>
        <w:t>7</w:t>
      </w:r>
      <w:r w:rsidR="00534F4D" w:rsidRPr="00E8753F">
        <w:rPr>
          <w:bCs/>
          <w:szCs w:val="28"/>
          <w:lang w:val="uk-UA"/>
        </w:rPr>
        <w:t xml:space="preserve">. </w:t>
      </w:r>
      <w:r w:rsidR="00033877" w:rsidRPr="00E8753F">
        <w:rPr>
          <w:bCs/>
          <w:szCs w:val="28"/>
          <w:lang w:val="uk-UA"/>
        </w:rPr>
        <w:t>У главі 1 Ліцензійних умов провадження господарської діяльності</w:t>
      </w:r>
      <w:r w:rsidR="005637A2" w:rsidRPr="00E8753F">
        <w:rPr>
          <w:bCs/>
          <w:szCs w:val="28"/>
          <w:shd w:val="clear" w:color="auto" w:fill="FFFFFF"/>
          <w:lang w:val="uk-UA"/>
        </w:rPr>
        <w:t xml:space="preserve"> з</w:t>
      </w:r>
      <w:r w:rsidR="00534F4D" w:rsidRPr="00E8753F">
        <w:rPr>
          <w:bCs/>
          <w:szCs w:val="28"/>
          <w:shd w:val="clear" w:color="auto" w:fill="FFFFFF"/>
          <w:lang w:val="uk-UA"/>
        </w:rPr>
        <w:t xml:space="preserve"> агрегації </w:t>
      </w:r>
      <w:proofErr w:type="gramStart"/>
      <w:r w:rsidR="00534F4D" w:rsidRPr="00E8753F">
        <w:rPr>
          <w:bCs/>
          <w:szCs w:val="28"/>
          <w:shd w:val="clear" w:color="auto" w:fill="FFFFFF"/>
          <w:lang w:val="uk-UA"/>
        </w:rPr>
        <w:t>на ринку</w:t>
      </w:r>
      <w:proofErr w:type="gramEnd"/>
      <w:r w:rsidR="00534F4D" w:rsidRPr="00E8753F">
        <w:rPr>
          <w:bCs/>
          <w:szCs w:val="28"/>
          <w:shd w:val="clear" w:color="auto" w:fill="FFFFFF"/>
          <w:lang w:val="uk-UA"/>
        </w:rPr>
        <w:t xml:space="preserve"> електричної енергії</w:t>
      </w:r>
      <w:r w:rsidR="005637A2" w:rsidRPr="00E8753F">
        <w:rPr>
          <w:szCs w:val="28"/>
          <w:lang w:val="uk-UA"/>
        </w:rPr>
        <w:t xml:space="preserve">, затверджених постановою Національної комісії, що здійснює державне регулювання у сферах енергетики та комунальних послуг, від </w:t>
      </w:r>
      <w:r w:rsidR="00534F4D" w:rsidRPr="00E8753F">
        <w:rPr>
          <w:szCs w:val="28"/>
          <w:lang w:val="uk-UA"/>
        </w:rPr>
        <w:t>18 жовтня 2023 року № 1909</w:t>
      </w:r>
      <w:r w:rsidR="00454636" w:rsidRPr="00E8753F">
        <w:rPr>
          <w:szCs w:val="28"/>
          <w:lang w:val="uk-UA"/>
        </w:rPr>
        <w:t>:</w:t>
      </w:r>
    </w:p>
    <w:p w14:paraId="2B1442FA" w14:textId="5654CA3C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абзац четвертий пункту 1.4 після цифр «548» доповнити знаками та словами «(далі – Порядок ліцензування)»; </w:t>
      </w:r>
    </w:p>
    <w:p w14:paraId="435A335B" w14:textId="469F004D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після пункту 1.4 доповнити новим пунктом 1.5 такого змісту:</w:t>
      </w:r>
    </w:p>
    <w:p w14:paraId="76710F49" w14:textId="26A85C29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«1.5. Ліцензування господарської діяльності з агрегації на ринку електричної енергії здійснюється відповідно до Порядку ліцензування. </w:t>
      </w:r>
    </w:p>
    <w:p w14:paraId="6A644C91" w14:textId="44B522A4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період дії воєнного стану в Україні та протягом 30 робочих днів після його закінчення або скасування ліцензування діяльності з агрегації на ринку електричної енергії здійснюється  з урахуванням таких особливостей:</w:t>
      </w:r>
    </w:p>
    <w:p w14:paraId="24DA49FE" w14:textId="77777777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65555DA7" w14:textId="77777777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1) заяви про отримання ліцензії не підлягають розгляду</w:t>
      </w:r>
      <w:r w:rsidRPr="00E8753F">
        <w:rPr>
          <w:lang w:val="uk-UA"/>
        </w:rPr>
        <w:t xml:space="preserve"> </w:t>
      </w:r>
      <w:r w:rsidRPr="00E8753F">
        <w:rPr>
          <w:bCs/>
          <w:szCs w:val="28"/>
          <w:lang w:val="uk-UA"/>
        </w:rPr>
        <w:t>та повертаються здобувачу ліцензії, якщо вони подані суб’єктами господарювання, місцезнаходженням яких є територія активних бойових дій або тимчасово окупована територія відповідно до Переліку територій, на яких ведуться (велися) бойові дії або тимчасово окупованих Російською Федерацією, затвердженого наказом Міністерства з питань реінтеграції тимчасово окупованих територій України від 22 грудня 2022 року  № 309 (далі – Перелік територій);</w:t>
      </w:r>
    </w:p>
    <w:p w14:paraId="16F6BB58" w14:textId="77777777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127DD31F" w14:textId="0BF7ABF3" w:rsidR="00033877" w:rsidRPr="006E1F7A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 xml:space="preserve">2) заяви про анулювання ліцензій не підлягають розгляду та повертаються ліцензіату, якщо вони подані суб’єктами господарювання, місцезнаходженням яких є області України, де відповідно до Переліку територій наявні території </w:t>
      </w:r>
      <w:r w:rsidRPr="006E1F7A">
        <w:rPr>
          <w:bCs/>
          <w:szCs w:val="28"/>
          <w:lang w:val="uk-UA"/>
        </w:rPr>
        <w:t>активних бойових дій та території тимчасово окуповані Російською Федерацією</w:t>
      </w:r>
      <w:r w:rsidR="00BD1771" w:rsidRPr="006E1F7A">
        <w:rPr>
          <w:bCs/>
          <w:szCs w:val="28"/>
          <w:lang w:val="uk-UA"/>
        </w:rPr>
        <w:t>.</w:t>
      </w:r>
      <w:r w:rsidRPr="006E1F7A">
        <w:rPr>
          <w:bCs/>
          <w:szCs w:val="28"/>
          <w:lang w:val="uk-UA"/>
        </w:rPr>
        <w:t>»</w:t>
      </w:r>
      <w:r w:rsidR="006456E4" w:rsidRPr="006E1F7A">
        <w:rPr>
          <w:bCs/>
          <w:szCs w:val="28"/>
          <w:lang w:val="uk-UA"/>
        </w:rPr>
        <w:t>.</w:t>
      </w:r>
    </w:p>
    <w:p w14:paraId="00190FED" w14:textId="3AC13618" w:rsidR="00033877" w:rsidRPr="00E8753F" w:rsidRDefault="00033877" w:rsidP="00033877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  <w:r w:rsidRPr="00E8753F">
        <w:rPr>
          <w:bCs/>
          <w:szCs w:val="28"/>
          <w:lang w:val="uk-UA"/>
        </w:rPr>
        <w:t>У зв’язку з цим пункти  1.5 – 1.9 вважати відповідно пунктами 1.6 – 1.10.</w:t>
      </w:r>
    </w:p>
    <w:p w14:paraId="72B8077E" w14:textId="77777777" w:rsidR="00534F4D" w:rsidRPr="00E8753F" w:rsidRDefault="00534F4D" w:rsidP="00534F4D">
      <w:pPr>
        <w:shd w:val="clear" w:color="auto" w:fill="FFFFFF"/>
        <w:tabs>
          <w:tab w:val="left" w:pos="318"/>
          <w:tab w:val="left" w:pos="1134"/>
        </w:tabs>
        <w:ind w:firstLine="709"/>
        <w:jc w:val="both"/>
        <w:textAlignment w:val="baseline"/>
        <w:rPr>
          <w:bCs/>
          <w:szCs w:val="28"/>
          <w:lang w:val="uk-UA"/>
        </w:rPr>
      </w:pPr>
    </w:p>
    <w:p w14:paraId="3C863D4E" w14:textId="049CDB6D" w:rsidR="00FB7860" w:rsidRPr="00E8753F" w:rsidRDefault="00F50416" w:rsidP="00A70592">
      <w:pPr>
        <w:pStyle w:val="ab"/>
        <w:shd w:val="clear" w:color="auto" w:fill="FFFFFF"/>
        <w:tabs>
          <w:tab w:val="left" w:pos="318"/>
        </w:tabs>
        <w:ind w:left="786"/>
        <w:textAlignment w:val="baseline"/>
        <w:rPr>
          <w:szCs w:val="28"/>
          <w:lang w:val="uk-UA"/>
        </w:rPr>
      </w:pPr>
      <w:bookmarkStart w:id="5" w:name="_Hlk146537385"/>
      <w:r w:rsidRPr="00E8753F">
        <w:rPr>
          <w:szCs w:val="28"/>
          <w:lang w:val="uk-UA"/>
        </w:rPr>
        <w:t xml:space="preserve"> </w:t>
      </w:r>
    </w:p>
    <w:p w14:paraId="7F36FD4C" w14:textId="16DD2684" w:rsidR="002E3661" w:rsidRDefault="002E3661" w:rsidP="00C13345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2E3661">
        <w:rPr>
          <w:szCs w:val="28"/>
          <w:lang w:val="uk-UA"/>
        </w:rPr>
        <w:t>Заступник начальника управління –</w:t>
      </w:r>
    </w:p>
    <w:p w14:paraId="5F7080ED" w14:textId="3D1B5C50" w:rsidR="002E3661" w:rsidRDefault="002E3661" w:rsidP="00C13345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2E3661">
        <w:rPr>
          <w:szCs w:val="28"/>
          <w:lang w:val="uk-UA"/>
        </w:rPr>
        <w:t>начальник відділу ліцензування у</w:t>
      </w:r>
    </w:p>
    <w:p w14:paraId="184181D2" w14:textId="5DB1320B" w:rsidR="002E3661" w:rsidRDefault="002E3661" w:rsidP="00C13345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2E3661">
        <w:rPr>
          <w:szCs w:val="28"/>
          <w:lang w:val="uk-UA"/>
        </w:rPr>
        <w:t xml:space="preserve">електроенергетичному комплексі </w:t>
      </w:r>
    </w:p>
    <w:p w14:paraId="29D4E383" w14:textId="67B0B620" w:rsidR="00390C53" w:rsidRPr="00E8753F" w:rsidRDefault="002E3661" w:rsidP="00C13345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2E3661">
        <w:rPr>
          <w:szCs w:val="28"/>
          <w:lang w:val="uk-UA"/>
        </w:rPr>
        <w:t>Управління ліцензування</w:t>
      </w:r>
      <w:r w:rsidRPr="002E3661" w:rsidDel="002E3661">
        <w:rPr>
          <w:szCs w:val="28"/>
          <w:lang w:val="uk-UA"/>
        </w:rPr>
        <w:t xml:space="preserve"> </w:t>
      </w:r>
      <w:r w:rsidR="00FB7860" w:rsidRPr="00E8753F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                    Анастасія САКІВСЬКА</w:t>
      </w:r>
      <w:r w:rsidR="00FB7860" w:rsidRPr="00E8753F">
        <w:rPr>
          <w:szCs w:val="28"/>
          <w:lang w:val="uk-UA"/>
        </w:rPr>
        <w:tab/>
      </w:r>
      <w:r w:rsidR="00FB7860" w:rsidRPr="00E8753F">
        <w:rPr>
          <w:szCs w:val="28"/>
          <w:lang w:val="uk-UA"/>
        </w:rPr>
        <w:tab/>
      </w:r>
      <w:r w:rsidR="006456E4">
        <w:rPr>
          <w:szCs w:val="28"/>
          <w:lang w:val="uk-UA"/>
        </w:rPr>
        <w:t xml:space="preserve">       </w:t>
      </w:r>
      <w:bookmarkEnd w:id="2"/>
      <w:bookmarkEnd w:id="5"/>
      <w:r>
        <w:rPr>
          <w:szCs w:val="28"/>
          <w:lang w:val="uk-UA"/>
        </w:rPr>
        <w:t xml:space="preserve">      </w:t>
      </w:r>
    </w:p>
    <w:bookmarkEnd w:id="1"/>
    <w:p w14:paraId="0A31DCF3" w14:textId="77777777" w:rsidR="00F161BE" w:rsidRPr="00E8753F" w:rsidRDefault="00F161BE" w:rsidP="005637A2">
      <w:pPr>
        <w:shd w:val="clear" w:color="auto" w:fill="FFFFFF"/>
        <w:tabs>
          <w:tab w:val="left" w:pos="318"/>
        </w:tabs>
        <w:ind w:firstLine="426"/>
        <w:textAlignment w:val="baseline"/>
        <w:rPr>
          <w:szCs w:val="28"/>
          <w:lang w:val="uk-UA"/>
        </w:rPr>
      </w:pPr>
    </w:p>
    <w:sectPr w:rsidR="00F161BE" w:rsidRPr="00E8753F" w:rsidSect="00A55B80">
      <w:pgSz w:w="11907" w:h="16840" w:code="9"/>
      <w:pgMar w:top="1134" w:right="567" w:bottom="1701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EE77F" w14:textId="77777777" w:rsidR="00C65E52" w:rsidRDefault="00C65E52">
      <w:r>
        <w:separator/>
      </w:r>
    </w:p>
  </w:endnote>
  <w:endnote w:type="continuationSeparator" w:id="0">
    <w:p w14:paraId="1A9DC1D6" w14:textId="77777777" w:rsidR="00C65E52" w:rsidRDefault="00C65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5ACEB" w14:textId="77777777" w:rsidR="00C65E52" w:rsidRDefault="00C65E52">
      <w:r>
        <w:separator/>
      </w:r>
    </w:p>
  </w:footnote>
  <w:footnote w:type="continuationSeparator" w:id="0">
    <w:p w14:paraId="44F42785" w14:textId="77777777" w:rsidR="00C65E52" w:rsidRDefault="00C65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233732"/>
      <w:docPartObj>
        <w:docPartGallery w:val="Page Numbers (Top of Page)"/>
        <w:docPartUnique/>
      </w:docPartObj>
    </w:sdtPr>
    <w:sdtEndPr/>
    <w:sdtContent>
      <w:p w14:paraId="668DEFEE" w14:textId="530DEA49" w:rsidR="00A55B80" w:rsidRDefault="00A55B8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59CFCE5" w14:textId="77777777" w:rsidR="00A55B80" w:rsidRDefault="00A55B8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962AD" w14:textId="215EF7DF" w:rsidR="00A55B80" w:rsidRDefault="00A55B80">
    <w:pPr>
      <w:pStyle w:val="a3"/>
      <w:jc w:val="center"/>
    </w:pPr>
  </w:p>
  <w:p w14:paraId="1E200C77" w14:textId="77777777" w:rsidR="00BC2272" w:rsidRPr="006E7C3E" w:rsidRDefault="00BC2272" w:rsidP="006E7C3E">
    <w:pPr>
      <w:pStyle w:val="a3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44916C1"/>
    <w:multiLevelType w:val="hybridMultilevel"/>
    <w:tmpl w:val="D1B8FF5E"/>
    <w:lvl w:ilvl="0" w:tplc="B3B006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BC401B"/>
    <w:multiLevelType w:val="hybridMultilevel"/>
    <w:tmpl w:val="DC3A3086"/>
    <w:lvl w:ilvl="0" w:tplc="0BC833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5"/>
  </w:num>
  <w:num w:numId="3">
    <w:abstractNumId w:val="2"/>
  </w:num>
  <w:num w:numId="4">
    <w:abstractNumId w:val="7"/>
  </w:num>
  <w:num w:numId="5">
    <w:abstractNumId w:val="21"/>
  </w:num>
  <w:num w:numId="6">
    <w:abstractNumId w:val="18"/>
  </w:num>
  <w:num w:numId="7">
    <w:abstractNumId w:val="1"/>
  </w:num>
  <w:num w:numId="8">
    <w:abstractNumId w:val="15"/>
  </w:num>
  <w:num w:numId="9">
    <w:abstractNumId w:val="0"/>
  </w:num>
  <w:num w:numId="10">
    <w:abstractNumId w:val="20"/>
  </w:num>
  <w:num w:numId="11">
    <w:abstractNumId w:val="8"/>
  </w:num>
  <w:num w:numId="12">
    <w:abstractNumId w:val="16"/>
  </w:num>
  <w:num w:numId="13">
    <w:abstractNumId w:val="3"/>
  </w:num>
  <w:num w:numId="14">
    <w:abstractNumId w:val="9"/>
  </w:num>
  <w:num w:numId="15">
    <w:abstractNumId w:val="12"/>
  </w:num>
  <w:num w:numId="16">
    <w:abstractNumId w:val="6"/>
  </w:num>
  <w:num w:numId="17">
    <w:abstractNumId w:val="4"/>
  </w:num>
  <w:num w:numId="18">
    <w:abstractNumId w:val="14"/>
  </w:num>
  <w:num w:numId="19">
    <w:abstractNumId w:val="13"/>
  </w:num>
  <w:num w:numId="20">
    <w:abstractNumId w:val="10"/>
  </w:num>
  <w:num w:numId="21">
    <w:abstractNumId w:val="1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111CD"/>
    <w:rsid w:val="0001382E"/>
    <w:rsid w:val="00015FF9"/>
    <w:rsid w:val="00017A17"/>
    <w:rsid w:val="0002191A"/>
    <w:rsid w:val="00033877"/>
    <w:rsid w:val="000340ED"/>
    <w:rsid w:val="00040245"/>
    <w:rsid w:val="00051F69"/>
    <w:rsid w:val="000651C9"/>
    <w:rsid w:val="00067C4C"/>
    <w:rsid w:val="00067FAC"/>
    <w:rsid w:val="0007029B"/>
    <w:rsid w:val="0008498F"/>
    <w:rsid w:val="000A43FB"/>
    <w:rsid w:val="000A5800"/>
    <w:rsid w:val="000A7D5E"/>
    <w:rsid w:val="000B0116"/>
    <w:rsid w:val="000B35CF"/>
    <w:rsid w:val="000C3A7E"/>
    <w:rsid w:val="000C7146"/>
    <w:rsid w:val="000D0D3F"/>
    <w:rsid w:val="000D5FA7"/>
    <w:rsid w:val="000D7A5E"/>
    <w:rsid w:val="000E6A9C"/>
    <w:rsid w:val="000F22CA"/>
    <w:rsid w:val="001101A3"/>
    <w:rsid w:val="00120161"/>
    <w:rsid w:val="001360E8"/>
    <w:rsid w:val="00164B8C"/>
    <w:rsid w:val="00171F38"/>
    <w:rsid w:val="00173C3F"/>
    <w:rsid w:val="001740B1"/>
    <w:rsid w:val="00177F4D"/>
    <w:rsid w:val="00181FE9"/>
    <w:rsid w:val="0019124F"/>
    <w:rsid w:val="00193EC5"/>
    <w:rsid w:val="00197806"/>
    <w:rsid w:val="001A1803"/>
    <w:rsid w:val="001B1296"/>
    <w:rsid w:val="001C1D19"/>
    <w:rsid w:val="001C2721"/>
    <w:rsid w:val="001C4BC1"/>
    <w:rsid w:val="001C7FC1"/>
    <w:rsid w:val="001D4BB8"/>
    <w:rsid w:val="001E1916"/>
    <w:rsid w:val="001E697E"/>
    <w:rsid w:val="001E747F"/>
    <w:rsid w:val="001F5916"/>
    <w:rsid w:val="001F6472"/>
    <w:rsid w:val="001F7D4F"/>
    <w:rsid w:val="00211E0C"/>
    <w:rsid w:val="00214B71"/>
    <w:rsid w:val="002222CA"/>
    <w:rsid w:val="00225E87"/>
    <w:rsid w:val="00233BA2"/>
    <w:rsid w:val="00240EDA"/>
    <w:rsid w:val="00242E62"/>
    <w:rsid w:val="002444DB"/>
    <w:rsid w:val="002451EE"/>
    <w:rsid w:val="00271AF5"/>
    <w:rsid w:val="00277AB3"/>
    <w:rsid w:val="0028465C"/>
    <w:rsid w:val="002A753F"/>
    <w:rsid w:val="002C4370"/>
    <w:rsid w:val="002D5D31"/>
    <w:rsid w:val="002E258F"/>
    <w:rsid w:val="002E3661"/>
    <w:rsid w:val="002F06A7"/>
    <w:rsid w:val="002F4E9F"/>
    <w:rsid w:val="002F599A"/>
    <w:rsid w:val="002F5D0B"/>
    <w:rsid w:val="0030208D"/>
    <w:rsid w:val="003064C5"/>
    <w:rsid w:val="003302DE"/>
    <w:rsid w:val="00331018"/>
    <w:rsid w:val="00336533"/>
    <w:rsid w:val="00346866"/>
    <w:rsid w:val="00355A8E"/>
    <w:rsid w:val="00362AF9"/>
    <w:rsid w:val="00363C69"/>
    <w:rsid w:val="00374542"/>
    <w:rsid w:val="003845B5"/>
    <w:rsid w:val="00385B44"/>
    <w:rsid w:val="00390C53"/>
    <w:rsid w:val="00392ACA"/>
    <w:rsid w:val="003962D2"/>
    <w:rsid w:val="003A08B4"/>
    <w:rsid w:val="003A0B85"/>
    <w:rsid w:val="003A5427"/>
    <w:rsid w:val="003A7C44"/>
    <w:rsid w:val="003B0BA4"/>
    <w:rsid w:val="003B3A32"/>
    <w:rsid w:val="003B7689"/>
    <w:rsid w:val="003C09EC"/>
    <w:rsid w:val="003C303E"/>
    <w:rsid w:val="003C6267"/>
    <w:rsid w:val="003D7817"/>
    <w:rsid w:val="003F5614"/>
    <w:rsid w:val="00403D77"/>
    <w:rsid w:val="004062EB"/>
    <w:rsid w:val="00407B16"/>
    <w:rsid w:val="00410304"/>
    <w:rsid w:val="00411239"/>
    <w:rsid w:val="00422A93"/>
    <w:rsid w:val="00425C09"/>
    <w:rsid w:val="004314BC"/>
    <w:rsid w:val="00436334"/>
    <w:rsid w:val="00446994"/>
    <w:rsid w:val="00450A2A"/>
    <w:rsid w:val="00454189"/>
    <w:rsid w:val="00454636"/>
    <w:rsid w:val="0045558E"/>
    <w:rsid w:val="004637A6"/>
    <w:rsid w:val="004649AA"/>
    <w:rsid w:val="004759D1"/>
    <w:rsid w:val="00484F5D"/>
    <w:rsid w:val="00486296"/>
    <w:rsid w:val="004949DF"/>
    <w:rsid w:val="00494BC5"/>
    <w:rsid w:val="004B1DF1"/>
    <w:rsid w:val="004C4597"/>
    <w:rsid w:val="004D1852"/>
    <w:rsid w:val="004D64BA"/>
    <w:rsid w:val="004E13FF"/>
    <w:rsid w:val="004E1C38"/>
    <w:rsid w:val="004F0984"/>
    <w:rsid w:val="004F4F18"/>
    <w:rsid w:val="00511029"/>
    <w:rsid w:val="0052441E"/>
    <w:rsid w:val="00532A04"/>
    <w:rsid w:val="00534F4D"/>
    <w:rsid w:val="0054142A"/>
    <w:rsid w:val="005414DA"/>
    <w:rsid w:val="0054704B"/>
    <w:rsid w:val="00553EF4"/>
    <w:rsid w:val="005637A2"/>
    <w:rsid w:val="0056533E"/>
    <w:rsid w:val="00572DC8"/>
    <w:rsid w:val="005730DF"/>
    <w:rsid w:val="0057537B"/>
    <w:rsid w:val="00580CF5"/>
    <w:rsid w:val="00586B79"/>
    <w:rsid w:val="00586ECD"/>
    <w:rsid w:val="005A3135"/>
    <w:rsid w:val="005A66F2"/>
    <w:rsid w:val="005B0DEE"/>
    <w:rsid w:val="005B609E"/>
    <w:rsid w:val="005D19A9"/>
    <w:rsid w:val="005D471B"/>
    <w:rsid w:val="005D7906"/>
    <w:rsid w:val="005E07B0"/>
    <w:rsid w:val="005E4286"/>
    <w:rsid w:val="005E5805"/>
    <w:rsid w:val="005F4374"/>
    <w:rsid w:val="005F62E7"/>
    <w:rsid w:val="00617E39"/>
    <w:rsid w:val="00625B99"/>
    <w:rsid w:val="00625E70"/>
    <w:rsid w:val="00630B2D"/>
    <w:rsid w:val="0063790D"/>
    <w:rsid w:val="00642D71"/>
    <w:rsid w:val="006456E4"/>
    <w:rsid w:val="00647CA5"/>
    <w:rsid w:val="00655D5A"/>
    <w:rsid w:val="006807C0"/>
    <w:rsid w:val="00681A32"/>
    <w:rsid w:val="00683323"/>
    <w:rsid w:val="006903CA"/>
    <w:rsid w:val="006909E8"/>
    <w:rsid w:val="00692720"/>
    <w:rsid w:val="006949A6"/>
    <w:rsid w:val="006A3083"/>
    <w:rsid w:val="006A4153"/>
    <w:rsid w:val="006A47AF"/>
    <w:rsid w:val="006C2A19"/>
    <w:rsid w:val="006C41B0"/>
    <w:rsid w:val="006C6317"/>
    <w:rsid w:val="006C6748"/>
    <w:rsid w:val="006C7932"/>
    <w:rsid w:val="006D6190"/>
    <w:rsid w:val="006D6760"/>
    <w:rsid w:val="006E1F7A"/>
    <w:rsid w:val="006E31AC"/>
    <w:rsid w:val="006E7C3E"/>
    <w:rsid w:val="006F7FF9"/>
    <w:rsid w:val="007019C3"/>
    <w:rsid w:val="00705050"/>
    <w:rsid w:val="00717FF2"/>
    <w:rsid w:val="00721573"/>
    <w:rsid w:val="00722643"/>
    <w:rsid w:val="007243D9"/>
    <w:rsid w:val="00744A82"/>
    <w:rsid w:val="00755810"/>
    <w:rsid w:val="007574BB"/>
    <w:rsid w:val="00767318"/>
    <w:rsid w:val="007741AD"/>
    <w:rsid w:val="00775A60"/>
    <w:rsid w:val="00780EF4"/>
    <w:rsid w:val="007867D7"/>
    <w:rsid w:val="00787AC8"/>
    <w:rsid w:val="00796701"/>
    <w:rsid w:val="007B158F"/>
    <w:rsid w:val="007C4E27"/>
    <w:rsid w:val="007D15F0"/>
    <w:rsid w:val="007D7619"/>
    <w:rsid w:val="007E0C48"/>
    <w:rsid w:val="007E7842"/>
    <w:rsid w:val="007F06DC"/>
    <w:rsid w:val="007F1757"/>
    <w:rsid w:val="007F46D0"/>
    <w:rsid w:val="007F6FFD"/>
    <w:rsid w:val="0080321F"/>
    <w:rsid w:val="008077E1"/>
    <w:rsid w:val="0082422E"/>
    <w:rsid w:val="008334F7"/>
    <w:rsid w:val="00834F20"/>
    <w:rsid w:val="00845F97"/>
    <w:rsid w:val="008470AB"/>
    <w:rsid w:val="00850C4E"/>
    <w:rsid w:val="00854A42"/>
    <w:rsid w:val="00860294"/>
    <w:rsid w:val="00863779"/>
    <w:rsid w:val="00866015"/>
    <w:rsid w:val="00871751"/>
    <w:rsid w:val="00871927"/>
    <w:rsid w:val="00871CFA"/>
    <w:rsid w:val="00874D8E"/>
    <w:rsid w:val="00877F33"/>
    <w:rsid w:val="00883A4B"/>
    <w:rsid w:val="008914DE"/>
    <w:rsid w:val="0089795B"/>
    <w:rsid w:val="008A4CB3"/>
    <w:rsid w:val="008B5190"/>
    <w:rsid w:val="008C08CF"/>
    <w:rsid w:val="008C6906"/>
    <w:rsid w:val="008D65F0"/>
    <w:rsid w:val="008D7111"/>
    <w:rsid w:val="008F5F02"/>
    <w:rsid w:val="00905F3B"/>
    <w:rsid w:val="0090793F"/>
    <w:rsid w:val="009122E7"/>
    <w:rsid w:val="00926A83"/>
    <w:rsid w:val="00927C0E"/>
    <w:rsid w:val="009401D5"/>
    <w:rsid w:val="00942123"/>
    <w:rsid w:val="0094470B"/>
    <w:rsid w:val="0094503D"/>
    <w:rsid w:val="00950E77"/>
    <w:rsid w:val="00951336"/>
    <w:rsid w:val="0095293D"/>
    <w:rsid w:val="00954D39"/>
    <w:rsid w:val="009835E1"/>
    <w:rsid w:val="009877B4"/>
    <w:rsid w:val="009A0109"/>
    <w:rsid w:val="009A3733"/>
    <w:rsid w:val="009C4568"/>
    <w:rsid w:val="009D249F"/>
    <w:rsid w:val="009E05D5"/>
    <w:rsid w:val="00A0409C"/>
    <w:rsid w:val="00A04258"/>
    <w:rsid w:val="00A158D4"/>
    <w:rsid w:val="00A2561B"/>
    <w:rsid w:val="00A30B93"/>
    <w:rsid w:val="00A3427E"/>
    <w:rsid w:val="00A40598"/>
    <w:rsid w:val="00A454FB"/>
    <w:rsid w:val="00A55B80"/>
    <w:rsid w:val="00A55DAF"/>
    <w:rsid w:val="00A5713E"/>
    <w:rsid w:val="00A64087"/>
    <w:rsid w:val="00A70592"/>
    <w:rsid w:val="00A724D3"/>
    <w:rsid w:val="00A7635B"/>
    <w:rsid w:val="00A77A67"/>
    <w:rsid w:val="00A86B7E"/>
    <w:rsid w:val="00A86B86"/>
    <w:rsid w:val="00A92566"/>
    <w:rsid w:val="00AB0192"/>
    <w:rsid w:val="00AB2BE8"/>
    <w:rsid w:val="00AB3EBD"/>
    <w:rsid w:val="00AC251E"/>
    <w:rsid w:val="00AD0CF2"/>
    <w:rsid w:val="00AE424B"/>
    <w:rsid w:val="00AE52E5"/>
    <w:rsid w:val="00AE7C71"/>
    <w:rsid w:val="00AF5971"/>
    <w:rsid w:val="00AF75A4"/>
    <w:rsid w:val="00B0269C"/>
    <w:rsid w:val="00B047EB"/>
    <w:rsid w:val="00B0496B"/>
    <w:rsid w:val="00B051D2"/>
    <w:rsid w:val="00B05871"/>
    <w:rsid w:val="00B130DD"/>
    <w:rsid w:val="00B13DCF"/>
    <w:rsid w:val="00B200C0"/>
    <w:rsid w:val="00B233DD"/>
    <w:rsid w:val="00B47D65"/>
    <w:rsid w:val="00B5022D"/>
    <w:rsid w:val="00B541F2"/>
    <w:rsid w:val="00B62D49"/>
    <w:rsid w:val="00B710EC"/>
    <w:rsid w:val="00B72F36"/>
    <w:rsid w:val="00B734ED"/>
    <w:rsid w:val="00B87B4C"/>
    <w:rsid w:val="00B93934"/>
    <w:rsid w:val="00BA1FD9"/>
    <w:rsid w:val="00BA3A40"/>
    <w:rsid w:val="00BA5C9D"/>
    <w:rsid w:val="00BA7F17"/>
    <w:rsid w:val="00BB22B9"/>
    <w:rsid w:val="00BC2272"/>
    <w:rsid w:val="00BD1771"/>
    <w:rsid w:val="00BE796B"/>
    <w:rsid w:val="00BF1572"/>
    <w:rsid w:val="00C07DDC"/>
    <w:rsid w:val="00C07F2F"/>
    <w:rsid w:val="00C13345"/>
    <w:rsid w:val="00C13DE8"/>
    <w:rsid w:val="00C20DBF"/>
    <w:rsid w:val="00C23B60"/>
    <w:rsid w:val="00C24830"/>
    <w:rsid w:val="00C32DB8"/>
    <w:rsid w:val="00C3737D"/>
    <w:rsid w:val="00C4085C"/>
    <w:rsid w:val="00C44B04"/>
    <w:rsid w:val="00C45091"/>
    <w:rsid w:val="00C46DE8"/>
    <w:rsid w:val="00C52F93"/>
    <w:rsid w:val="00C547B0"/>
    <w:rsid w:val="00C62BA8"/>
    <w:rsid w:val="00C65E52"/>
    <w:rsid w:val="00C678FF"/>
    <w:rsid w:val="00CB31FB"/>
    <w:rsid w:val="00CB35F0"/>
    <w:rsid w:val="00CB3D71"/>
    <w:rsid w:val="00CB7C40"/>
    <w:rsid w:val="00CC0DA3"/>
    <w:rsid w:val="00CC1965"/>
    <w:rsid w:val="00CC5F3E"/>
    <w:rsid w:val="00CE1605"/>
    <w:rsid w:val="00CE243D"/>
    <w:rsid w:val="00CE2D30"/>
    <w:rsid w:val="00CF7DC6"/>
    <w:rsid w:val="00D01743"/>
    <w:rsid w:val="00D03D0C"/>
    <w:rsid w:val="00D05775"/>
    <w:rsid w:val="00D12E35"/>
    <w:rsid w:val="00D229C9"/>
    <w:rsid w:val="00D24057"/>
    <w:rsid w:val="00D36E0B"/>
    <w:rsid w:val="00D5089B"/>
    <w:rsid w:val="00D51D02"/>
    <w:rsid w:val="00D561D1"/>
    <w:rsid w:val="00D62A8F"/>
    <w:rsid w:val="00D66422"/>
    <w:rsid w:val="00D72028"/>
    <w:rsid w:val="00D72054"/>
    <w:rsid w:val="00D8086C"/>
    <w:rsid w:val="00D9246D"/>
    <w:rsid w:val="00D95A5F"/>
    <w:rsid w:val="00DA2AB9"/>
    <w:rsid w:val="00DA3F63"/>
    <w:rsid w:val="00DA7636"/>
    <w:rsid w:val="00DA79C9"/>
    <w:rsid w:val="00DB7476"/>
    <w:rsid w:val="00DC323D"/>
    <w:rsid w:val="00DD3460"/>
    <w:rsid w:val="00DE524B"/>
    <w:rsid w:val="00DF0471"/>
    <w:rsid w:val="00DF3EEB"/>
    <w:rsid w:val="00E018D1"/>
    <w:rsid w:val="00E029B7"/>
    <w:rsid w:val="00E16258"/>
    <w:rsid w:val="00E2424B"/>
    <w:rsid w:val="00E27378"/>
    <w:rsid w:val="00E42BDF"/>
    <w:rsid w:val="00E43328"/>
    <w:rsid w:val="00E433AE"/>
    <w:rsid w:val="00E461A7"/>
    <w:rsid w:val="00E57642"/>
    <w:rsid w:val="00E619DE"/>
    <w:rsid w:val="00E725D5"/>
    <w:rsid w:val="00E73729"/>
    <w:rsid w:val="00E77D8D"/>
    <w:rsid w:val="00E8753F"/>
    <w:rsid w:val="00E97318"/>
    <w:rsid w:val="00EA02A6"/>
    <w:rsid w:val="00EA0ACE"/>
    <w:rsid w:val="00EA4E4B"/>
    <w:rsid w:val="00EA5CC9"/>
    <w:rsid w:val="00EB3F0D"/>
    <w:rsid w:val="00ED2023"/>
    <w:rsid w:val="00ED4086"/>
    <w:rsid w:val="00ED72E0"/>
    <w:rsid w:val="00EE3AF9"/>
    <w:rsid w:val="00EE414E"/>
    <w:rsid w:val="00EE733E"/>
    <w:rsid w:val="00EF12A5"/>
    <w:rsid w:val="00F068F2"/>
    <w:rsid w:val="00F06AFC"/>
    <w:rsid w:val="00F118C3"/>
    <w:rsid w:val="00F161BE"/>
    <w:rsid w:val="00F166A6"/>
    <w:rsid w:val="00F216A3"/>
    <w:rsid w:val="00F22833"/>
    <w:rsid w:val="00F26D35"/>
    <w:rsid w:val="00F27C84"/>
    <w:rsid w:val="00F30196"/>
    <w:rsid w:val="00F36F00"/>
    <w:rsid w:val="00F3739E"/>
    <w:rsid w:val="00F426DC"/>
    <w:rsid w:val="00F435DE"/>
    <w:rsid w:val="00F44019"/>
    <w:rsid w:val="00F44577"/>
    <w:rsid w:val="00F50416"/>
    <w:rsid w:val="00F549F1"/>
    <w:rsid w:val="00F65579"/>
    <w:rsid w:val="00F67AE2"/>
    <w:rsid w:val="00F738FB"/>
    <w:rsid w:val="00F832AB"/>
    <w:rsid w:val="00F84CC8"/>
    <w:rsid w:val="00FA4C87"/>
    <w:rsid w:val="00FA6D56"/>
    <w:rsid w:val="00FB30BB"/>
    <w:rsid w:val="00FB67F5"/>
    <w:rsid w:val="00FB7860"/>
    <w:rsid w:val="00FC0EA6"/>
    <w:rsid w:val="00FC6AD2"/>
    <w:rsid w:val="00FC77A9"/>
    <w:rsid w:val="00FD574F"/>
    <w:rsid w:val="00FD752A"/>
    <w:rsid w:val="00FE1313"/>
    <w:rsid w:val="00FE6D87"/>
    <w:rsid w:val="00FE6E87"/>
    <w:rsid w:val="00FE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4CE18"/>
  <w15:docId w15:val="{BDC69C87-C851-42AA-9C38-1C133623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D03D0C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8C44B-5135-4508-BE56-12E89000E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18</TotalTime>
  <Pages>7</Pages>
  <Words>2241</Words>
  <Characters>12778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14990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Лілія Ковальська</cp:lastModifiedBy>
  <cp:revision>9</cp:revision>
  <cp:lastPrinted>2024-09-24T11:16:00Z</cp:lastPrinted>
  <dcterms:created xsi:type="dcterms:W3CDTF">2024-09-24T11:05:00Z</dcterms:created>
  <dcterms:modified xsi:type="dcterms:W3CDTF">2024-09-24T11:28:00Z</dcterms:modified>
</cp:coreProperties>
</file>