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5FCEF" w14:textId="77777777" w:rsidR="00363DC0" w:rsidRPr="005C6D06" w:rsidRDefault="00363DC0" w:rsidP="00AB3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C6D06">
        <w:rPr>
          <w:rFonts w:ascii="Times New Roman" w:hAnsi="Times New Roman" w:cs="Times New Roman"/>
          <w:b/>
          <w:sz w:val="28"/>
          <w:szCs w:val="28"/>
        </w:rPr>
        <w:t xml:space="preserve">АНАЛІЗ ВПЛИВУ </w:t>
      </w:r>
    </w:p>
    <w:p w14:paraId="09550151" w14:textId="77368D56" w:rsidR="00363DC0" w:rsidRPr="005C6D06" w:rsidRDefault="00DC1500" w:rsidP="00AB3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D06">
        <w:rPr>
          <w:rFonts w:ascii="Times New Roman" w:hAnsi="Times New Roman" w:cs="Times New Roman"/>
          <w:b/>
          <w:sz w:val="28"/>
          <w:szCs w:val="28"/>
        </w:rPr>
        <w:t>про</w:t>
      </w:r>
      <w:r w:rsidR="004E2EFB" w:rsidRPr="005C6D06">
        <w:rPr>
          <w:rFonts w:ascii="Times New Roman" w:hAnsi="Times New Roman" w:cs="Times New Roman"/>
          <w:b/>
          <w:sz w:val="28"/>
          <w:szCs w:val="28"/>
        </w:rPr>
        <w:t>є</w:t>
      </w:r>
      <w:r w:rsidRPr="005C6D06">
        <w:rPr>
          <w:rFonts w:ascii="Times New Roman" w:hAnsi="Times New Roman" w:cs="Times New Roman"/>
          <w:b/>
          <w:sz w:val="28"/>
          <w:szCs w:val="28"/>
        </w:rPr>
        <w:t xml:space="preserve">кту постанови НКРЕКП </w:t>
      </w:r>
      <w:r w:rsidR="00FC7B8A" w:rsidRPr="005C6D06">
        <w:rPr>
          <w:rFonts w:ascii="Times New Roman" w:hAnsi="Times New Roman" w:cs="Times New Roman"/>
          <w:b/>
          <w:sz w:val="28"/>
          <w:szCs w:val="28"/>
        </w:rPr>
        <w:t>«</w:t>
      </w:r>
      <w:r w:rsidR="0026649E" w:rsidRPr="0026649E">
        <w:rPr>
          <w:rFonts w:ascii="Times New Roman" w:hAnsi="Times New Roman" w:cs="Times New Roman"/>
          <w:b/>
          <w:sz w:val="28"/>
          <w:szCs w:val="28"/>
        </w:rPr>
        <w:t>Про внесення змін до Порядку формування цін на універсальні послуги</w:t>
      </w:r>
      <w:r w:rsidR="00FC7B8A" w:rsidRPr="005C6D06">
        <w:rPr>
          <w:rFonts w:ascii="Times New Roman" w:hAnsi="Times New Roman" w:cs="Times New Roman"/>
          <w:b/>
          <w:sz w:val="28"/>
          <w:szCs w:val="28"/>
        </w:rPr>
        <w:t>»</w:t>
      </w:r>
      <w:r w:rsidR="00D165E3" w:rsidRPr="005C6D06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1D204584" w14:textId="77777777" w:rsidR="00DC1500" w:rsidRPr="005C6D06" w:rsidRDefault="00D165E3" w:rsidP="00AB3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D06">
        <w:rPr>
          <w:rFonts w:ascii="Times New Roman" w:hAnsi="Times New Roman" w:cs="Times New Roman"/>
          <w:b/>
          <w:sz w:val="28"/>
          <w:szCs w:val="28"/>
        </w:rPr>
        <w:t>що має ознаки регуляторного акта</w:t>
      </w:r>
    </w:p>
    <w:p w14:paraId="7A178F30" w14:textId="77777777" w:rsidR="008F5F46" w:rsidRPr="005C6D06" w:rsidRDefault="008F5F46" w:rsidP="00AB3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D28DF" w14:textId="77777777" w:rsidR="00DC1500" w:rsidRPr="005C6D06" w:rsidRDefault="00DC1500" w:rsidP="00AB3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7ABB5287" w14:textId="49681A23" w:rsidR="005A31FB" w:rsidRPr="005C6D06" w:rsidRDefault="005A31FB" w:rsidP="00AB3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A8F1A52" w14:textId="77777777" w:rsidR="0026649E" w:rsidRPr="0026649E" w:rsidRDefault="0026649E" w:rsidP="002664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6649E">
        <w:rPr>
          <w:rFonts w:ascii="Times New Roman" w:hAnsi="Times New Roman" w:cs="Times New Roman"/>
          <w:bCs/>
          <w:sz w:val="28"/>
          <w:szCs w:val="28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</w:t>
      </w:r>
      <w:r w:rsidRPr="0026649E">
        <w:rPr>
          <w:rFonts w:ascii="Times New Roman" w:hAnsi="Times New Roman" w:cs="Times New Roman"/>
          <w:sz w:val="28"/>
          <w:szCs w:val="28"/>
        </w:rPr>
        <w:t>НКРЕКП здійснює державне регулювання з метою досягнення балансу інтересів споживачів, суб’єктів господарювання, що провадять діяльність у сферах енергетики та комунальних послуг, і держави, забезпечення енергетичної безпеки, європейської інтеграції ринків електричної енергії України.</w:t>
      </w:r>
    </w:p>
    <w:p w14:paraId="3EF198B3" w14:textId="77777777" w:rsidR="0026649E" w:rsidRPr="0026649E" w:rsidRDefault="0026649E" w:rsidP="0026649E">
      <w:pPr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649E">
        <w:rPr>
          <w:rFonts w:ascii="Times New Roman" w:hAnsi="Times New Roman" w:cs="Times New Roman"/>
          <w:bCs/>
          <w:sz w:val="28"/>
          <w:szCs w:val="28"/>
        </w:rPr>
        <w:t xml:space="preserve">На сьогодні розрахунок </w:t>
      </w:r>
      <w:r w:rsidRPr="0026649E">
        <w:rPr>
          <w:rFonts w:ascii="Times New Roman" w:hAnsi="Times New Roman" w:cs="Times New Roman"/>
          <w:sz w:val="28"/>
          <w:szCs w:val="28"/>
        </w:rPr>
        <w:t>цін на універсальні послуги для малих непобутових споживачів</w:t>
      </w:r>
      <w:r w:rsidRPr="0026649E">
        <w:rPr>
          <w:rFonts w:ascii="Times New Roman" w:hAnsi="Times New Roman" w:cs="Times New Roman"/>
          <w:bCs/>
          <w:sz w:val="28"/>
          <w:szCs w:val="28"/>
        </w:rPr>
        <w:t xml:space="preserve"> здійснюється відповідно до </w:t>
      </w:r>
      <w:r w:rsidRPr="0026649E">
        <w:rPr>
          <w:rFonts w:ascii="Times New Roman" w:hAnsi="Times New Roman" w:cs="Times New Roman"/>
          <w:sz w:val="28"/>
          <w:szCs w:val="28"/>
        </w:rPr>
        <w:t xml:space="preserve">Порядку формування цін на універсальні послуги, затвердженого постановою НКРЕКП від 05.10.2018 № 1177 (далі – Порядок). Порядком передбачено при розрахунку ціни закупівлі електричної енергії на ринку електричної енергії, яка є складовою цін на універсальні послуги, </w:t>
      </w:r>
      <w:r w:rsidRPr="0026649E">
        <w:rPr>
          <w:rFonts w:ascii="Times New Roman" w:hAnsi="Times New Roman" w:cs="Times New Roman"/>
          <w:color w:val="000000"/>
          <w:sz w:val="28"/>
          <w:szCs w:val="28"/>
        </w:rPr>
        <w:t>застосування коефіцієнту, що враховує обсяг похибки прогнозування виробітку електричної енергії приватних домогосподарств.</w:t>
      </w:r>
    </w:p>
    <w:p w14:paraId="557BEDDB" w14:textId="77777777" w:rsidR="0026649E" w:rsidRPr="0026649E" w:rsidRDefault="0026649E" w:rsidP="0026649E">
      <w:pPr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6649E">
        <w:rPr>
          <w:rFonts w:ascii="Times New Roman" w:hAnsi="Times New Roman" w:cs="Times New Roman"/>
          <w:color w:val="000000"/>
          <w:sz w:val="28"/>
          <w:szCs w:val="28"/>
        </w:rPr>
        <w:t xml:space="preserve">Згідно із Законом України «Про ринок електричної енергії» та постановою НКРЕКП від 29.12.2023 № 2651 «Про затвердження Порядку продажу та обліку електричної енергії, виробленої активними споживачами, та розрахунків за неї» на </w:t>
      </w:r>
      <w:r w:rsidRPr="0026649E">
        <w:rPr>
          <w:rFonts w:ascii="Times New Roman" w:hAnsi="Times New Roman" w:cs="Times New Roman"/>
          <w:sz w:val="28"/>
          <w:szCs w:val="28"/>
        </w:rPr>
        <w:t>постачальників універсальних послуг (далі – ПУП)</w:t>
      </w:r>
      <w:r w:rsidRPr="0026649E">
        <w:rPr>
          <w:rFonts w:ascii="Times New Roman" w:hAnsi="Times New Roman" w:cs="Times New Roman"/>
          <w:color w:val="000000"/>
          <w:sz w:val="28"/>
          <w:szCs w:val="28"/>
        </w:rPr>
        <w:t xml:space="preserve"> покладено зобов’язання щодо купівлі-продажу електричної енергії за механізмом самовиробництва.</w:t>
      </w:r>
    </w:p>
    <w:p w14:paraId="0E60DACE" w14:textId="77777777" w:rsidR="0026649E" w:rsidRPr="0026649E" w:rsidRDefault="0026649E" w:rsidP="0026649E">
      <w:pPr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649E">
        <w:rPr>
          <w:rFonts w:ascii="Times New Roman" w:hAnsi="Times New Roman" w:cs="Times New Roman"/>
          <w:color w:val="000000"/>
          <w:sz w:val="28"/>
          <w:szCs w:val="28"/>
        </w:rPr>
        <w:t>Зобов’язання щодо купівлі електричної енергії за механізмом самовиробництва, поряд із зобов’язанням щодо купівлі електричної енергії за договорами про купівлю-продаж електричної енергії за «зеленим» тарифом приватним домогосподарством, є додатковим чинником виникнення небалансів.</w:t>
      </w:r>
    </w:p>
    <w:p w14:paraId="1521F37C" w14:textId="77777777" w:rsidR="0026649E" w:rsidRPr="0026649E" w:rsidRDefault="0026649E" w:rsidP="002664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6649E">
        <w:rPr>
          <w:rFonts w:ascii="Times New Roman" w:hAnsi="Times New Roman" w:cs="Times New Roman"/>
          <w:sz w:val="28"/>
          <w:szCs w:val="28"/>
        </w:rPr>
        <w:t>Крім того, п</w:t>
      </w:r>
      <w:r w:rsidRPr="0026649E">
        <w:rPr>
          <w:rFonts w:ascii="Times New Roman" w:hAnsi="Times New Roman" w:cs="Times New Roman"/>
          <w:color w:val="000000"/>
          <w:sz w:val="28"/>
          <w:szCs w:val="28"/>
        </w:rPr>
        <w:t xml:space="preserve">ісля приєднання </w:t>
      </w:r>
      <w:r w:rsidRPr="0026649E">
        <w:rPr>
          <w:rFonts w:ascii="Times New Roman" w:hAnsi="Times New Roman" w:cs="Times New Roman"/>
          <w:sz w:val="28"/>
          <w:szCs w:val="28"/>
        </w:rPr>
        <w:t xml:space="preserve">енергосистеми України до енергосистеми Європи (ENTSO-E), відбулось об’єднання двох торгових зон «Острів Бурштинської ТЕС» та «ОЕС України» в одну. У зв’язку з цим, виникає необхідність в актуалізації положень Порядку шляхом приведення його у відповідність до чинних нормативно-правових актів, із виключенням диференціації за торговими зонами. </w:t>
      </w:r>
    </w:p>
    <w:p w14:paraId="7F5A088A" w14:textId="5E720CAA" w:rsidR="00EF2E5C" w:rsidRPr="0026649E" w:rsidRDefault="005A31FB" w:rsidP="0026649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6649E">
        <w:rPr>
          <w:rFonts w:ascii="Times New Roman" w:hAnsi="Times New Roman" w:cs="Times New Roman"/>
          <w:bCs/>
          <w:sz w:val="28"/>
          <w:szCs w:val="28"/>
        </w:rPr>
        <w:t xml:space="preserve">З огляду на зазначене, </w:t>
      </w:r>
      <w:r w:rsidRPr="002664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НКРЕКП </w:t>
      </w:r>
      <w:r w:rsidRPr="0026649E">
        <w:rPr>
          <w:rFonts w:ascii="Times New Roman" w:hAnsi="Times New Roman" w:cs="Times New Roman"/>
          <w:bCs/>
          <w:sz w:val="28"/>
          <w:szCs w:val="28"/>
        </w:rPr>
        <w:t>розроблено проєкт постанови «</w:t>
      </w:r>
      <w:r w:rsidR="0026649E" w:rsidRPr="0026649E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Порядку формування цін на універсальні послуги</w:t>
      </w:r>
      <w:r w:rsidRPr="0026649E">
        <w:rPr>
          <w:rFonts w:ascii="Times New Roman" w:hAnsi="Times New Roman" w:cs="Times New Roman"/>
          <w:bCs/>
          <w:sz w:val="28"/>
          <w:szCs w:val="28"/>
        </w:rPr>
        <w:t>» (далі –</w:t>
      </w:r>
      <w:r w:rsidRPr="002664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26649E">
        <w:rPr>
          <w:rFonts w:ascii="Times New Roman" w:hAnsi="Times New Roman" w:cs="Times New Roman"/>
          <w:bCs/>
          <w:sz w:val="28"/>
          <w:szCs w:val="28"/>
        </w:rPr>
        <w:t xml:space="preserve">Проєкт постанови). </w:t>
      </w:r>
    </w:p>
    <w:p w14:paraId="3C8479A9" w14:textId="77777777" w:rsidR="00375422" w:rsidRPr="005C6D06" w:rsidRDefault="00375422" w:rsidP="00865D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5CA083" w14:textId="77777777" w:rsidR="00DC1500" w:rsidRPr="005C6D06" w:rsidRDefault="00D165E3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Основні групи (підгрупи), на які проблема справляє вплив:</w:t>
      </w:r>
    </w:p>
    <w:p w14:paraId="1586AE77" w14:textId="77777777" w:rsidR="0087391A" w:rsidRPr="005C6D06" w:rsidRDefault="0087391A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1985"/>
      </w:tblGrid>
      <w:tr w:rsidR="00101840" w:rsidRPr="005C6D06" w14:paraId="6764756E" w14:textId="77777777" w:rsidTr="00DC6752">
        <w:trPr>
          <w:trHeight w:val="70"/>
          <w:jc w:val="center"/>
        </w:trPr>
        <w:tc>
          <w:tcPr>
            <w:tcW w:w="3202" w:type="dxa"/>
          </w:tcPr>
          <w:p w14:paraId="6ADFBBDB" w14:textId="77777777" w:rsidR="00DC1500" w:rsidRPr="005C6D06" w:rsidRDefault="00DC1500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2436BC58" w14:textId="77777777" w:rsidR="00DC1500" w:rsidRPr="005C6D06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985" w:type="dxa"/>
            <w:vAlign w:val="center"/>
          </w:tcPr>
          <w:p w14:paraId="62E43224" w14:textId="77777777" w:rsidR="00DC1500" w:rsidRPr="005C6D06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5C6D06" w14:paraId="5D510240" w14:textId="77777777" w:rsidTr="00DC6752">
        <w:trPr>
          <w:trHeight w:val="70"/>
          <w:jc w:val="center"/>
        </w:trPr>
        <w:tc>
          <w:tcPr>
            <w:tcW w:w="3202" w:type="dxa"/>
          </w:tcPr>
          <w:p w14:paraId="13F9DB73" w14:textId="77777777" w:rsidR="00DC1500" w:rsidRPr="005C6D06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73648020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194320D" w14:textId="77777777" w:rsidR="00DC1500" w:rsidRPr="005C6D06" w:rsidRDefault="008223F7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5C6D06" w14:paraId="01339518" w14:textId="77777777" w:rsidTr="00DC6752">
        <w:trPr>
          <w:trHeight w:val="70"/>
          <w:jc w:val="center"/>
        </w:trPr>
        <w:tc>
          <w:tcPr>
            <w:tcW w:w="3202" w:type="dxa"/>
          </w:tcPr>
          <w:p w14:paraId="07D02FE3" w14:textId="77777777" w:rsidR="00DC1500" w:rsidRPr="005C6D06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Держава</w:t>
            </w:r>
          </w:p>
        </w:tc>
        <w:tc>
          <w:tcPr>
            <w:tcW w:w="4383" w:type="dxa"/>
            <w:vAlign w:val="center"/>
          </w:tcPr>
          <w:p w14:paraId="74C15EFA" w14:textId="77777777" w:rsidR="0026649E" w:rsidRPr="0026649E" w:rsidRDefault="0026649E" w:rsidP="002664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649E">
              <w:rPr>
                <w:rFonts w:ascii="Times New Roman" w:hAnsi="Times New Roman" w:cs="Times New Roman"/>
                <w:bCs/>
                <w:sz w:val="28"/>
                <w:szCs w:val="28"/>
              </w:rPr>
              <w:t>Стабільне функціонування паливно-енергетичного комплексу України</w:t>
            </w:r>
          </w:p>
          <w:p w14:paraId="52D9D5EF" w14:textId="0791002C" w:rsidR="00E5241C" w:rsidRPr="005C6D06" w:rsidRDefault="0026649E" w:rsidP="0026649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  <w:r w:rsidRPr="0026649E">
              <w:rPr>
                <w:rFonts w:ascii="Times New Roman" w:hAnsi="Times New Roman" w:cs="Times New Roman"/>
                <w:bCs/>
                <w:sz w:val="28"/>
                <w:szCs w:val="28"/>
              </w:rPr>
              <w:t>Реалізація державної політики в сфері паливно-енергетичного комплексу України</w:t>
            </w:r>
            <w:r w:rsidRPr="005C6D06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9F11808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840" w:rsidRPr="005C6D06" w14:paraId="5942F519" w14:textId="77777777" w:rsidTr="00DC6752">
        <w:trPr>
          <w:trHeight w:val="70"/>
          <w:jc w:val="center"/>
        </w:trPr>
        <w:tc>
          <w:tcPr>
            <w:tcW w:w="3202" w:type="dxa"/>
          </w:tcPr>
          <w:p w14:paraId="32EB7750" w14:textId="77777777" w:rsidR="00DC1500" w:rsidRPr="005C6D06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0E4CF762" w14:textId="64B5DE6B" w:rsidR="00A85BCD" w:rsidRPr="0026649E" w:rsidRDefault="0026649E" w:rsidP="00E40C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64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Дозволить удосконалити механізм формування цін на універсальні послуги </w:t>
            </w:r>
          </w:p>
        </w:tc>
        <w:tc>
          <w:tcPr>
            <w:tcW w:w="1985" w:type="dxa"/>
            <w:vAlign w:val="center"/>
          </w:tcPr>
          <w:p w14:paraId="39BB15E0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BA954B" w14:textId="77777777" w:rsidR="00375422" w:rsidRPr="005C6D06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D93B9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1908FF25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F03FE" w14:textId="761CB772" w:rsidR="0026649E" w:rsidRPr="00582376" w:rsidRDefault="00DC1500" w:rsidP="00266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Метою прийняття </w:t>
      </w:r>
      <w:r w:rsidR="00B26044" w:rsidRPr="005C6D06">
        <w:rPr>
          <w:rFonts w:ascii="Times New Roman" w:hAnsi="Times New Roman" w:cs="Times New Roman"/>
          <w:sz w:val="28"/>
          <w:szCs w:val="28"/>
        </w:rPr>
        <w:t>П</w:t>
      </w:r>
      <w:r w:rsidR="008C6D40" w:rsidRPr="005C6D06">
        <w:rPr>
          <w:rFonts w:ascii="Times New Roman" w:hAnsi="Times New Roman" w:cs="Times New Roman"/>
          <w:sz w:val="28"/>
          <w:szCs w:val="28"/>
        </w:rPr>
        <w:t>роєкту постанови</w:t>
      </w:r>
      <w:r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9C561D" w:rsidRPr="005C6D06">
        <w:rPr>
          <w:rFonts w:ascii="Times New Roman" w:hAnsi="Times New Roman" w:cs="Times New Roman"/>
          <w:sz w:val="28"/>
          <w:szCs w:val="28"/>
        </w:rPr>
        <w:t xml:space="preserve">є </w:t>
      </w:r>
      <w:r w:rsidR="0026649E" w:rsidRPr="0026649E">
        <w:rPr>
          <w:rFonts w:ascii="Times New Roman" w:hAnsi="Times New Roman" w:cs="Times New Roman"/>
          <w:sz w:val="28"/>
          <w:szCs w:val="28"/>
        </w:rPr>
        <w:t xml:space="preserve">приведення </w:t>
      </w:r>
      <w:r w:rsidR="008B4F44" w:rsidRPr="0026649E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26649E" w:rsidRPr="0026649E">
        <w:rPr>
          <w:rFonts w:ascii="Times New Roman" w:hAnsi="Times New Roman" w:cs="Times New Roman"/>
          <w:sz w:val="28"/>
          <w:szCs w:val="28"/>
        </w:rPr>
        <w:t>у відповідність до чинних нормативно-правових актів та законодавства</w:t>
      </w:r>
      <w:r w:rsidR="0026649E" w:rsidRPr="00582376">
        <w:rPr>
          <w:rFonts w:ascii="Times New Roman" w:hAnsi="Times New Roman" w:cs="Times New Roman"/>
          <w:sz w:val="28"/>
          <w:szCs w:val="28"/>
        </w:rPr>
        <w:t>.</w:t>
      </w:r>
    </w:p>
    <w:p w14:paraId="11A2F8D9" w14:textId="77777777" w:rsidR="001F5B1B" w:rsidRPr="005C6D06" w:rsidRDefault="001F5B1B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77C7B96" w14:textId="208B0DF3" w:rsidR="00DC1500" w:rsidRPr="005C6D06" w:rsidRDefault="00DC1500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5D9E07C0" w14:textId="77777777" w:rsidR="00014069" w:rsidRPr="005C6D06" w:rsidRDefault="00014069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9C3DEC" w14:textId="77777777" w:rsidR="00DC1500" w:rsidRPr="005C6D06" w:rsidRDefault="00C15B38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1. </w:t>
      </w:r>
      <w:r w:rsidR="00DC1500" w:rsidRPr="005C6D06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p w14:paraId="0F00532A" w14:textId="77777777" w:rsidR="00DC1500" w:rsidRPr="005C6D06" w:rsidRDefault="00DC1500" w:rsidP="00DC6752">
      <w:pPr>
        <w:spacing w:after="0" w:line="240" w:lineRule="auto"/>
        <w:ind w:left="1068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101840" w:rsidRPr="005C6D06" w14:paraId="1B6EE22E" w14:textId="77777777" w:rsidTr="00BD52D9">
        <w:trPr>
          <w:trHeight w:val="496"/>
          <w:jc w:val="center"/>
        </w:trPr>
        <w:tc>
          <w:tcPr>
            <w:tcW w:w="4786" w:type="dxa"/>
          </w:tcPr>
          <w:p w14:paraId="1A83303A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784" w:type="dxa"/>
          </w:tcPr>
          <w:p w14:paraId="35DDDCDD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Опис альтернативи</w:t>
            </w:r>
          </w:p>
        </w:tc>
      </w:tr>
      <w:tr w:rsidR="00101840" w:rsidRPr="005C6D06" w14:paraId="0B4F8D3C" w14:textId="77777777" w:rsidTr="00DC6752">
        <w:trPr>
          <w:trHeight w:val="1134"/>
          <w:jc w:val="center"/>
        </w:trPr>
        <w:tc>
          <w:tcPr>
            <w:tcW w:w="4786" w:type="dxa"/>
          </w:tcPr>
          <w:p w14:paraId="07E7B4AA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5F0A88D7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784" w:type="dxa"/>
          </w:tcPr>
          <w:p w14:paraId="32308AF4" w14:textId="43F1507C" w:rsidR="0026649E" w:rsidRPr="005C6D06" w:rsidRDefault="0026649E" w:rsidP="0061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F95">
              <w:rPr>
                <w:rFonts w:ascii="Times New Roman" w:hAnsi="Times New Roman" w:cs="Times New Roman"/>
                <w:sz w:val="28"/>
                <w:szCs w:val="28"/>
              </w:rPr>
              <w:t>Не передбачає у формулі розрахунку прогнозованої ціни електроенергії,</w:t>
            </w:r>
            <w:r w:rsidR="00157F95" w:rsidRPr="00157F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7F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7F95" w:rsidRPr="00157F95">
              <w:rPr>
                <w:rFonts w:ascii="Times New Roman" w:hAnsi="Times New Roman" w:cs="Times New Roman"/>
                <w:sz w:val="28"/>
                <w:szCs w:val="28"/>
              </w:rPr>
              <w:t>поширення дії коефіцієнту, що враховує граничний відносний обсяг небалансів електричної енергії, на обсяги закупівлі ПУП за договорами самовиробництва</w:t>
            </w:r>
          </w:p>
        </w:tc>
      </w:tr>
      <w:tr w:rsidR="008F37C0" w:rsidRPr="005C6D06" w14:paraId="4BC9B3AE" w14:textId="77777777" w:rsidTr="00DC6752">
        <w:trPr>
          <w:trHeight w:val="317"/>
          <w:jc w:val="center"/>
        </w:trPr>
        <w:tc>
          <w:tcPr>
            <w:tcW w:w="4786" w:type="dxa"/>
          </w:tcPr>
          <w:p w14:paraId="05E9DB11" w14:textId="77777777" w:rsidR="008F37C0" w:rsidRPr="005C6D06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785CB5A" w14:textId="77777777" w:rsidR="008F37C0" w:rsidRPr="005C6D06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чинного регуляторного акта</w:t>
            </w:r>
          </w:p>
        </w:tc>
        <w:tc>
          <w:tcPr>
            <w:tcW w:w="4784" w:type="dxa"/>
          </w:tcPr>
          <w:p w14:paraId="74F3E5F4" w14:textId="46B68095" w:rsidR="008F37C0" w:rsidRPr="00157F95" w:rsidRDefault="0026649E" w:rsidP="008B5D3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  <w:r w:rsidRPr="0026649E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Передбачає </w:t>
            </w:r>
            <w:r w:rsidR="00157F95" w:rsidRPr="0026649E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приведення </w:t>
            </w:r>
            <w:r w:rsidR="008B4F44" w:rsidRPr="0026649E">
              <w:rPr>
                <w:rFonts w:ascii="Times New Roman" w:hAnsi="Times New Roman" w:cs="Times New Roman"/>
                <w:sz w:val="28"/>
                <w:szCs w:val="28"/>
              </w:rPr>
              <w:t xml:space="preserve">Порядку </w:t>
            </w:r>
            <w:r w:rsidR="00157F95" w:rsidRPr="0026649E">
              <w:rPr>
                <w:rFonts w:ascii="Times New Roman" w:hAnsi="Times New Roman" w:cs="Times New Roman"/>
                <w:sz w:val="28"/>
                <w:szCs w:val="28"/>
              </w:rPr>
              <w:t>у відповідність до чинних нормативно-правових актів та законодавства</w:t>
            </w:r>
            <w:r w:rsidR="00157F95" w:rsidRPr="0026649E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157F95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</w:p>
        </w:tc>
      </w:tr>
    </w:tbl>
    <w:p w14:paraId="13FF05BC" w14:textId="77777777" w:rsidR="000E0120" w:rsidRPr="005C6D06" w:rsidRDefault="000E012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8BC9E0" w14:textId="77777777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42CC6247" w14:textId="77777777" w:rsidR="00DC1500" w:rsidRPr="005C6D06" w:rsidRDefault="00DC1500" w:rsidP="00DC6752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E317B5" w14:textId="77777777" w:rsidR="00DC1500" w:rsidRPr="005C6D06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14:paraId="64115364" w14:textId="77777777" w:rsidR="00DC6752" w:rsidRPr="005C6D06" w:rsidRDefault="00DC6752" w:rsidP="00DC6752">
      <w:pPr>
        <w:pStyle w:val="aa"/>
        <w:spacing w:after="0" w:line="240" w:lineRule="auto"/>
        <w:ind w:left="164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79"/>
        <w:gridCol w:w="3686"/>
        <w:gridCol w:w="1276"/>
      </w:tblGrid>
      <w:tr w:rsidR="00101840" w:rsidRPr="005C6D06" w14:paraId="007610E4" w14:textId="77777777" w:rsidTr="00DC6752">
        <w:trPr>
          <w:trHeight w:val="28"/>
          <w:jc w:val="center"/>
        </w:trPr>
        <w:tc>
          <w:tcPr>
            <w:tcW w:w="4779" w:type="dxa"/>
          </w:tcPr>
          <w:p w14:paraId="07B91EF7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3686" w:type="dxa"/>
          </w:tcPr>
          <w:p w14:paraId="63E591F7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276" w:type="dxa"/>
          </w:tcPr>
          <w:p w14:paraId="791D9F52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5C6D06" w14:paraId="72503BED" w14:textId="77777777" w:rsidTr="00DC6752">
        <w:trPr>
          <w:trHeight w:val="169"/>
          <w:jc w:val="center"/>
        </w:trPr>
        <w:tc>
          <w:tcPr>
            <w:tcW w:w="4779" w:type="dxa"/>
          </w:tcPr>
          <w:p w14:paraId="4C72B74B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7EEA87D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3686" w:type="dxa"/>
          </w:tcPr>
          <w:p w14:paraId="49C2AC76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276" w:type="dxa"/>
          </w:tcPr>
          <w:p w14:paraId="4C5EF7AB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C6D06" w14:paraId="5E28433F" w14:textId="77777777" w:rsidTr="00DC6752">
        <w:trPr>
          <w:jc w:val="center"/>
        </w:trPr>
        <w:tc>
          <w:tcPr>
            <w:tcW w:w="4779" w:type="dxa"/>
          </w:tcPr>
          <w:p w14:paraId="0B17E704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2F0637EE" w14:textId="77777777" w:rsidR="00DC1500" w:rsidRPr="005C6D06" w:rsidRDefault="00092636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чинного регуляторного акта</w:t>
            </w:r>
          </w:p>
        </w:tc>
        <w:tc>
          <w:tcPr>
            <w:tcW w:w="3686" w:type="dxa"/>
          </w:tcPr>
          <w:p w14:paraId="1C9C7723" w14:textId="17E0B758" w:rsidR="0077202A" w:rsidRPr="00157F95" w:rsidRDefault="00157F95" w:rsidP="00157F95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157F95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Удосконалення механізму формування ціни на універсальні послуги </w:t>
            </w:r>
          </w:p>
        </w:tc>
        <w:tc>
          <w:tcPr>
            <w:tcW w:w="1276" w:type="dxa"/>
          </w:tcPr>
          <w:p w14:paraId="39932CBE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49A8BA01" w14:textId="77777777" w:rsidR="00476B9E" w:rsidRPr="005C6D06" w:rsidRDefault="00476B9E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F48457" w14:textId="77777777" w:rsidR="00DC1500" w:rsidRPr="005C6D06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громадян:</w:t>
      </w:r>
    </w:p>
    <w:p w14:paraId="0785DE7E" w14:textId="77777777" w:rsidR="00DC6752" w:rsidRPr="005C6D06" w:rsidRDefault="00DC6752" w:rsidP="00DC6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2580"/>
        <w:gridCol w:w="1531"/>
      </w:tblGrid>
      <w:tr w:rsidR="00101840" w:rsidRPr="005C6D06" w14:paraId="64972574" w14:textId="77777777" w:rsidTr="00DC6752">
        <w:trPr>
          <w:jc w:val="center"/>
        </w:trPr>
        <w:tc>
          <w:tcPr>
            <w:tcW w:w="5743" w:type="dxa"/>
          </w:tcPr>
          <w:p w14:paraId="35B535EE" w14:textId="77777777" w:rsidR="00DC1500" w:rsidRPr="005C6D06" w:rsidRDefault="00DC1500" w:rsidP="00A045B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2580" w:type="dxa"/>
          </w:tcPr>
          <w:p w14:paraId="03E2C11C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531" w:type="dxa"/>
          </w:tcPr>
          <w:p w14:paraId="2D16F3E3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5C6D06" w14:paraId="367F4C08" w14:textId="77777777" w:rsidTr="00DC6752">
        <w:trPr>
          <w:jc w:val="center"/>
        </w:trPr>
        <w:tc>
          <w:tcPr>
            <w:tcW w:w="5743" w:type="dxa"/>
          </w:tcPr>
          <w:p w14:paraId="1584B2C1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Альтернатива 1.</w:t>
            </w:r>
          </w:p>
          <w:p w14:paraId="1ECA40E6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580" w:type="dxa"/>
          </w:tcPr>
          <w:p w14:paraId="50288687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3DBDD41E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C6D06" w14:paraId="4DC433B6" w14:textId="77777777" w:rsidTr="00DC6752">
        <w:trPr>
          <w:jc w:val="center"/>
        </w:trPr>
        <w:tc>
          <w:tcPr>
            <w:tcW w:w="5743" w:type="dxa"/>
          </w:tcPr>
          <w:p w14:paraId="4C948D2C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9F8A8A6" w14:textId="77777777" w:rsidR="00DC1500" w:rsidRPr="005C6D06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</w:t>
            </w:r>
            <w:r w:rsidR="00092636" w:rsidRPr="005C6D0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</w:t>
            </w:r>
            <w:r w:rsidR="00092636" w:rsidRPr="005C6D0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092636" w:rsidRPr="005C6D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580" w:type="dxa"/>
          </w:tcPr>
          <w:p w14:paraId="536AD613" w14:textId="77777777" w:rsidR="00DC1500" w:rsidRPr="005C6D06" w:rsidRDefault="008223F7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44A374CA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7B00AE25" w14:textId="77777777" w:rsidR="00014069" w:rsidRPr="005C6D06" w:rsidRDefault="00C15B38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425CA42" w14:textId="77777777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14:paraId="18CD39E5" w14:textId="77777777" w:rsidR="00B26044" w:rsidRPr="005C6D06" w:rsidRDefault="00B26044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894"/>
        <w:gridCol w:w="4327"/>
        <w:gridCol w:w="1661"/>
      </w:tblGrid>
      <w:tr w:rsidR="00101840" w:rsidRPr="005C6D06" w14:paraId="64DD23BC" w14:textId="77777777" w:rsidTr="00DC5497">
        <w:trPr>
          <w:trHeight w:val="28"/>
          <w:jc w:val="center"/>
        </w:trPr>
        <w:tc>
          <w:tcPr>
            <w:tcW w:w="3894" w:type="dxa"/>
          </w:tcPr>
          <w:p w14:paraId="1432B998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327" w:type="dxa"/>
          </w:tcPr>
          <w:p w14:paraId="7906C6EB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661" w:type="dxa"/>
          </w:tcPr>
          <w:p w14:paraId="140A293F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5C6D06" w14:paraId="17AFEB2C" w14:textId="77777777" w:rsidTr="00DC5497">
        <w:trPr>
          <w:jc w:val="center"/>
        </w:trPr>
        <w:tc>
          <w:tcPr>
            <w:tcW w:w="3894" w:type="dxa"/>
          </w:tcPr>
          <w:p w14:paraId="12B0D8F0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257F2969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327" w:type="dxa"/>
          </w:tcPr>
          <w:p w14:paraId="1A6459CB" w14:textId="77777777" w:rsidR="00DC1500" w:rsidRPr="005C6D06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Додаткових витрат немає</w:t>
            </w:r>
          </w:p>
        </w:tc>
        <w:tc>
          <w:tcPr>
            <w:tcW w:w="1661" w:type="dxa"/>
          </w:tcPr>
          <w:p w14:paraId="16D58083" w14:textId="77777777" w:rsidR="00DC1500" w:rsidRPr="005C6D06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C6D06" w14:paraId="6BDB1478" w14:textId="77777777" w:rsidTr="00DC5497">
        <w:trPr>
          <w:jc w:val="center"/>
        </w:trPr>
        <w:tc>
          <w:tcPr>
            <w:tcW w:w="3894" w:type="dxa"/>
          </w:tcPr>
          <w:p w14:paraId="52DDB8B2" w14:textId="77777777" w:rsidR="006777CE" w:rsidRPr="005C6D06" w:rsidRDefault="006777CE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1F0369F8" w14:textId="77777777" w:rsidR="006777CE" w:rsidRPr="005C6D06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327" w:type="dxa"/>
          </w:tcPr>
          <w:p w14:paraId="610518BF" w14:textId="2742A796" w:rsidR="006777CE" w:rsidRPr="005C6D06" w:rsidRDefault="00157F95" w:rsidP="0006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F95">
              <w:rPr>
                <w:rFonts w:ascii="Times New Roman" w:hAnsi="Times New Roman" w:cs="Times New Roman"/>
                <w:sz w:val="28"/>
                <w:szCs w:val="28"/>
              </w:rPr>
              <w:t>Дозволяє удосконалити механізм формування цін на електричну</w:t>
            </w:r>
            <w:r w:rsidRPr="0058237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F95">
              <w:rPr>
                <w:rFonts w:ascii="Times New Roman" w:hAnsi="Times New Roman" w:cs="Times New Roman"/>
                <w:sz w:val="28"/>
                <w:szCs w:val="28"/>
              </w:rPr>
              <w:t>енергію</w:t>
            </w:r>
          </w:p>
        </w:tc>
        <w:tc>
          <w:tcPr>
            <w:tcW w:w="1661" w:type="dxa"/>
          </w:tcPr>
          <w:p w14:paraId="7C01CB24" w14:textId="2FBE60E4" w:rsidR="007B5019" w:rsidRPr="005C6D06" w:rsidRDefault="007E49B1" w:rsidP="00BD5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</w:tbl>
    <w:p w14:paraId="4EAD2B1E" w14:textId="77777777" w:rsidR="00DC6752" w:rsidRPr="005C6D06" w:rsidRDefault="00DC6752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BEA8C" w14:textId="77777777" w:rsidR="00DC1500" w:rsidRPr="005C6D06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5C6D06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3541F618" w14:textId="77777777" w:rsidR="00B26044" w:rsidRPr="005C6D06" w:rsidRDefault="00B26044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3"/>
        <w:gridCol w:w="2991"/>
        <w:gridCol w:w="2476"/>
      </w:tblGrid>
      <w:tr w:rsidR="00101840" w:rsidRPr="005C6D06" w14:paraId="69971B84" w14:textId="77777777" w:rsidTr="00476B9E">
        <w:trPr>
          <w:jc w:val="center"/>
        </w:trPr>
        <w:tc>
          <w:tcPr>
            <w:tcW w:w="4273" w:type="dxa"/>
          </w:tcPr>
          <w:p w14:paraId="3E8ACC83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Рейтинг результативності</w:t>
            </w:r>
            <w:r w:rsidR="00DC6752"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(досягнення цілей під час вирішення проблеми)</w:t>
            </w:r>
          </w:p>
        </w:tc>
        <w:tc>
          <w:tcPr>
            <w:tcW w:w="2991" w:type="dxa"/>
          </w:tcPr>
          <w:p w14:paraId="6DD4969A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Бал результативності</w:t>
            </w:r>
            <w:r w:rsidR="00DC6752"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(за чотирибальною системою оцінки)</w:t>
            </w:r>
          </w:p>
        </w:tc>
        <w:tc>
          <w:tcPr>
            <w:tcW w:w="2476" w:type="dxa"/>
          </w:tcPr>
          <w:p w14:paraId="0FA28A0F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Коментарі</w:t>
            </w:r>
            <w:r w:rsidR="00DC6752"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щодо присвоєння відповідного бала</w:t>
            </w:r>
          </w:p>
        </w:tc>
      </w:tr>
      <w:tr w:rsidR="00101840" w:rsidRPr="005C6D06" w14:paraId="5AD56041" w14:textId="77777777" w:rsidTr="00476B9E">
        <w:trPr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65078E63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DEE5A55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6C0C5E12" w14:textId="77777777" w:rsidR="00DC1500" w:rsidRPr="005C6D06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3181C7A9" w14:textId="77777777" w:rsidR="00DC1500" w:rsidRPr="005C6D06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Не досягає поставленої мети </w:t>
            </w:r>
          </w:p>
        </w:tc>
      </w:tr>
      <w:tr w:rsidR="00101840" w:rsidRPr="005C6D06" w14:paraId="2E3CB27E" w14:textId="77777777" w:rsidTr="00CB0C9B">
        <w:trPr>
          <w:trHeight w:val="416"/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46DA90DA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Обрана Альтернатива 2.</w:t>
            </w:r>
          </w:p>
          <w:p w14:paraId="49F3E2F9" w14:textId="77777777" w:rsidR="00DC1500" w:rsidRPr="005C6D06" w:rsidRDefault="003061E1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2C5733E3" w14:textId="77777777" w:rsidR="00DC1500" w:rsidRPr="005C6D06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286E659B" w14:textId="37C69A6D" w:rsidR="00476B9E" w:rsidRPr="005C6D06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Дозволяє вирішити проблему </w:t>
            </w:r>
            <w:r w:rsidR="00211F26"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най</w:t>
            </w: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ефективн</w:t>
            </w:r>
            <w:r w:rsidR="00211F26"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іш</w:t>
            </w: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им шляхо</w:t>
            </w:r>
            <w:r w:rsidR="00CB0C9B"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</w:t>
            </w:r>
          </w:p>
        </w:tc>
      </w:tr>
    </w:tbl>
    <w:p w14:paraId="699854AD" w14:textId="77777777" w:rsidR="00D165E3" w:rsidRPr="005C6D06" w:rsidRDefault="00D165E3"/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3"/>
        <w:gridCol w:w="1839"/>
        <w:gridCol w:w="2614"/>
        <w:gridCol w:w="2482"/>
      </w:tblGrid>
      <w:tr w:rsidR="00101840" w:rsidRPr="005C6D06" w14:paraId="0C83E1AC" w14:textId="77777777" w:rsidTr="005A6A4B">
        <w:trPr>
          <w:jc w:val="center"/>
        </w:trPr>
        <w:tc>
          <w:tcPr>
            <w:tcW w:w="2778" w:type="dxa"/>
          </w:tcPr>
          <w:p w14:paraId="13F566F0" w14:textId="77777777" w:rsidR="000E0120" w:rsidRPr="005C6D06" w:rsidRDefault="000E012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7AC2DA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результативності</w:t>
            </w:r>
          </w:p>
        </w:tc>
        <w:tc>
          <w:tcPr>
            <w:tcW w:w="1817" w:type="dxa"/>
          </w:tcPr>
          <w:p w14:paraId="289211D8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Вигоди (підсумок)</w:t>
            </w:r>
          </w:p>
        </w:tc>
        <w:tc>
          <w:tcPr>
            <w:tcW w:w="2630" w:type="dxa"/>
          </w:tcPr>
          <w:p w14:paraId="06C34D7C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Витрати (підсумок)</w:t>
            </w:r>
          </w:p>
        </w:tc>
        <w:tc>
          <w:tcPr>
            <w:tcW w:w="2483" w:type="dxa"/>
          </w:tcPr>
          <w:p w14:paraId="0D804280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Обґрунтування відповідного місця альтернативи у рейтингу</w:t>
            </w:r>
          </w:p>
        </w:tc>
      </w:tr>
      <w:tr w:rsidR="00101840" w:rsidRPr="005C6D06" w14:paraId="539BE1E0" w14:textId="77777777" w:rsidTr="005A6A4B">
        <w:trPr>
          <w:jc w:val="center"/>
        </w:trPr>
        <w:tc>
          <w:tcPr>
            <w:tcW w:w="2778" w:type="dxa"/>
          </w:tcPr>
          <w:p w14:paraId="3A754DAA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 1.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1817" w:type="dxa"/>
          </w:tcPr>
          <w:p w14:paraId="413145DB" w14:textId="77777777" w:rsidR="00DC1500" w:rsidRPr="005C6D06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1A6E5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497C6BD8" w14:textId="77777777" w:rsidR="00DC1500" w:rsidRPr="005C6D06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</w:tcPr>
          <w:p w14:paraId="45421057" w14:textId="77777777" w:rsidR="00DC1500" w:rsidRPr="005C6D06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79AF67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483" w:type="dxa"/>
          </w:tcPr>
          <w:p w14:paraId="614AB511" w14:textId="77777777" w:rsidR="00DC1500" w:rsidRPr="005C6D06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1454A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Не вирішує проблему </w:t>
            </w:r>
          </w:p>
        </w:tc>
      </w:tr>
      <w:tr w:rsidR="00DC1500" w:rsidRPr="005C6D06" w14:paraId="0168CB6F" w14:textId="77777777" w:rsidTr="005A6A4B">
        <w:trPr>
          <w:jc w:val="center"/>
        </w:trPr>
        <w:tc>
          <w:tcPr>
            <w:tcW w:w="2778" w:type="dxa"/>
          </w:tcPr>
          <w:p w14:paraId="1E353ED8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 2.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1817" w:type="dxa"/>
          </w:tcPr>
          <w:p w14:paraId="7BB8B098" w14:textId="64DE8818" w:rsidR="007E49B1" w:rsidRPr="00EA62B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Забезпечує досягнення цілей державного регулювання</w:t>
            </w:r>
            <w:r w:rsidR="007E49B1" w:rsidRPr="005C6D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0" w:type="dxa"/>
          </w:tcPr>
          <w:p w14:paraId="7BA48D1E" w14:textId="14CA4A7A" w:rsidR="006B5D4A" w:rsidRPr="005C6D06" w:rsidRDefault="007E49B1" w:rsidP="006B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11FD99FD" w14:textId="7A88BEF4" w:rsidR="00205B59" w:rsidRPr="005C6D06" w:rsidRDefault="00205B59" w:rsidP="00B01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3" w:type="dxa"/>
          </w:tcPr>
          <w:p w14:paraId="490935FB" w14:textId="37A5D06B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досягти цілей державного регулювання </w:t>
            </w:r>
            <w:r w:rsidR="008F2126" w:rsidRPr="005C6D06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8F2126" w:rsidRPr="005C6D06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им шляхом</w:t>
            </w:r>
          </w:p>
        </w:tc>
      </w:tr>
    </w:tbl>
    <w:p w14:paraId="2C510E5C" w14:textId="3D878AC5" w:rsidR="000E0120" w:rsidRPr="005C6D06" w:rsidRDefault="000E0120" w:rsidP="00DC6752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3"/>
        <w:gridCol w:w="4252"/>
        <w:gridCol w:w="2761"/>
      </w:tblGrid>
      <w:tr w:rsidR="00101840" w:rsidRPr="005C6D06" w14:paraId="0B3659A2" w14:textId="77777777" w:rsidTr="00D165E3">
        <w:trPr>
          <w:trHeight w:val="1734"/>
          <w:jc w:val="center"/>
        </w:trPr>
        <w:tc>
          <w:tcPr>
            <w:tcW w:w="2763" w:type="dxa"/>
          </w:tcPr>
          <w:p w14:paraId="3CA09945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Рейтинг</w:t>
            </w:r>
          </w:p>
        </w:tc>
        <w:tc>
          <w:tcPr>
            <w:tcW w:w="4252" w:type="dxa"/>
          </w:tcPr>
          <w:p w14:paraId="7824B3BB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61" w:type="dxa"/>
          </w:tcPr>
          <w:p w14:paraId="3310165A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101840" w:rsidRPr="005C6D06" w14:paraId="140BA6A4" w14:textId="77777777" w:rsidTr="00D165E3">
        <w:trPr>
          <w:jc w:val="center"/>
        </w:trPr>
        <w:tc>
          <w:tcPr>
            <w:tcW w:w="2763" w:type="dxa"/>
          </w:tcPr>
          <w:p w14:paraId="3F1954A6" w14:textId="77777777" w:rsidR="00DC1500" w:rsidRPr="005C6D06" w:rsidRDefault="00DC1500" w:rsidP="00D1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</w:t>
            </w:r>
            <w:r w:rsidR="00D165E3"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4252" w:type="dxa"/>
          </w:tcPr>
          <w:p w14:paraId="49D13201" w14:textId="77777777" w:rsidR="00DC1500" w:rsidRPr="005C6D06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761" w:type="dxa"/>
          </w:tcPr>
          <w:p w14:paraId="79783810" w14:textId="77777777" w:rsidR="00DC1500" w:rsidRPr="005C6D06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  <w:tr w:rsidR="00DC1500" w:rsidRPr="005C6D06" w14:paraId="4923E10A" w14:textId="77777777" w:rsidTr="00D165E3">
        <w:trPr>
          <w:jc w:val="center"/>
        </w:trPr>
        <w:tc>
          <w:tcPr>
            <w:tcW w:w="2763" w:type="dxa"/>
          </w:tcPr>
          <w:p w14:paraId="1E04998D" w14:textId="77777777" w:rsidR="00DC1500" w:rsidRPr="005C6D06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</w:t>
            </w:r>
            <w:r w:rsidR="00D165E3"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252" w:type="dxa"/>
          </w:tcPr>
          <w:p w14:paraId="31838400" w14:textId="6F395F60" w:rsidR="00DC1500" w:rsidRPr="005C6D06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вирішити проблему </w:t>
            </w:r>
            <w:r w:rsidR="001C00D5" w:rsidRPr="005C6D06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1C00D5" w:rsidRPr="005C6D06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761" w:type="dxa"/>
          </w:tcPr>
          <w:p w14:paraId="1D6BBC4F" w14:textId="77777777" w:rsidR="00DC1500" w:rsidRPr="005C6D06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</w:tbl>
    <w:p w14:paraId="007D1B45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0BA310" w14:textId="77777777" w:rsidR="00375422" w:rsidRPr="005C6D06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A8BE95A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4483FFE2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89D312B" w14:textId="70F91A32" w:rsidR="00034ACD" w:rsidRPr="00034ACD" w:rsidRDefault="00034ACD" w:rsidP="0003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376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Pr="00582376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582376">
        <w:rPr>
          <w:rFonts w:ascii="Times New Roman" w:hAnsi="Times New Roman" w:cs="Times New Roman"/>
          <w:sz w:val="28"/>
          <w:szCs w:val="28"/>
        </w:rPr>
        <w:t xml:space="preserve"> постанови дозволить </w:t>
      </w:r>
      <w:proofErr w:type="spellStart"/>
      <w:r w:rsidRPr="0026649E">
        <w:rPr>
          <w:rFonts w:ascii="Times New Roman" w:hAnsi="Times New Roman" w:cs="Times New Roman"/>
          <w:sz w:val="28"/>
          <w:szCs w:val="28"/>
        </w:rPr>
        <w:t>приве</w:t>
      </w:r>
      <w:r w:rsidRPr="00034ACD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26649E">
        <w:rPr>
          <w:rFonts w:ascii="Times New Roman" w:hAnsi="Times New Roman" w:cs="Times New Roman"/>
          <w:sz w:val="28"/>
          <w:szCs w:val="28"/>
        </w:rPr>
        <w:t xml:space="preserve"> </w:t>
      </w:r>
      <w:r w:rsidR="008B4F44" w:rsidRPr="0026649E">
        <w:rPr>
          <w:rFonts w:ascii="Times New Roman" w:hAnsi="Times New Roman" w:cs="Times New Roman"/>
          <w:sz w:val="28"/>
          <w:szCs w:val="28"/>
        </w:rPr>
        <w:t>Поряд</w:t>
      </w:r>
      <w:r w:rsidR="008B4F44">
        <w:rPr>
          <w:rFonts w:ascii="Times New Roman" w:hAnsi="Times New Roman" w:cs="Times New Roman"/>
          <w:sz w:val="28"/>
          <w:szCs w:val="28"/>
        </w:rPr>
        <w:t xml:space="preserve">ок </w:t>
      </w:r>
      <w:r w:rsidRPr="0026649E">
        <w:rPr>
          <w:rFonts w:ascii="Times New Roman" w:hAnsi="Times New Roman" w:cs="Times New Roman"/>
          <w:sz w:val="28"/>
          <w:szCs w:val="28"/>
        </w:rPr>
        <w:t xml:space="preserve">у відповідність до чинних нормативно-правових актів та </w:t>
      </w:r>
      <w:r w:rsidRPr="00034ACD">
        <w:rPr>
          <w:rFonts w:ascii="Times New Roman" w:hAnsi="Times New Roman" w:cs="Times New Roman"/>
          <w:sz w:val="28"/>
          <w:szCs w:val="28"/>
        </w:rPr>
        <w:t>законодавства, а саме при розрахунку ціни закупівлі електричної енергії на ринку електричної енергії передбачити поширення дії коефіцієнту, що враховує граничний відносний обсяг небалансів електричної енергії, на обсяги закупівлі ПУП за договорами самовиробництва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0BFA4F" w14:textId="77777777" w:rsidR="00256BE4" w:rsidRPr="005C6D06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14:paraId="2E8EA24F" w14:textId="77777777" w:rsidR="00053BCF" w:rsidRPr="005C6D06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14:paraId="30F582F9" w14:textId="188A82F4" w:rsidR="00053BCF" w:rsidRPr="005C6D06" w:rsidRDefault="00053BCF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акта будуть </w:t>
      </w:r>
      <w:r w:rsidR="00256259" w:rsidRPr="005C6D06">
        <w:rPr>
          <w:rFonts w:ascii="Times New Roman" w:hAnsi="Times New Roman" w:cs="Times New Roman"/>
          <w:sz w:val="28"/>
          <w:szCs w:val="28"/>
        </w:rPr>
        <w:t>здійснюватися</w:t>
      </w:r>
      <w:r w:rsidRPr="005C6D06">
        <w:rPr>
          <w:rFonts w:ascii="Times New Roman" w:hAnsi="Times New Roman" w:cs="Times New Roman"/>
          <w:sz w:val="28"/>
          <w:szCs w:val="28"/>
        </w:rPr>
        <w:t xml:space="preserve"> державними органами, яким, відповідно до законодавства</w:t>
      </w:r>
      <w:r w:rsidR="008B5D3C">
        <w:rPr>
          <w:rFonts w:ascii="Times New Roman" w:hAnsi="Times New Roman" w:cs="Times New Roman"/>
          <w:sz w:val="28"/>
          <w:szCs w:val="28"/>
        </w:rPr>
        <w:t xml:space="preserve"> </w:t>
      </w:r>
      <w:r w:rsidRPr="005C6D06">
        <w:rPr>
          <w:rFonts w:ascii="Times New Roman" w:hAnsi="Times New Roman" w:cs="Times New Roman"/>
          <w:sz w:val="28"/>
          <w:szCs w:val="28"/>
        </w:rPr>
        <w:t xml:space="preserve">надані такі повноваження. </w:t>
      </w:r>
    </w:p>
    <w:p w14:paraId="46FA6DDB" w14:textId="77777777" w:rsidR="00D90858" w:rsidRPr="005C6D06" w:rsidRDefault="00D90858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146E45" w14:textId="77777777" w:rsidR="00DC1500" w:rsidRPr="005C6D06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VI. Обґрунтування запропонованого строку дії регуляторного акта</w:t>
      </w:r>
    </w:p>
    <w:p w14:paraId="79D71BD0" w14:textId="77777777" w:rsidR="00DC1500" w:rsidRPr="005C6D06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52F718" w14:textId="77777777" w:rsidR="00DC1500" w:rsidRPr="005C6D06" w:rsidRDefault="00640C31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5C6D06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Строк </w:t>
      </w:r>
      <w:r w:rsidR="00DC1500" w:rsidRPr="005C6D06">
        <w:rPr>
          <w:rFonts w:ascii="Times New Roman" w:hAnsi="Times New Roman" w:cs="Times New Roman"/>
          <w:sz w:val="28"/>
          <w:szCs w:val="28"/>
          <w:lang w:val="uk-UA" w:eastAsia="en-US"/>
        </w:rPr>
        <w:t>дії акта необмежений та може бути змінений у разі внесення відповідних змін до законодавства.</w:t>
      </w:r>
    </w:p>
    <w:p w14:paraId="25DE295D" w14:textId="77777777" w:rsidR="007B5019" w:rsidRPr="005C6D06" w:rsidRDefault="007B5019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32"/>
          <w:szCs w:val="32"/>
          <w:lang w:val="uk-UA" w:eastAsia="en-US"/>
        </w:rPr>
      </w:pPr>
    </w:p>
    <w:p w14:paraId="56E59FDD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VII. Визначення показників результативності дії регуляторного акта</w:t>
      </w:r>
    </w:p>
    <w:p w14:paraId="4232BB46" w14:textId="77777777" w:rsidR="004C290A" w:rsidRPr="005C6D06" w:rsidRDefault="004C290A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474C0A" w14:textId="646CFBAC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Після набрання чинності постанов</w:t>
      </w:r>
      <w:r w:rsidR="001D69A1" w:rsidRPr="005C6D06">
        <w:rPr>
          <w:rFonts w:ascii="Times New Roman" w:hAnsi="Times New Roman" w:cs="Times New Roman"/>
          <w:sz w:val="28"/>
          <w:szCs w:val="28"/>
        </w:rPr>
        <w:t>ою</w:t>
      </w:r>
      <w:r w:rsidRPr="005C6D06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9C561D" w:rsidRPr="005C6D06">
        <w:rPr>
          <w:rFonts w:ascii="Times New Roman" w:hAnsi="Times New Roman" w:cs="Times New Roman"/>
          <w:sz w:val="28"/>
          <w:szCs w:val="28"/>
        </w:rPr>
        <w:t>«</w:t>
      </w:r>
      <w:r w:rsidR="00D90858" w:rsidRPr="00D90858">
        <w:rPr>
          <w:rFonts w:ascii="Times New Roman" w:hAnsi="Times New Roman" w:cs="Times New Roman"/>
          <w:sz w:val="28"/>
          <w:szCs w:val="28"/>
        </w:rPr>
        <w:t>Про внесення змін до Порядку формування цін на універсальні послуги</w:t>
      </w:r>
      <w:r w:rsidR="009C561D" w:rsidRPr="005C6D06">
        <w:rPr>
          <w:rFonts w:ascii="Times New Roman" w:hAnsi="Times New Roman" w:cs="Times New Roman"/>
          <w:sz w:val="28"/>
          <w:szCs w:val="28"/>
        </w:rPr>
        <w:t xml:space="preserve">» </w:t>
      </w:r>
      <w:r w:rsidRPr="005C6D06">
        <w:rPr>
          <w:rFonts w:ascii="Times New Roman" w:hAnsi="Times New Roman" w:cs="Times New Roman"/>
          <w:sz w:val="28"/>
          <w:szCs w:val="28"/>
        </w:rPr>
        <w:t>її результативність визначатиметься такими показниками:</w:t>
      </w:r>
    </w:p>
    <w:p w14:paraId="5D3CECC7" w14:textId="3C250B1C" w:rsidR="00256BE4" w:rsidRPr="005C6D06" w:rsidRDefault="00256BE4" w:rsidP="00D9085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1) </w:t>
      </w:r>
      <w:r w:rsidR="00DC1500" w:rsidRPr="005C6D06">
        <w:rPr>
          <w:rFonts w:ascii="Times New Roman" w:hAnsi="Times New Roman" w:cs="Times New Roman"/>
          <w:sz w:val="28"/>
          <w:szCs w:val="28"/>
        </w:rPr>
        <w:t>розміром надходжень до державного та місцевих бюджетів і державних цільових фондів, пов</w:t>
      </w:r>
      <w:r w:rsidR="00EA62B6">
        <w:rPr>
          <w:rFonts w:ascii="Times New Roman" w:hAnsi="Times New Roman" w:cs="Times New Roman"/>
          <w:sz w:val="28"/>
          <w:szCs w:val="28"/>
        </w:rPr>
        <w:t>’</w:t>
      </w:r>
      <w:r w:rsidR="00DC1500" w:rsidRPr="005C6D06">
        <w:rPr>
          <w:rFonts w:ascii="Times New Roman" w:hAnsi="Times New Roman" w:cs="Times New Roman"/>
          <w:sz w:val="28"/>
          <w:szCs w:val="28"/>
        </w:rPr>
        <w:t>язаних з дією акта – не передбачаються;</w:t>
      </w:r>
    </w:p>
    <w:p w14:paraId="65F379E5" w14:textId="136A1288" w:rsidR="00D90858" w:rsidRPr="00582376" w:rsidRDefault="00256BE4" w:rsidP="00D90858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2) </w:t>
      </w:r>
      <w:r w:rsidR="00D90858" w:rsidRPr="00582376">
        <w:rPr>
          <w:rFonts w:ascii="Times New Roman" w:hAnsi="Times New Roman"/>
          <w:sz w:val="28"/>
          <w:szCs w:val="28"/>
        </w:rPr>
        <w:t xml:space="preserve">кількістю суб’єктів господарювання та/або фізичних осіб, на яких </w:t>
      </w:r>
      <w:r w:rsidR="00D90858" w:rsidRPr="00582376">
        <w:rPr>
          <w:rFonts w:ascii="Times New Roman" w:hAnsi="Times New Roman"/>
          <w:sz w:val="28"/>
          <w:szCs w:val="28"/>
        </w:rPr>
        <w:lastRenderedPageBreak/>
        <w:t>поширюватиметься дія акта – дія акта поширюватиметься на електропостачальників, які виконують зобов’язання щодо надання універсальних послуг, визначених відповідно до Закону, – станом на 01 </w:t>
      </w:r>
      <w:r w:rsidR="00D90858">
        <w:rPr>
          <w:rFonts w:ascii="Times New Roman" w:hAnsi="Times New Roman"/>
          <w:sz w:val="28"/>
          <w:szCs w:val="28"/>
        </w:rPr>
        <w:t>верес</w:t>
      </w:r>
      <w:r w:rsidR="00D90858" w:rsidRPr="00582376">
        <w:rPr>
          <w:rFonts w:ascii="Times New Roman" w:hAnsi="Times New Roman"/>
          <w:sz w:val="28"/>
          <w:szCs w:val="28"/>
        </w:rPr>
        <w:t>ня 202</w:t>
      </w:r>
      <w:r w:rsidR="00D90858">
        <w:rPr>
          <w:rFonts w:ascii="Times New Roman" w:hAnsi="Times New Roman"/>
          <w:sz w:val="28"/>
          <w:szCs w:val="28"/>
        </w:rPr>
        <w:t>4</w:t>
      </w:r>
      <w:r w:rsidR="00D90858" w:rsidRPr="00582376">
        <w:rPr>
          <w:rFonts w:ascii="Times New Roman" w:hAnsi="Times New Roman"/>
          <w:sz w:val="28"/>
          <w:szCs w:val="28"/>
        </w:rPr>
        <w:t xml:space="preserve"> року – 25 постачальників універсальних послуг;</w:t>
      </w:r>
    </w:p>
    <w:p w14:paraId="484B3771" w14:textId="5D215A3A" w:rsidR="00DC1500" w:rsidRPr="005C6D06" w:rsidRDefault="00D90858" w:rsidP="008915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56BE4" w:rsidRPr="005C6D06">
        <w:rPr>
          <w:rFonts w:ascii="Times New Roman" w:hAnsi="Times New Roman" w:cs="Times New Roman"/>
          <w:sz w:val="28"/>
          <w:szCs w:val="28"/>
        </w:rPr>
        <w:t>) 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акта </w:t>
      </w:r>
      <w:r w:rsidR="00B26044" w:rsidRPr="005C6D06">
        <w:rPr>
          <w:rFonts w:ascii="Times New Roman" w:hAnsi="Times New Roman" w:cs="Times New Roman"/>
          <w:sz w:val="28"/>
          <w:szCs w:val="28"/>
        </w:rPr>
        <w:t xml:space="preserve">– 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середній. </w:t>
      </w:r>
    </w:p>
    <w:p w14:paraId="089ACEAF" w14:textId="49092615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Відповідно до статті 15 Закону України «Про Національну комісію, що здійснює державне регулювання у сферах енергетики та комунальних послуг» про</w:t>
      </w:r>
      <w:r w:rsidR="008C6D40" w:rsidRPr="005C6D06">
        <w:rPr>
          <w:rFonts w:ascii="Times New Roman" w:hAnsi="Times New Roman" w:cs="Times New Roman"/>
          <w:sz w:val="28"/>
          <w:szCs w:val="28"/>
        </w:rPr>
        <w:t>є</w:t>
      </w:r>
      <w:r w:rsidRPr="005C6D06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9C561D" w:rsidRPr="005C6D06">
        <w:rPr>
          <w:rFonts w:ascii="Times New Roman" w:hAnsi="Times New Roman" w:cs="Times New Roman"/>
          <w:sz w:val="28"/>
          <w:szCs w:val="28"/>
        </w:rPr>
        <w:t>«</w:t>
      </w:r>
      <w:r w:rsidR="00D90858" w:rsidRPr="00D90858">
        <w:rPr>
          <w:rFonts w:ascii="Times New Roman" w:hAnsi="Times New Roman" w:cs="Times New Roman"/>
          <w:sz w:val="28"/>
          <w:szCs w:val="28"/>
        </w:rPr>
        <w:t>Про внесення змін до Порядку формування цін на універсальні послуги</w:t>
      </w:r>
      <w:r w:rsidR="009C561D" w:rsidRPr="005C6D06">
        <w:rPr>
          <w:rFonts w:ascii="Times New Roman" w:hAnsi="Times New Roman" w:cs="Times New Roman"/>
          <w:sz w:val="28"/>
          <w:szCs w:val="28"/>
        </w:rPr>
        <w:t>»</w:t>
      </w:r>
      <w:r w:rsidR="003B2344" w:rsidRPr="005C6D06">
        <w:rPr>
          <w:rFonts w:ascii="Times New Roman" w:hAnsi="Times New Roman" w:cs="Times New Roman"/>
          <w:sz w:val="28"/>
          <w:szCs w:val="28"/>
        </w:rPr>
        <w:t xml:space="preserve">, </w:t>
      </w:r>
      <w:r w:rsidRPr="005C6D06">
        <w:rPr>
          <w:rFonts w:ascii="Times New Roman" w:hAnsi="Times New Roman" w:cs="Times New Roman"/>
          <w:sz w:val="28"/>
          <w:szCs w:val="28"/>
        </w:rPr>
        <w:t>аналіз впливу рішення НКРЕКП, що має ознаки регуляторного акта</w:t>
      </w:r>
      <w:r w:rsidR="001228F1" w:rsidRPr="005C6D06">
        <w:rPr>
          <w:rFonts w:ascii="Times New Roman" w:hAnsi="Times New Roman" w:cs="Times New Roman"/>
          <w:sz w:val="28"/>
          <w:szCs w:val="28"/>
        </w:rPr>
        <w:t>,</w:t>
      </w:r>
      <w:r w:rsidRPr="005C6D06">
        <w:rPr>
          <w:rFonts w:ascii="Times New Roman" w:hAnsi="Times New Roman" w:cs="Times New Roman"/>
          <w:sz w:val="28"/>
          <w:szCs w:val="28"/>
        </w:rPr>
        <w:t xml:space="preserve"> та повідомлення про оприлюднення розміщено на офіційному вебсайті Національної комісії, що здійснює державне регулювання у сферах енергетики та комунальних послуг, </w:t>
      </w:r>
      <w:r w:rsidR="008B5D3C">
        <w:rPr>
          <w:rFonts w:ascii="Times New Roman" w:hAnsi="Times New Roman" w:cs="Times New Roman"/>
          <w:sz w:val="28"/>
          <w:szCs w:val="28"/>
        </w:rPr>
        <w:t xml:space="preserve">у </w:t>
      </w:r>
      <w:r w:rsidRPr="005C6D06">
        <w:rPr>
          <w:rFonts w:ascii="Times New Roman" w:hAnsi="Times New Roman" w:cs="Times New Roman"/>
          <w:sz w:val="28"/>
          <w:szCs w:val="28"/>
        </w:rPr>
        <w:t xml:space="preserve">мережі Інтернет </w:t>
      </w:r>
      <w:r w:rsidR="00B26044" w:rsidRPr="005C6D06">
        <w:rPr>
          <w:rFonts w:ascii="Times New Roman" w:hAnsi="Times New Roman" w:cs="Times New Roman"/>
          <w:sz w:val="28"/>
          <w:szCs w:val="28"/>
        </w:rPr>
        <w:t xml:space="preserve">за посиланням: </w:t>
      </w:r>
      <w:r w:rsidRPr="005C6D06">
        <w:rPr>
          <w:rFonts w:ascii="Times New Roman" w:hAnsi="Times New Roman" w:cs="Times New Roman"/>
          <w:sz w:val="28"/>
          <w:szCs w:val="28"/>
        </w:rPr>
        <w:t xml:space="preserve">http://nerc.gov.ua. </w:t>
      </w:r>
    </w:p>
    <w:p w14:paraId="35F7C0E1" w14:textId="77777777" w:rsidR="00B26044" w:rsidRPr="005C6D06" w:rsidRDefault="00DC1500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НКРЕКП у межах компетенції надає необ</w:t>
      </w:r>
      <w:r w:rsidR="008C6D40" w:rsidRPr="005C6D06">
        <w:rPr>
          <w:rFonts w:ascii="Times New Roman" w:hAnsi="Times New Roman" w:cs="Times New Roman"/>
          <w:sz w:val="28"/>
          <w:szCs w:val="28"/>
        </w:rPr>
        <w:t>хідні роз’яснення щодо норм проє</w:t>
      </w:r>
      <w:r w:rsidRPr="005C6D06">
        <w:rPr>
          <w:rFonts w:ascii="Times New Roman" w:hAnsi="Times New Roman" w:cs="Times New Roman"/>
          <w:sz w:val="28"/>
          <w:szCs w:val="28"/>
        </w:rPr>
        <w:t xml:space="preserve">кту регуляторного акта і надаватиме роз’яснення щодо застосування акта, який буде </w:t>
      </w:r>
      <w:r w:rsidR="001228F1" w:rsidRPr="005C6D06">
        <w:rPr>
          <w:rFonts w:ascii="Times New Roman" w:hAnsi="Times New Roman" w:cs="Times New Roman"/>
          <w:sz w:val="28"/>
          <w:szCs w:val="28"/>
        </w:rPr>
        <w:t xml:space="preserve">оприлюднено </w:t>
      </w:r>
      <w:r w:rsidR="00B26044" w:rsidRPr="005C6D06">
        <w:rPr>
          <w:rFonts w:ascii="Times New Roman" w:hAnsi="Times New Roman" w:cs="Times New Roman"/>
          <w:sz w:val="28"/>
          <w:szCs w:val="28"/>
        </w:rPr>
        <w:t xml:space="preserve">на офіційному вебсайті </w:t>
      </w:r>
      <w:r w:rsidR="001228F1" w:rsidRPr="005C6D06">
        <w:rPr>
          <w:rFonts w:ascii="Times New Roman" w:hAnsi="Times New Roman" w:cs="Times New Roman"/>
          <w:sz w:val="28"/>
          <w:szCs w:val="28"/>
        </w:rPr>
        <w:t>НКРЕКП після його прийняття</w:t>
      </w:r>
      <w:r w:rsidR="00B26044" w:rsidRPr="005C6D06">
        <w:rPr>
          <w:rFonts w:ascii="Times New Roman" w:hAnsi="Times New Roman" w:cs="Times New Roman"/>
          <w:sz w:val="28"/>
          <w:szCs w:val="28"/>
        </w:rPr>
        <w:t>.</w:t>
      </w:r>
    </w:p>
    <w:p w14:paraId="18535487" w14:textId="7195DC8E" w:rsidR="00375422" w:rsidRPr="005C6D06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64C40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5C6D0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5C6D0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C6D0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5C6D06">
        <w:rPr>
          <w:rFonts w:ascii="Times New Roman" w:hAnsi="Times New Roman" w:cs="Times New Roman"/>
          <w:b/>
          <w:bCs/>
          <w:sz w:val="28"/>
          <w:szCs w:val="28"/>
        </w:rPr>
        <w:t>Очікуванні результати прийняття регуляторного акта</w:t>
      </w:r>
    </w:p>
    <w:p w14:paraId="74781CF9" w14:textId="77777777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FFAF4F" w14:textId="0FB2AC2E" w:rsidR="00D90858" w:rsidRPr="00B32C8C" w:rsidRDefault="00FB1506" w:rsidP="00D908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Очікуваним результатом </w:t>
      </w:r>
      <w:r w:rsidR="00D90858" w:rsidRPr="00582376">
        <w:rPr>
          <w:rFonts w:ascii="Times New Roman" w:hAnsi="Times New Roman"/>
          <w:sz w:val="28"/>
          <w:szCs w:val="28"/>
        </w:rPr>
        <w:t xml:space="preserve">прийняття постанови НКРЕКП </w:t>
      </w:r>
      <w:r w:rsidR="00D90858" w:rsidRPr="00D90858">
        <w:rPr>
          <w:rFonts w:ascii="Times New Roman" w:hAnsi="Times New Roman"/>
          <w:sz w:val="28"/>
          <w:szCs w:val="28"/>
        </w:rPr>
        <w:t>«</w:t>
      </w:r>
      <w:r w:rsidR="00D90858" w:rsidRPr="00D90858">
        <w:rPr>
          <w:rFonts w:ascii="Times New Roman" w:hAnsi="Times New Roman" w:cs="Times New Roman"/>
          <w:sz w:val="28"/>
          <w:szCs w:val="28"/>
        </w:rPr>
        <w:t>Про внесення змін до Порядку формування цін на універсальні послуги</w:t>
      </w:r>
      <w:r w:rsidR="00D90858" w:rsidRPr="00582376">
        <w:rPr>
          <w:rFonts w:ascii="Times New Roman" w:hAnsi="Times New Roman"/>
          <w:sz w:val="28"/>
          <w:szCs w:val="28"/>
        </w:rPr>
        <w:t xml:space="preserve">» </w:t>
      </w:r>
      <w:r w:rsidR="00D90858" w:rsidRPr="00381E43">
        <w:rPr>
          <w:rFonts w:ascii="Times New Roman" w:hAnsi="Times New Roman"/>
          <w:sz w:val="28"/>
          <w:szCs w:val="28"/>
        </w:rPr>
        <w:t xml:space="preserve">має стати удосконалення </w:t>
      </w:r>
      <w:r w:rsidR="00D90858" w:rsidRPr="00B32C8C">
        <w:rPr>
          <w:rFonts w:ascii="Times New Roman" w:hAnsi="Times New Roman"/>
          <w:sz w:val="28"/>
          <w:szCs w:val="28"/>
        </w:rPr>
        <w:t xml:space="preserve">механізму розрахунку ціни на універсальні послуги в частині </w:t>
      </w:r>
      <w:r w:rsidR="00D90858" w:rsidRPr="00D90858">
        <w:rPr>
          <w:rFonts w:ascii="Times New Roman" w:hAnsi="Times New Roman"/>
          <w:sz w:val="28"/>
          <w:szCs w:val="28"/>
        </w:rPr>
        <w:t>поширення дії коефіцієнту, що враховує граничний відносний обсяг небалансів електричної енергії, на обсяги закупівлі ПУП за договорами самовиробництва</w:t>
      </w:r>
      <w:r w:rsidR="009B2ADE">
        <w:rPr>
          <w:rFonts w:ascii="Times New Roman" w:hAnsi="Times New Roman"/>
          <w:sz w:val="28"/>
          <w:szCs w:val="28"/>
        </w:rPr>
        <w:t xml:space="preserve">, </w:t>
      </w:r>
      <w:r w:rsidR="009B2ADE">
        <w:rPr>
          <w:rFonts w:ascii="Times New Roman" w:hAnsi="Times New Roman"/>
          <w:sz w:val="28"/>
          <w:szCs w:val="28"/>
        </w:rPr>
        <w:br/>
      </w:r>
      <w:r w:rsidR="009B2ADE" w:rsidRPr="00323313">
        <w:rPr>
          <w:rFonts w:ascii="Times New Roman" w:hAnsi="Times New Roman"/>
          <w:sz w:val="28"/>
          <w:szCs w:val="28"/>
        </w:rPr>
        <w:t xml:space="preserve">а також </w:t>
      </w:r>
      <w:r w:rsidR="009B2ADE" w:rsidRPr="00323313">
        <w:rPr>
          <w:rFonts w:ascii="Times New Roman" w:hAnsi="Times New Roman" w:cs="Times New Roman"/>
          <w:sz w:val="28"/>
          <w:szCs w:val="28"/>
        </w:rPr>
        <w:t>актуалізація положень Порядку у частині приведення його у відповідність до чинних нормативно-правових актів, із виключенням диференціації за торговими зонами</w:t>
      </w:r>
      <w:r w:rsidR="00D90858" w:rsidRPr="00323313">
        <w:rPr>
          <w:rFonts w:ascii="Times New Roman" w:hAnsi="Times New Roman"/>
          <w:sz w:val="28"/>
          <w:szCs w:val="28"/>
        </w:rPr>
        <w:t>.</w:t>
      </w:r>
    </w:p>
    <w:p w14:paraId="5FF50D4A" w14:textId="77777777" w:rsidR="00D90858" w:rsidRPr="00D90858" w:rsidRDefault="00D90858" w:rsidP="00D908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70BB46F" w14:textId="77777777" w:rsidR="00D90858" w:rsidRPr="00D90858" w:rsidRDefault="00D90858" w:rsidP="00D908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3BA6DA2" w14:textId="13CA76B1" w:rsidR="00055385" w:rsidRPr="005C6D06" w:rsidRDefault="00055385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3819A6" w14:textId="583CDBBB" w:rsidR="008F2A82" w:rsidRPr="005C6D06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C67A63" w14:textId="77777777" w:rsidR="008F2A82" w:rsidRPr="005C6D06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0CBFB0" w14:textId="41930EBB" w:rsidR="00DC1500" w:rsidRPr="00EC1C31" w:rsidRDefault="00DC1500" w:rsidP="00DC6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Голов</w:t>
      </w:r>
      <w:r w:rsidR="003B2344" w:rsidRPr="005C6D06">
        <w:rPr>
          <w:rFonts w:ascii="Times New Roman" w:hAnsi="Times New Roman" w:cs="Times New Roman"/>
          <w:sz w:val="28"/>
          <w:szCs w:val="28"/>
        </w:rPr>
        <w:t>а</w:t>
      </w:r>
      <w:r w:rsidRPr="005C6D06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="008F2A82"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="003B6E93" w:rsidRPr="005C6D06">
        <w:rPr>
          <w:rFonts w:ascii="Times New Roman" w:hAnsi="Times New Roman" w:cs="Times New Roman"/>
          <w:sz w:val="28"/>
          <w:szCs w:val="28"/>
        </w:rPr>
        <w:t>Юрій ВЛАСЕНКО</w:t>
      </w:r>
    </w:p>
    <w:sectPr w:rsidR="00DC1500" w:rsidRPr="00EC1C31" w:rsidSect="000820F1">
      <w:headerReference w:type="default" r:id="rId8"/>
      <w:pgSz w:w="11906" w:h="16838"/>
      <w:pgMar w:top="993" w:right="567" w:bottom="709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24EFD" w14:textId="77777777" w:rsidR="004B000D" w:rsidRDefault="004B000D" w:rsidP="00B4485B">
      <w:pPr>
        <w:spacing w:after="0" w:line="240" w:lineRule="auto"/>
      </w:pPr>
      <w:r>
        <w:separator/>
      </w:r>
    </w:p>
  </w:endnote>
  <w:endnote w:type="continuationSeparator" w:id="0">
    <w:p w14:paraId="11CD46DD" w14:textId="77777777" w:rsidR="004B000D" w:rsidRDefault="004B000D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5A86C" w14:textId="77777777" w:rsidR="004B000D" w:rsidRDefault="004B000D" w:rsidP="00B4485B">
      <w:pPr>
        <w:spacing w:after="0" w:line="240" w:lineRule="auto"/>
      </w:pPr>
      <w:r>
        <w:separator/>
      </w:r>
    </w:p>
  </w:footnote>
  <w:footnote w:type="continuationSeparator" w:id="0">
    <w:p w14:paraId="13E4E528" w14:textId="77777777" w:rsidR="004B000D" w:rsidRDefault="004B000D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52C88" w14:textId="77777777" w:rsidR="00A33081" w:rsidRPr="00D165E3" w:rsidRDefault="00A33081" w:rsidP="00D165E3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1F2F0B">
      <w:rPr>
        <w:rFonts w:ascii="Times New Roman" w:hAnsi="Times New Roman" w:cs="Times New Roman"/>
        <w:noProof/>
      </w:rPr>
      <w:t>7</w:t>
    </w:r>
    <w:r w:rsidRPr="00726447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16A"/>
    <w:multiLevelType w:val="hybridMultilevel"/>
    <w:tmpl w:val="5106CF48"/>
    <w:lvl w:ilvl="0" w:tplc="58FAEF5A">
      <w:start w:val="1"/>
      <w:numFmt w:val="decimal"/>
      <w:lvlText w:val="%1)"/>
      <w:lvlJc w:val="left"/>
      <w:pPr>
        <w:ind w:left="4330" w:hanging="360"/>
      </w:pPr>
      <w:rPr>
        <w:rFonts w:eastAsia="SimSun" w:cs="Latha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F61642"/>
    <w:multiLevelType w:val="hybridMultilevel"/>
    <w:tmpl w:val="84E839AA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6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11EF"/>
    <w:rsid w:val="00002C99"/>
    <w:rsid w:val="0001257D"/>
    <w:rsid w:val="00014069"/>
    <w:rsid w:val="00017848"/>
    <w:rsid w:val="00020178"/>
    <w:rsid w:val="000202EA"/>
    <w:rsid w:val="000217A1"/>
    <w:rsid w:val="000302DC"/>
    <w:rsid w:val="000317F3"/>
    <w:rsid w:val="00034654"/>
    <w:rsid w:val="00034ACD"/>
    <w:rsid w:val="000354E5"/>
    <w:rsid w:val="00036637"/>
    <w:rsid w:val="00042445"/>
    <w:rsid w:val="00046BA0"/>
    <w:rsid w:val="000534F1"/>
    <w:rsid w:val="00053BCF"/>
    <w:rsid w:val="00054881"/>
    <w:rsid w:val="00055385"/>
    <w:rsid w:val="00063F4C"/>
    <w:rsid w:val="000645D5"/>
    <w:rsid w:val="00065023"/>
    <w:rsid w:val="000678F4"/>
    <w:rsid w:val="00067F06"/>
    <w:rsid w:val="0007401F"/>
    <w:rsid w:val="00074111"/>
    <w:rsid w:val="00077764"/>
    <w:rsid w:val="000820F1"/>
    <w:rsid w:val="000834CE"/>
    <w:rsid w:val="00083AAB"/>
    <w:rsid w:val="000858E6"/>
    <w:rsid w:val="00085927"/>
    <w:rsid w:val="00087085"/>
    <w:rsid w:val="00092636"/>
    <w:rsid w:val="000938AE"/>
    <w:rsid w:val="000A4FA6"/>
    <w:rsid w:val="000A5556"/>
    <w:rsid w:val="000B0549"/>
    <w:rsid w:val="000B0574"/>
    <w:rsid w:val="000B0808"/>
    <w:rsid w:val="000B100A"/>
    <w:rsid w:val="000B3179"/>
    <w:rsid w:val="000B3619"/>
    <w:rsid w:val="000B3CCB"/>
    <w:rsid w:val="000B4E9E"/>
    <w:rsid w:val="000B6295"/>
    <w:rsid w:val="000C1767"/>
    <w:rsid w:val="000C37E4"/>
    <w:rsid w:val="000C69B3"/>
    <w:rsid w:val="000C77FE"/>
    <w:rsid w:val="000D3113"/>
    <w:rsid w:val="000D526A"/>
    <w:rsid w:val="000E0120"/>
    <w:rsid w:val="000E1F7F"/>
    <w:rsid w:val="000E374A"/>
    <w:rsid w:val="000E3DAA"/>
    <w:rsid w:val="000E5B56"/>
    <w:rsid w:val="000E6897"/>
    <w:rsid w:val="000F37C8"/>
    <w:rsid w:val="000F5926"/>
    <w:rsid w:val="000F72F6"/>
    <w:rsid w:val="000F7AA9"/>
    <w:rsid w:val="00101536"/>
    <w:rsid w:val="00101840"/>
    <w:rsid w:val="00101C39"/>
    <w:rsid w:val="00102EE6"/>
    <w:rsid w:val="00103458"/>
    <w:rsid w:val="00106F29"/>
    <w:rsid w:val="001114F4"/>
    <w:rsid w:val="00112D23"/>
    <w:rsid w:val="00115EAB"/>
    <w:rsid w:val="00120A93"/>
    <w:rsid w:val="0012257B"/>
    <w:rsid w:val="001228F1"/>
    <w:rsid w:val="001325DB"/>
    <w:rsid w:val="00132723"/>
    <w:rsid w:val="00151E1F"/>
    <w:rsid w:val="0015200C"/>
    <w:rsid w:val="00157F95"/>
    <w:rsid w:val="00160780"/>
    <w:rsid w:val="00163C0C"/>
    <w:rsid w:val="00163E02"/>
    <w:rsid w:val="00166C04"/>
    <w:rsid w:val="00172AC3"/>
    <w:rsid w:val="00174909"/>
    <w:rsid w:val="00175E93"/>
    <w:rsid w:val="00177D27"/>
    <w:rsid w:val="001824CF"/>
    <w:rsid w:val="0018723A"/>
    <w:rsid w:val="001935AA"/>
    <w:rsid w:val="001A26D8"/>
    <w:rsid w:val="001A3EF0"/>
    <w:rsid w:val="001B21CF"/>
    <w:rsid w:val="001B30DA"/>
    <w:rsid w:val="001B321D"/>
    <w:rsid w:val="001B4AF1"/>
    <w:rsid w:val="001C00D5"/>
    <w:rsid w:val="001C3229"/>
    <w:rsid w:val="001C5354"/>
    <w:rsid w:val="001C5FB3"/>
    <w:rsid w:val="001C614E"/>
    <w:rsid w:val="001C6EAC"/>
    <w:rsid w:val="001D26DF"/>
    <w:rsid w:val="001D2835"/>
    <w:rsid w:val="001D3F4B"/>
    <w:rsid w:val="001D4709"/>
    <w:rsid w:val="001D69A1"/>
    <w:rsid w:val="001E11F5"/>
    <w:rsid w:val="001E19C3"/>
    <w:rsid w:val="001F1338"/>
    <w:rsid w:val="001F191E"/>
    <w:rsid w:val="001F1CE8"/>
    <w:rsid w:val="001F2F0B"/>
    <w:rsid w:val="001F5B1B"/>
    <w:rsid w:val="001F64D6"/>
    <w:rsid w:val="00205B59"/>
    <w:rsid w:val="002072B7"/>
    <w:rsid w:val="00211F05"/>
    <w:rsid w:val="00211F26"/>
    <w:rsid w:val="00217C9C"/>
    <w:rsid w:val="00227B11"/>
    <w:rsid w:val="002319A9"/>
    <w:rsid w:val="00234FAE"/>
    <w:rsid w:val="0023564D"/>
    <w:rsid w:val="00250B09"/>
    <w:rsid w:val="0025338E"/>
    <w:rsid w:val="00254B51"/>
    <w:rsid w:val="0025569A"/>
    <w:rsid w:val="00256259"/>
    <w:rsid w:val="00256BE4"/>
    <w:rsid w:val="00262D37"/>
    <w:rsid w:val="00264427"/>
    <w:rsid w:val="0026649E"/>
    <w:rsid w:val="00266989"/>
    <w:rsid w:val="00267A9C"/>
    <w:rsid w:val="00267E2F"/>
    <w:rsid w:val="00267F26"/>
    <w:rsid w:val="00272EDD"/>
    <w:rsid w:val="00285079"/>
    <w:rsid w:val="002912A1"/>
    <w:rsid w:val="00291960"/>
    <w:rsid w:val="00291B29"/>
    <w:rsid w:val="00291F0A"/>
    <w:rsid w:val="00292CE5"/>
    <w:rsid w:val="002947D7"/>
    <w:rsid w:val="002A62E0"/>
    <w:rsid w:val="002A7E1C"/>
    <w:rsid w:val="002B2D0F"/>
    <w:rsid w:val="002B53F1"/>
    <w:rsid w:val="002C457D"/>
    <w:rsid w:val="002C4681"/>
    <w:rsid w:val="002C7012"/>
    <w:rsid w:val="002D36B9"/>
    <w:rsid w:val="002D499C"/>
    <w:rsid w:val="002E2AB9"/>
    <w:rsid w:val="002E416D"/>
    <w:rsid w:val="002E5440"/>
    <w:rsid w:val="002F06AB"/>
    <w:rsid w:val="003028DB"/>
    <w:rsid w:val="00302CE2"/>
    <w:rsid w:val="00304C31"/>
    <w:rsid w:val="003061E1"/>
    <w:rsid w:val="00307298"/>
    <w:rsid w:val="0031498D"/>
    <w:rsid w:val="00314F6A"/>
    <w:rsid w:val="00316256"/>
    <w:rsid w:val="00321181"/>
    <w:rsid w:val="00322A23"/>
    <w:rsid w:val="00323313"/>
    <w:rsid w:val="003239F3"/>
    <w:rsid w:val="00324646"/>
    <w:rsid w:val="0032547B"/>
    <w:rsid w:val="00326E0B"/>
    <w:rsid w:val="00331518"/>
    <w:rsid w:val="003337AF"/>
    <w:rsid w:val="003342C9"/>
    <w:rsid w:val="00334726"/>
    <w:rsid w:val="003359CD"/>
    <w:rsid w:val="003365B9"/>
    <w:rsid w:val="0034529E"/>
    <w:rsid w:val="00345833"/>
    <w:rsid w:val="00346BBB"/>
    <w:rsid w:val="003474B3"/>
    <w:rsid w:val="003500CC"/>
    <w:rsid w:val="003522C9"/>
    <w:rsid w:val="00353168"/>
    <w:rsid w:val="0035567D"/>
    <w:rsid w:val="00360D00"/>
    <w:rsid w:val="00363DC0"/>
    <w:rsid w:val="00373912"/>
    <w:rsid w:val="00375422"/>
    <w:rsid w:val="00376D71"/>
    <w:rsid w:val="00377979"/>
    <w:rsid w:val="003800B0"/>
    <w:rsid w:val="0038060B"/>
    <w:rsid w:val="00381B8C"/>
    <w:rsid w:val="00393932"/>
    <w:rsid w:val="003949CC"/>
    <w:rsid w:val="00394B81"/>
    <w:rsid w:val="003A142D"/>
    <w:rsid w:val="003A31DF"/>
    <w:rsid w:val="003A4CA7"/>
    <w:rsid w:val="003A5A9C"/>
    <w:rsid w:val="003B1240"/>
    <w:rsid w:val="003B2344"/>
    <w:rsid w:val="003B35F2"/>
    <w:rsid w:val="003B6E93"/>
    <w:rsid w:val="003C0664"/>
    <w:rsid w:val="003D09C5"/>
    <w:rsid w:val="003D5282"/>
    <w:rsid w:val="003D5AF7"/>
    <w:rsid w:val="003D7395"/>
    <w:rsid w:val="003E095C"/>
    <w:rsid w:val="003E1A1E"/>
    <w:rsid w:val="003E7DCD"/>
    <w:rsid w:val="004008AD"/>
    <w:rsid w:val="00405F7B"/>
    <w:rsid w:val="00410F64"/>
    <w:rsid w:val="00411CCB"/>
    <w:rsid w:val="004136D7"/>
    <w:rsid w:val="00417143"/>
    <w:rsid w:val="004326DB"/>
    <w:rsid w:val="00441CBF"/>
    <w:rsid w:val="00444E09"/>
    <w:rsid w:val="004473EE"/>
    <w:rsid w:val="0044796E"/>
    <w:rsid w:val="0045238D"/>
    <w:rsid w:val="00452DE6"/>
    <w:rsid w:val="00457587"/>
    <w:rsid w:val="00467E94"/>
    <w:rsid w:val="0047038C"/>
    <w:rsid w:val="004714F0"/>
    <w:rsid w:val="00476B9E"/>
    <w:rsid w:val="0048072B"/>
    <w:rsid w:val="004816F9"/>
    <w:rsid w:val="00483555"/>
    <w:rsid w:val="00486E66"/>
    <w:rsid w:val="00487B55"/>
    <w:rsid w:val="00491849"/>
    <w:rsid w:val="00493E17"/>
    <w:rsid w:val="00495612"/>
    <w:rsid w:val="00495F36"/>
    <w:rsid w:val="004A1C5D"/>
    <w:rsid w:val="004A4623"/>
    <w:rsid w:val="004A7F3E"/>
    <w:rsid w:val="004B000D"/>
    <w:rsid w:val="004B429B"/>
    <w:rsid w:val="004B7026"/>
    <w:rsid w:val="004B7DDC"/>
    <w:rsid w:val="004C290A"/>
    <w:rsid w:val="004D15A4"/>
    <w:rsid w:val="004E06D1"/>
    <w:rsid w:val="004E1269"/>
    <w:rsid w:val="004E23E9"/>
    <w:rsid w:val="004E2EFB"/>
    <w:rsid w:val="004E7252"/>
    <w:rsid w:val="004E7298"/>
    <w:rsid w:val="00501CDA"/>
    <w:rsid w:val="005050CE"/>
    <w:rsid w:val="005070C1"/>
    <w:rsid w:val="00523926"/>
    <w:rsid w:val="00524579"/>
    <w:rsid w:val="00524F83"/>
    <w:rsid w:val="00526105"/>
    <w:rsid w:val="00531C01"/>
    <w:rsid w:val="0053670C"/>
    <w:rsid w:val="0055215E"/>
    <w:rsid w:val="005539A8"/>
    <w:rsid w:val="00554C67"/>
    <w:rsid w:val="005554FD"/>
    <w:rsid w:val="0055596E"/>
    <w:rsid w:val="0056222A"/>
    <w:rsid w:val="00562A6B"/>
    <w:rsid w:val="005647CE"/>
    <w:rsid w:val="00565D81"/>
    <w:rsid w:val="00570109"/>
    <w:rsid w:val="0057175A"/>
    <w:rsid w:val="00577C13"/>
    <w:rsid w:val="005819C0"/>
    <w:rsid w:val="00581BA8"/>
    <w:rsid w:val="00583613"/>
    <w:rsid w:val="00592E5F"/>
    <w:rsid w:val="005977A2"/>
    <w:rsid w:val="005A31FB"/>
    <w:rsid w:val="005A3439"/>
    <w:rsid w:val="005A6A4B"/>
    <w:rsid w:val="005A73AF"/>
    <w:rsid w:val="005A77E4"/>
    <w:rsid w:val="005B080F"/>
    <w:rsid w:val="005B322E"/>
    <w:rsid w:val="005B4C3F"/>
    <w:rsid w:val="005B78AF"/>
    <w:rsid w:val="005C1692"/>
    <w:rsid w:val="005C3ADD"/>
    <w:rsid w:val="005C59BB"/>
    <w:rsid w:val="005C6D06"/>
    <w:rsid w:val="005D4D24"/>
    <w:rsid w:val="005D7AFC"/>
    <w:rsid w:val="005E17E0"/>
    <w:rsid w:val="005E40E9"/>
    <w:rsid w:val="005E5A4E"/>
    <w:rsid w:val="005E67C9"/>
    <w:rsid w:val="005F132C"/>
    <w:rsid w:val="005F5595"/>
    <w:rsid w:val="005F5AD4"/>
    <w:rsid w:val="00607D72"/>
    <w:rsid w:val="006110F1"/>
    <w:rsid w:val="00611E39"/>
    <w:rsid w:val="00616112"/>
    <w:rsid w:val="00621A84"/>
    <w:rsid w:val="006238DE"/>
    <w:rsid w:val="00627571"/>
    <w:rsid w:val="00633CA7"/>
    <w:rsid w:val="00640C31"/>
    <w:rsid w:val="006428F3"/>
    <w:rsid w:val="00646E30"/>
    <w:rsid w:val="006476F3"/>
    <w:rsid w:val="00647B23"/>
    <w:rsid w:val="00650A25"/>
    <w:rsid w:val="00651D66"/>
    <w:rsid w:val="00652CDA"/>
    <w:rsid w:val="00654145"/>
    <w:rsid w:val="00654DC5"/>
    <w:rsid w:val="00656225"/>
    <w:rsid w:val="00665CB5"/>
    <w:rsid w:val="00667E06"/>
    <w:rsid w:val="00671172"/>
    <w:rsid w:val="006777CE"/>
    <w:rsid w:val="006841C4"/>
    <w:rsid w:val="00691E9B"/>
    <w:rsid w:val="00692E34"/>
    <w:rsid w:val="00693DA7"/>
    <w:rsid w:val="0069411C"/>
    <w:rsid w:val="0069722E"/>
    <w:rsid w:val="006A0B68"/>
    <w:rsid w:val="006A2271"/>
    <w:rsid w:val="006A2CB3"/>
    <w:rsid w:val="006A5211"/>
    <w:rsid w:val="006A59E0"/>
    <w:rsid w:val="006A6E45"/>
    <w:rsid w:val="006B2454"/>
    <w:rsid w:val="006B3D12"/>
    <w:rsid w:val="006B5D4A"/>
    <w:rsid w:val="006C13C0"/>
    <w:rsid w:val="006C3047"/>
    <w:rsid w:val="006C6877"/>
    <w:rsid w:val="006C6F99"/>
    <w:rsid w:val="006D7149"/>
    <w:rsid w:val="006E0672"/>
    <w:rsid w:val="006E1745"/>
    <w:rsid w:val="0070151A"/>
    <w:rsid w:val="007048F0"/>
    <w:rsid w:val="00704AF5"/>
    <w:rsid w:val="0071464F"/>
    <w:rsid w:val="007218AB"/>
    <w:rsid w:val="00723FE8"/>
    <w:rsid w:val="00725546"/>
    <w:rsid w:val="00725D1D"/>
    <w:rsid w:val="00726447"/>
    <w:rsid w:val="00730A38"/>
    <w:rsid w:val="00735994"/>
    <w:rsid w:val="007367A4"/>
    <w:rsid w:val="00737985"/>
    <w:rsid w:val="00743C04"/>
    <w:rsid w:val="007466BB"/>
    <w:rsid w:val="00746BF0"/>
    <w:rsid w:val="00752E85"/>
    <w:rsid w:val="00755F9A"/>
    <w:rsid w:val="0076065C"/>
    <w:rsid w:val="00760BBD"/>
    <w:rsid w:val="007637D5"/>
    <w:rsid w:val="0077202A"/>
    <w:rsid w:val="00772241"/>
    <w:rsid w:val="00774C7B"/>
    <w:rsid w:val="00781CFE"/>
    <w:rsid w:val="00791BB7"/>
    <w:rsid w:val="007927C0"/>
    <w:rsid w:val="007A274A"/>
    <w:rsid w:val="007A3418"/>
    <w:rsid w:val="007A5AAE"/>
    <w:rsid w:val="007B07B3"/>
    <w:rsid w:val="007B0D8A"/>
    <w:rsid w:val="007B1CB2"/>
    <w:rsid w:val="007B5019"/>
    <w:rsid w:val="007B71D9"/>
    <w:rsid w:val="007B73B9"/>
    <w:rsid w:val="007C02AE"/>
    <w:rsid w:val="007C110F"/>
    <w:rsid w:val="007C3B0E"/>
    <w:rsid w:val="007C78DC"/>
    <w:rsid w:val="007D0C1D"/>
    <w:rsid w:val="007D2061"/>
    <w:rsid w:val="007D2972"/>
    <w:rsid w:val="007E249F"/>
    <w:rsid w:val="007E49B1"/>
    <w:rsid w:val="007E639D"/>
    <w:rsid w:val="007E7663"/>
    <w:rsid w:val="007F128D"/>
    <w:rsid w:val="007F2C6A"/>
    <w:rsid w:val="00802EF7"/>
    <w:rsid w:val="008163CB"/>
    <w:rsid w:val="00817BEB"/>
    <w:rsid w:val="008223F7"/>
    <w:rsid w:val="0082428B"/>
    <w:rsid w:val="00826696"/>
    <w:rsid w:val="00827084"/>
    <w:rsid w:val="00827280"/>
    <w:rsid w:val="00833DA0"/>
    <w:rsid w:val="008366E2"/>
    <w:rsid w:val="00836AB9"/>
    <w:rsid w:val="008409A6"/>
    <w:rsid w:val="008419B3"/>
    <w:rsid w:val="008465E0"/>
    <w:rsid w:val="008509EE"/>
    <w:rsid w:val="00852845"/>
    <w:rsid w:val="00852A4C"/>
    <w:rsid w:val="008651AB"/>
    <w:rsid w:val="00865D3F"/>
    <w:rsid w:val="00867969"/>
    <w:rsid w:val="008726FF"/>
    <w:rsid w:val="00872DB8"/>
    <w:rsid w:val="0087366F"/>
    <w:rsid w:val="0087391A"/>
    <w:rsid w:val="00876C6C"/>
    <w:rsid w:val="00877806"/>
    <w:rsid w:val="00881E32"/>
    <w:rsid w:val="00882408"/>
    <w:rsid w:val="00884B7C"/>
    <w:rsid w:val="00886B09"/>
    <w:rsid w:val="00891511"/>
    <w:rsid w:val="0089450D"/>
    <w:rsid w:val="008A3DA4"/>
    <w:rsid w:val="008A56C3"/>
    <w:rsid w:val="008B074C"/>
    <w:rsid w:val="008B222D"/>
    <w:rsid w:val="008B2A04"/>
    <w:rsid w:val="008B343D"/>
    <w:rsid w:val="008B4F44"/>
    <w:rsid w:val="008B5CD7"/>
    <w:rsid w:val="008B5D3C"/>
    <w:rsid w:val="008C566E"/>
    <w:rsid w:val="008C6D40"/>
    <w:rsid w:val="008D2BBB"/>
    <w:rsid w:val="008D65DE"/>
    <w:rsid w:val="008E0C3A"/>
    <w:rsid w:val="008E0FD9"/>
    <w:rsid w:val="008E1C45"/>
    <w:rsid w:val="008E4216"/>
    <w:rsid w:val="008E497D"/>
    <w:rsid w:val="008E4C33"/>
    <w:rsid w:val="008E7528"/>
    <w:rsid w:val="008F0321"/>
    <w:rsid w:val="008F1C2A"/>
    <w:rsid w:val="008F2126"/>
    <w:rsid w:val="008F2A82"/>
    <w:rsid w:val="008F37C0"/>
    <w:rsid w:val="008F4F11"/>
    <w:rsid w:val="008F5F46"/>
    <w:rsid w:val="008F5FE4"/>
    <w:rsid w:val="0090320B"/>
    <w:rsid w:val="0090639B"/>
    <w:rsid w:val="009077EA"/>
    <w:rsid w:val="00911D9D"/>
    <w:rsid w:val="00916D13"/>
    <w:rsid w:val="00922020"/>
    <w:rsid w:val="009224A2"/>
    <w:rsid w:val="00941420"/>
    <w:rsid w:val="00943DFD"/>
    <w:rsid w:val="00944C00"/>
    <w:rsid w:val="00950C76"/>
    <w:rsid w:val="009513DC"/>
    <w:rsid w:val="00952CC7"/>
    <w:rsid w:val="00955F99"/>
    <w:rsid w:val="009564EF"/>
    <w:rsid w:val="00956C42"/>
    <w:rsid w:val="009626AB"/>
    <w:rsid w:val="00964FAC"/>
    <w:rsid w:val="00967B55"/>
    <w:rsid w:val="00970C37"/>
    <w:rsid w:val="00971777"/>
    <w:rsid w:val="0097534C"/>
    <w:rsid w:val="009809E9"/>
    <w:rsid w:val="00984516"/>
    <w:rsid w:val="00984F6C"/>
    <w:rsid w:val="00992CE4"/>
    <w:rsid w:val="009946E7"/>
    <w:rsid w:val="009969E1"/>
    <w:rsid w:val="009979CF"/>
    <w:rsid w:val="009A4763"/>
    <w:rsid w:val="009A54AC"/>
    <w:rsid w:val="009A5C54"/>
    <w:rsid w:val="009B1236"/>
    <w:rsid w:val="009B2ADE"/>
    <w:rsid w:val="009B3293"/>
    <w:rsid w:val="009B45AF"/>
    <w:rsid w:val="009B4F29"/>
    <w:rsid w:val="009B62EB"/>
    <w:rsid w:val="009B7C4D"/>
    <w:rsid w:val="009C1292"/>
    <w:rsid w:val="009C49B4"/>
    <w:rsid w:val="009C4C04"/>
    <w:rsid w:val="009C557E"/>
    <w:rsid w:val="009C561D"/>
    <w:rsid w:val="009C5DC5"/>
    <w:rsid w:val="009E252F"/>
    <w:rsid w:val="009E49B9"/>
    <w:rsid w:val="009F38A7"/>
    <w:rsid w:val="009F7497"/>
    <w:rsid w:val="00A038D9"/>
    <w:rsid w:val="00A045B4"/>
    <w:rsid w:val="00A06801"/>
    <w:rsid w:val="00A1073C"/>
    <w:rsid w:val="00A10F02"/>
    <w:rsid w:val="00A1354A"/>
    <w:rsid w:val="00A14381"/>
    <w:rsid w:val="00A23607"/>
    <w:rsid w:val="00A276E5"/>
    <w:rsid w:val="00A33081"/>
    <w:rsid w:val="00A340E9"/>
    <w:rsid w:val="00A34767"/>
    <w:rsid w:val="00A46844"/>
    <w:rsid w:val="00A52A86"/>
    <w:rsid w:val="00A56E0D"/>
    <w:rsid w:val="00A602B6"/>
    <w:rsid w:val="00A63FC7"/>
    <w:rsid w:val="00A656C8"/>
    <w:rsid w:val="00A6594A"/>
    <w:rsid w:val="00A71788"/>
    <w:rsid w:val="00A81CB0"/>
    <w:rsid w:val="00A82585"/>
    <w:rsid w:val="00A82A6B"/>
    <w:rsid w:val="00A84A92"/>
    <w:rsid w:val="00A8511E"/>
    <w:rsid w:val="00A85A36"/>
    <w:rsid w:val="00A85BCD"/>
    <w:rsid w:val="00A8778B"/>
    <w:rsid w:val="00A907FC"/>
    <w:rsid w:val="00A91957"/>
    <w:rsid w:val="00A92178"/>
    <w:rsid w:val="00A934C5"/>
    <w:rsid w:val="00AA2A7C"/>
    <w:rsid w:val="00AA6285"/>
    <w:rsid w:val="00AB36A7"/>
    <w:rsid w:val="00AB60F6"/>
    <w:rsid w:val="00AC020C"/>
    <w:rsid w:val="00AC2491"/>
    <w:rsid w:val="00AC5352"/>
    <w:rsid w:val="00AD1D3C"/>
    <w:rsid w:val="00AD28EB"/>
    <w:rsid w:val="00AE0F01"/>
    <w:rsid w:val="00AE2BD3"/>
    <w:rsid w:val="00AE4670"/>
    <w:rsid w:val="00AF426A"/>
    <w:rsid w:val="00AF74DA"/>
    <w:rsid w:val="00AF7567"/>
    <w:rsid w:val="00B005DA"/>
    <w:rsid w:val="00B014EF"/>
    <w:rsid w:val="00B01C39"/>
    <w:rsid w:val="00B025D4"/>
    <w:rsid w:val="00B10792"/>
    <w:rsid w:val="00B12B38"/>
    <w:rsid w:val="00B14BA9"/>
    <w:rsid w:val="00B20CED"/>
    <w:rsid w:val="00B2548A"/>
    <w:rsid w:val="00B26044"/>
    <w:rsid w:val="00B307F5"/>
    <w:rsid w:val="00B35157"/>
    <w:rsid w:val="00B35800"/>
    <w:rsid w:val="00B37F08"/>
    <w:rsid w:val="00B37F84"/>
    <w:rsid w:val="00B40887"/>
    <w:rsid w:val="00B4485B"/>
    <w:rsid w:val="00B47CEF"/>
    <w:rsid w:val="00B52186"/>
    <w:rsid w:val="00B53773"/>
    <w:rsid w:val="00B54DEF"/>
    <w:rsid w:val="00B633BC"/>
    <w:rsid w:val="00B64328"/>
    <w:rsid w:val="00B67068"/>
    <w:rsid w:val="00B71219"/>
    <w:rsid w:val="00B719CF"/>
    <w:rsid w:val="00B722E6"/>
    <w:rsid w:val="00B7304B"/>
    <w:rsid w:val="00B74265"/>
    <w:rsid w:val="00B7590C"/>
    <w:rsid w:val="00B760E6"/>
    <w:rsid w:val="00B76890"/>
    <w:rsid w:val="00B82D0F"/>
    <w:rsid w:val="00B85DD1"/>
    <w:rsid w:val="00B923FE"/>
    <w:rsid w:val="00B95B27"/>
    <w:rsid w:val="00BA51B4"/>
    <w:rsid w:val="00BB14E3"/>
    <w:rsid w:val="00BB1826"/>
    <w:rsid w:val="00BB4051"/>
    <w:rsid w:val="00BB7EB9"/>
    <w:rsid w:val="00BC477D"/>
    <w:rsid w:val="00BC5074"/>
    <w:rsid w:val="00BC671E"/>
    <w:rsid w:val="00BD211E"/>
    <w:rsid w:val="00BD3C08"/>
    <w:rsid w:val="00BD52D9"/>
    <w:rsid w:val="00BE2462"/>
    <w:rsid w:val="00BE2FAA"/>
    <w:rsid w:val="00BE6833"/>
    <w:rsid w:val="00BE7D22"/>
    <w:rsid w:val="00BF55FB"/>
    <w:rsid w:val="00C01350"/>
    <w:rsid w:val="00C027F8"/>
    <w:rsid w:val="00C02CD9"/>
    <w:rsid w:val="00C07D5A"/>
    <w:rsid w:val="00C12511"/>
    <w:rsid w:val="00C13324"/>
    <w:rsid w:val="00C15B38"/>
    <w:rsid w:val="00C232E5"/>
    <w:rsid w:val="00C31E59"/>
    <w:rsid w:val="00C45D3C"/>
    <w:rsid w:val="00C52F3B"/>
    <w:rsid w:val="00C53FDA"/>
    <w:rsid w:val="00C72519"/>
    <w:rsid w:val="00C733AC"/>
    <w:rsid w:val="00C84F90"/>
    <w:rsid w:val="00C858DD"/>
    <w:rsid w:val="00C86BE4"/>
    <w:rsid w:val="00C873D3"/>
    <w:rsid w:val="00C91EC3"/>
    <w:rsid w:val="00C93A2A"/>
    <w:rsid w:val="00C96DFF"/>
    <w:rsid w:val="00CA00E6"/>
    <w:rsid w:val="00CB0C9B"/>
    <w:rsid w:val="00CB39EA"/>
    <w:rsid w:val="00CC1151"/>
    <w:rsid w:val="00CC1E93"/>
    <w:rsid w:val="00CC2162"/>
    <w:rsid w:val="00CD2195"/>
    <w:rsid w:val="00CD21E6"/>
    <w:rsid w:val="00CD2EF7"/>
    <w:rsid w:val="00CE0846"/>
    <w:rsid w:val="00CE0CD9"/>
    <w:rsid w:val="00CE3D5C"/>
    <w:rsid w:val="00CF3C5E"/>
    <w:rsid w:val="00D0135B"/>
    <w:rsid w:val="00D02317"/>
    <w:rsid w:val="00D03542"/>
    <w:rsid w:val="00D0693F"/>
    <w:rsid w:val="00D06B22"/>
    <w:rsid w:val="00D107EB"/>
    <w:rsid w:val="00D10F87"/>
    <w:rsid w:val="00D12C2A"/>
    <w:rsid w:val="00D165E3"/>
    <w:rsid w:val="00D16E98"/>
    <w:rsid w:val="00D25653"/>
    <w:rsid w:val="00D2616C"/>
    <w:rsid w:val="00D279B2"/>
    <w:rsid w:val="00D30704"/>
    <w:rsid w:val="00D46D40"/>
    <w:rsid w:val="00D50238"/>
    <w:rsid w:val="00D55250"/>
    <w:rsid w:val="00D62366"/>
    <w:rsid w:val="00D6481B"/>
    <w:rsid w:val="00D66C83"/>
    <w:rsid w:val="00D76242"/>
    <w:rsid w:val="00D81F11"/>
    <w:rsid w:val="00D8373C"/>
    <w:rsid w:val="00D85FCD"/>
    <w:rsid w:val="00D90858"/>
    <w:rsid w:val="00D91C74"/>
    <w:rsid w:val="00D923D2"/>
    <w:rsid w:val="00DA1979"/>
    <w:rsid w:val="00DA5B04"/>
    <w:rsid w:val="00DA6B59"/>
    <w:rsid w:val="00DA7626"/>
    <w:rsid w:val="00DA7FAB"/>
    <w:rsid w:val="00DB07B2"/>
    <w:rsid w:val="00DB1967"/>
    <w:rsid w:val="00DB6DB7"/>
    <w:rsid w:val="00DC1500"/>
    <w:rsid w:val="00DC31BF"/>
    <w:rsid w:val="00DC5497"/>
    <w:rsid w:val="00DC6752"/>
    <w:rsid w:val="00DC74A6"/>
    <w:rsid w:val="00DD0497"/>
    <w:rsid w:val="00DD425A"/>
    <w:rsid w:val="00DD799D"/>
    <w:rsid w:val="00DE1BA3"/>
    <w:rsid w:val="00DE516B"/>
    <w:rsid w:val="00DE74D7"/>
    <w:rsid w:val="00DF323B"/>
    <w:rsid w:val="00DF52BB"/>
    <w:rsid w:val="00DF568D"/>
    <w:rsid w:val="00DF7811"/>
    <w:rsid w:val="00E04B25"/>
    <w:rsid w:val="00E063F3"/>
    <w:rsid w:val="00E106ED"/>
    <w:rsid w:val="00E11098"/>
    <w:rsid w:val="00E137B1"/>
    <w:rsid w:val="00E21790"/>
    <w:rsid w:val="00E2347B"/>
    <w:rsid w:val="00E24421"/>
    <w:rsid w:val="00E25C3B"/>
    <w:rsid w:val="00E25DEF"/>
    <w:rsid w:val="00E32D1B"/>
    <w:rsid w:val="00E334B6"/>
    <w:rsid w:val="00E35C28"/>
    <w:rsid w:val="00E369D2"/>
    <w:rsid w:val="00E36C55"/>
    <w:rsid w:val="00E37C20"/>
    <w:rsid w:val="00E40CC7"/>
    <w:rsid w:val="00E41075"/>
    <w:rsid w:val="00E4253E"/>
    <w:rsid w:val="00E50E05"/>
    <w:rsid w:val="00E51783"/>
    <w:rsid w:val="00E5241C"/>
    <w:rsid w:val="00E5328E"/>
    <w:rsid w:val="00E55959"/>
    <w:rsid w:val="00E64493"/>
    <w:rsid w:val="00E64ABE"/>
    <w:rsid w:val="00E768F4"/>
    <w:rsid w:val="00E80C36"/>
    <w:rsid w:val="00E9145D"/>
    <w:rsid w:val="00E93033"/>
    <w:rsid w:val="00E969FB"/>
    <w:rsid w:val="00EA39B3"/>
    <w:rsid w:val="00EA62B6"/>
    <w:rsid w:val="00EA6412"/>
    <w:rsid w:val="00EA7449"/>
    <w:rsid w:val="00EB7CB3"/>
    <w:rsid w:val="00EC1C31"/>
    <w:rsid w:val="00ED095D"/>
    <w:rsid w:val="00EE1033"/>
    <w:rsid w:val="00EE518D"/>
    <w:rsid w:val="00EE5A59"/>
    <w:rsid w:val="00EF2922"/>
    <w:rsid w:val="00EF2E5C"/>
    <w:rsid w:val="00F05624"/>
    <w:rsid w:val="00F05A07"/>
    <w:rsid w:val="00F10A6C"/>
    <w:rsid w:val="00F12EE7"/>
    <w:rsid w:val="00F14F3C"/>
    <w:rsid w:val="00F27409"/>
    <w:rsid w:val="00F33CD2"/>
    <w:rsid w:val="00F3614D"/>
    <w:rsid w:val="00F413C5"/>
    <w:rsid w:val="00F41AA9"/>
    <w:rsid w:val="00F45F91"/>
    <w:rsid w:val="00F46AA1"/>
    <w:rsid w:val="00F47A65"/>
    <w:rsid w:val="00F52C8C"/>
    <w:rsid w:val="00F52FC8"/>
    <w:rsid w:val="00F53891"/>
    <w:rsid w:val="00F621A1"/>
    <w:rsid w:val="00F7191E"/>
    <w:rsid w:val="00F809DF"/>
    <w:rsid w:val="00F9406B"/>
    <w:rsid w:val="00F9537D"/>
    <w:rsid w:val="00F97878"/>
    <w:rsid w:val="00FA0091"/>
    <w:rsid w:val="00FA3687"/>
    <w:rsid w:val="00FA382A"/>
    <w:rsid w:val="00FA3AFE"/>
    <w:rsid w:val="00FA4320"/>
    <w:rsid w:val="00FA44F6"/>
    <w:rsid w:val="00FA4A66"/>
    <w:rsid w:val="00FA6FC6"/>
    <w:rsid w:val="00FB1506"/>
    <w:rsid w:val="00FB1F07"/>
    <w:rsid w:val="00FC266A"/>
    <w:rsid w:val="00FC622E"/>
    <w:rsid w:val="00FC7B8A"/>
    <w:rsid w:val="00FE2E3D"/>
    <w:rsid w:val="00FE5E93"/>
    <w:rsid w:val="00FE7C58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97545"/>
  <w15:docId w15:val="{75F61390-DE9A-414B-80B6-BB4891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spelle">
    <w:name w:val="spelle"/>
    <w:basedOn w:val="a0"/>
    <w:rsid w:val="00053BCF"/>
  </w:style>
  <w:style w:type="character" w:customStyle="1" w:styleId="grame">
    <w:name w:val="grame"/>
    <w:rsid w:val="00053BCF"/>
    <w:rPr>
      <w:rFonts w:cs="Times New Roman"/>
    </w:rPr>
  </w:style>
  <w:style w:type="character" w:styleId="af2">
    <w:name w:val="Hyperlink"/>
    <w:rsid w:val="00737985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07401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7401F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07401F"/>
    <w:rPr>
      <w:rFonts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7401F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07401F"/>
    <w:rPr>
      <w:rFonts w:cs="Calibri"/>
      <w:b/>
      <w:bCs/>
      <w:lang w:eastAsia="en-US"/>
    </w:rPr>
  </w:style>
  <w:style w:type="paragraph" w:styleId="af8">
    <w:name w:val="Revision"/>
    <w:hidden/>
    <w:uiPriority w:val="99"/>
    <w:semiHidden/>
    <w:rsid w:val="0007401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47B64-3A44-4D8A-9CFB-945888559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1077</Words>
  <Characters>7859</Characters>
  <Application>Microsoft Office Word</Application>
  <DocSecurity>0</DocSecurity>
  <Lines>65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</vt:lpstr>
      <vt:lpstr>                                                                                                                    </vt:lpstr>
    </vt:vector>
  </TitlesOfParts>
  <Company>NERC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Анна Біленко</cp:lastModifiedBy>
  <cp:revision>15</cp:revision>
  <cp:lastPrinted>2021-05-25T06:45:00Z</cp:lastPrinted>
  <dcterms:created xsi:type="dcterms:W3CDTF">2024-08-06T08:20:00Z</dcterms:created>
  <dcterms:modified xsi:type="dcterms:W3CDTF">2024-09-17T11:50:00Z</dcterms:modified>
</cp:coreProperties>
</file>