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8AF61" w14:textId="77777777" w:rsidR="00913219" w:rsidRPr="009D3FD2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Аналіз регуляторного впливу</w:t>
      </w:r>
    </w:p>
    <w:p w14:paraId="0EAD20A4" w14:textId="77777777" w:rsidR="00412487" w:rsidRPr="009D3FD2" w:rsidRDefault="00913219" w:rsidP="009132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проєкту Закону України </w:t>
      </w:r>
      <w:r w:rsidR="0059505B" w:rsidRPr="009D3FD2">
        <w:rPr>
          <w:rFonts w:ascii="Times New Roman" w:hAnsi="Times New Roman" w:cs="Times New Roman"/>
          <w:b/>
          <w:sz w:val="28"/>
          <w:szCs w:val="28"/>
          <w:lang w:val="uk-UA"/>
        </w:rPr>
        <w:t>«Про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</w:t>
      </w: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DD12A29" w14:textId="77777777" w:rsidR="008868F3" w:rsidRDefault="008868F3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785858" w14:textId="5B7A4C62" w:rsidR="00913219" w:rsidRPr="009D3FD2" w:rsidRDefault="00913219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І. Визначення проблеми</w:t>
      </w:r>
    </w:p>
    <w:p w14:paraId="17356AD2" w14:textId="77777777" w:rsidR="00B00F39" w:rsidRPr="009D3FD2" w:rsidRDefault="00B00F39" w:rsidP="00005B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</w:t>
      </w:r>
    </w:p>
    <w:p w14:paraId="774FBFBF" w14:textId="26A7986F" w:rsidR="007061EF" w:rsidRPr="009D3FD2" w:rsidRDefault="007061EF" w:rsidP="00005B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54025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метою усунення протиріч </w:t>
      </w:r>
      <w:r w:rsidR="006D00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D0023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025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законодавстві України </w:t>
      </w:r>
      <w:r w:rsidR="006D0023" w:rsidRPr="009D3FD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D002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6D0023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ктом </w:t>
      </w:r>
      <w:r w:rsidR="00F54025" w:rsidRPr="009D3FD2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Про внесення змін до Кодексу України про адміністративні правопорушення та деяких законів щодо вдосконалення законодавства у сфері запобігання зловживанням на оптовому енергетичному ринку» (далі – законопроєкт)</w:t>
      </w:r>
      <w:r w:rsidR="00F54025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, зокрема передбачено внесення змін до </w:t>
      </w:r>
      <w:r w:rsidR="008617D0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8617D0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4025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законодавчих актів України: Кодексу України про адміністративні правопорушення, 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Національну комісію, що здійснює державне регулювання у сферах енергетики та комунальних послуг», «</w:t>
      </w:r>
      <w:r w:rsidR="00212920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Про ринок електричної енергії». </w:t>
      </w:r>
    </w:p>
    <w:p w14:paraId="497BEAD6" w14:textId="77777777" w:rsidR="00B470D7" w:rsidRPr="009D3FD2" w:rsidRDefault="00B470D7" w:rsidP="007061E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41899" w:rsidRPr="009D3FD2" w14:paraId="1B6B1D69" w14:textId="77777777" w:rsidTr="00341899">
        <w:tc>
          <w:tcPr>
            <w:tcW w:w="3115" w:type="dxa"/>
          </w:tcPr>
          <w:p w14:paraId="31ECF5AD" w14:textId="77777777" w:rsidR="00341899" w:rsidRPr="009D3FD2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115" w:type="dxa"/>
          </w:tcPr>
          <w:p w14:paraId="6A99B0D5" w14:textId="77777777" w:rsidR="00341899" w:rsidRPr="009D3FD2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3115" w:type="dxa"/>
          </w:tcPr>
          <w:p w14:paraId="2521C40E" w14:textId="77777777" w:rsidR="00341899" w:rsidRPr="009D3FD2" w:rsidRDefault="00341899" w:rsidP="003418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Ні</w:t>
            </w:r>
          </w:p>
        </w:tc>
      </w:tr>
      <w:tr w:rsidR="00EF4A1F" w:rsidRPr="009D3FD2" w14:paraId="61D35923" w14:textId="77777777" w:rsidTr="00341899">
        <w:tc>
          <w:tcPr>
            <w:tcW w:w="3115" w:type="dxa"/>
          </w:tcPr>
          <w:p w14:paraId="77541431" w14:textId="77777777" w:rsidR="00EF4A1F" w:rsidRPr="009D3FD2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115" w:type="dxa"/>
          </w:tcPr>
          <w:p w14:paraId="6F978DD7" w14:textId="77777777" w:rsidR="00EF4A1F" w:rsidRPr="009D3FD2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14:paraId="24295CA1" w14:textId="77777777" w:rsidR="00EF4A1F" w:rsidRPr="009D3FD2" w:rsidRDefault="00A25175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  <w:tr w:rsidR="00EF4A1F" w:rsidRPr="009D3FD2" w14:paraId="52029455" w14:textId="77777777" w:rsidTr="00341899">
        <w:tc>
          <w:tcPr>
            <w:tcW w:w="3115" w:type="dxa"/>
          </w:tcPr>
          <w:p w14:paraId="040F8CF4" w14:textId="77777777" w:rsidR="00EF4A1F" w:rsidRPr="009D3FD2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115" w:type="dxa"/>
          </w:tcPr>
          <w:p w14:paraId="639F1C12" w14:textId="77777777" w:rsidR="00EF4A1F" w:rsidRPr="009D3FD2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3115" w:type="dxa"/>
          </w:tcPr>
          <w:p w14:paraId="6A04B78D" w14:textId="77777777" w:rsidR="00EF4A1F" w:rsidRPr="009D3FD2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A1F" w:rsidRPr="009D3FD2" w14:paraId="51AB02D5" w14:textId="77777777" w:rsidTr="00341899">
        <w:tc>
          <w:tcPr>
            <w:tcW w:w="3115" w:type="dxa"/>
          </w:tcPr>
          <w:p w14:paraId="4801613D" w14:textId="77777777" w:rsidR="00EF4A1F" w:rsidRPr="009D3FD2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115" w:type="dxa"/>
          </w:tcPr>
          <w:p w14:paraId="77FC2B43" w14:textId="77777777" w:rsidR="00EF4A1F" w:rsidRPr="009D3FD2" w:rsidRDefault="00212920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3115" w:type="dxa"/>
          </w:tcPr>
          <w:p w14:paraId="20149BD5" w14:textId="77777777" w:rsidR="00EF4A1F" w:rsidRPr="009D3FD2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F4A1F" w:rsidRPr="009D3FD2" w14:paraId="035F2AD1" w14:textId="77777777" w:rsidTr="00341899">
        <w:tc>
          <w:tcPr>
            <w:tcW w:w="3115" w:type="dxa"/>
          </w:tcPr>
          <w:p w14:paraId="28989805" w14:textId="77777777" w:rsidR="00EF4A1F" w:rsidRPr="009D3FD2" w:rsidRDefault="00EF4A1F" w:rsidP="00EF4A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 суб’єкти малого підприємництва</w:t>
            </w:r>
          </w:p>
        </w:tc>
        <w:tc>
          <w:tcPr>
            <w:tcW w:w="3115" w:type="dxa"/>
          </w:tcPr>
          <w:p w14:paraId="010CCE37" w14:textId="77777777" w:rsidR="00EF4A1F" w:rsidRPr="009D3FD2" w:rsidRDefault="00212920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  <w:tc>
          <w:tcPr>
            <w:tcW w:w="3115" w:type="dxa"/>
          </w:tcPr>
          <w:p w14:paraId="634FB1A6" w14:textId="77777777" w:rsidR="00EF4A1F" w:rsidRPr="009D3FD2" w:rsidRDefault="00EF4A1F" w:rsidP="00EF4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74FA3604" w14:textId="77777777" w:rsidR="00D0519B" w:rsidRPr="009D3FD2" w:rsidRDefault="00D0519B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F72A18" w14:textId="77777777" w:rsidR="003108A9" w:rsidRPr="009D3FD2" w:rsidRDefault="003108A9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II. Цілі державного регулювання</w:t>
      </w:r>
    </w:p>
    <w:p w14:paraId="4E16B143" w14:textId="77777777" w:rsidR="00F97512" w:rsidRPr="009D3FD2" w:rsidRDefault="00F97512" w:rsidP="00D6304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9B294F" w14:textId="068F9380" w:rsidR="00185D59" w:rsidRPr="009D3FD2" w:rsidRDefault="00F97512" w:rsidP="00D63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Метою законопроєкт</w:t>
      </w:r>
      <w:r w:rsidR="007061EF" w:rsidRPr="009D3FD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забезпеч</w:t>
      </w:r>
      <w:r w:rsidR="00B55A76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вимог Угоди про асоціацію </w:t>
      </w:r>
      <w:r w:rsidR="00B55A76" w:rsidRPr="00B55A76">
        <w:rPr>
          <w:rFonts w:ascii="Times New Roman" w:hAnsi="Times New Roman" w:cs="Times New Roman"/>
          <w:sz w:val="28"/>
          <w:szCs w:val="28"/>
          <w:lang w:val="uk-UA"/>
        </w:rPr>
        <w:t>між Україною, з однієї сторони, та Європейським Союзом, Європейським Співтовариством з атомної енергії і їхніми державами-членами, з іншої сторони</w:t>
      </w:r>
      <w:r w:rsidR="006D00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5A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00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D0023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частині імплементації Регламенту Європейського Парламенту та Ради (ЄС) № 1227/2011 від 25 жовтня 2011 року щодо доброчесності та прозорості оптового енергетичного ринку, зокрема шляхом приведення у відповідність діючих нормативно-правових актів </w:t>
      </w:r>
      <w:r w:rsidR="009D3FD2" w:rsidRPr="009D3FD2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68CB0F6" w14:textId="054D2CE4" w:rsidR="00440EE6" w:rsidRPr="009D3FD2" w:rsidRDefault="00B21D15" w:rsidP="00440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9D3FD2" w:rsidRPr="009D3FD2">
        <w:rPr>
          <w:rFonts w:ascii="Times New Roman" w:hAnsi="Times New Roman" w:cs="Times New Roman"/>
          <w:sz w:val="28"/>
          <w:szCs w:val="28"/>
          <w:lang w:val="uk-UA"/>
        </w:rPr>
        <w:t>законопроєкту</w:t>
      </w:r>
      <w:r w:rsidR="00DB32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60A5" w:rsidRPr="009D3FD2">
        <w:rPr>
          <w:rFonts w:ascii="Times New Roman" w:hAnsi="Times New Roman" w:cs="Times New Roman"/>
          <w:sz w:val="28"/>
          <w:szCs w:val="28"/>
          <w:lang w:val="uk-UA"/>
        </w:rPr>
        <w:t>забезпечить імплементацію</w:t>
      </w:r>
      <w:r w:rsidR="00DB32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нормативно-правової бази Енергетичного Співтовариства </w:t>
      </w:r>
      <w:r w:rsidR="00440EE6" w:rsidRPr="009D3FD2">
        <w:rPr>
          <w:rFonts w:ascii="Times New Roman" w:hAnsi="Times New Roman" w:cs="Times New Roman"/>
          <w:sz w:val="28"/>
          <w:szCs w:val="28"/>
          <w:lang w:val="uk-UA"/>
        </w:rPr>
        <w:t>з урахуванням особливостей функціонування національного законодавства України, зокрема</w:t>
      </w:r>
      <w:r w:rsidR="00480959" w:rsidRPr="009D3FD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0EE6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шляхом </w:t>
      </w:r>
      <w:r w:rsidR="00DB32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>положень</w:t>
      </w:r>
      <w:r w:rsidR="00DB32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B32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акону 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у відповідність дефініцій оптового енергетичного </w:t>
      </w:r>
      <w:r w:rsidR="00F758E0" w:rsidRPr="009D3FD2">
        <w:rPr>
          <w:rFonts w:ascii="Times New Roman" w:hAnsi="Times New Roman" w:cs="Times New Roman"/>
          <w:sz w:val="28"/>
          <w:szCs w:val="28"/>
          <w:lang w:val="uk-UA"/>
        </w:rPr>
        <w:t>продукту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>, зловживань на оптовому енергетичному ринку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изначення повноважень НКРЕКП </w:t>
      </w:r>
      <w:r w:rsidR="00AB36AF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023F9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0023F9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6AF" w:rsidRPr="009D3FD2">
        <w:rPr>
          <w:rFonts w:ascii="Times New Roman" w:hAnsi="Times New Roman" w:cs="Times New Roman"/>
          <w:sz w:val="28"/>
          <w:szCs w:val="28"/>
          <w:lang w:val="uk-UA"/>
        </w:rPr>
        <w:t>посадови</w:t>
      </w:r>
      <w:r w:rsidR="00F758E0" w:rsidRPr="009D3FD2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AB36AF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F758E0" w:rsidRPr="009D3FD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36AF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б </w:t>
      </w:r>
      <w:r w:rsidR="00185D59" w:rsidRPr="009D3FD2">
        <w:rPr>
          <w:rFonts w:ascii="Times New Roman" w:hAnsi="Times New Roman" w:cs="Times New Roman"/>
          <w:sz w:val="28"/>
          <w:szCs w:val="28"/>
          <w:lang w:val="uk-UA"/>
        </w:rPr>
        <w:t>щодо складення протоколу про адміністративні правопорушення у справах про адміністративні правопорушення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>, а також відповідальність за порушення законодавства, що регулює функціонування</w:t>
      </w:r>
      <w:r w:rsidR="00440EE6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оптового енергетичного</w:t>
      </w:r>
      <w:r w:rsidR="001E298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ринку</w:t>
      </w:r>
      <w:r w:rsidR="00440EE6" w:rsidRPr="009D3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E6DB17A" w14:textId="77777777" w:rsidR="00CE0F1E" w:rsidRPr="009D3FD2" w:rsidRDefault="00440EE6" w:rsidP="00440E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3E3C36" w14:textId="77777777" w:rsidR="00CE0F1E" w:rsidRPr="009D3FD2" w:rsidRDefault="00CE0F1E" w:rsidP="00244AE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6B98A181" w14:textId="77777777" w:rsidR="00CE0F1E" w:rsidRPr="009D3FD2" w:rsidRDefault="00CE0F1E" w:rsidP="00CE0F1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Визначення альтернативних способів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CE0F1E" w:rsidRPr="009D3FD2" w14:paraId="134DAB7A" w14:textId="77777777" w:rsidTr="00D33ADE">
        <w:tc>
          <w:tcPr>
            <w:tcW w:w="3969" w:type="dxa"/>
          </w:tcPr>
          <w:p w14:paraId="0B536599" w14:textId="77777777" w:rsidR="00CE0F1E" w:rsidRPr="009D3FD2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5387" w:type="dxa"/>
          </w:tcPr>
          <w:p w14:paraId="196D5B20" w14:textId="77777777" w:rsidR="00CE0F1E" w:rsidRPr="009D3FD2" w:rsidRDefault="00CE0F1E" w:rsidP="00CE0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альтернативи</w:t>
            </w:r>
          </w:p>
        </w:tc>
      </w:tr>
      <w:tr w:rsidR="00CE0F1E" w:rsidRPr="008868F3" w14:paraId="1523457C" w14:textId="77777777" w:rsidTr="00D33ADE">
        <w:tc>
          <w:tcPr>
            <w:tcW w:w="3969" w:type="dxa"/>
          </w:tcPr>
          <w:p w14:paraId="25B81A6C" w14:textId="77777777" w:rsidR="008163BB" w:rsidRPr="009D3FD2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Альтернатива 1. </w:t>
            </w:r>
          </w:p>
          <w:p w14:paraId="22DA766E" w14:textId="77777777" w:rsidR="00CE0F1E" w:rsidRPr="009D3FD2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Залишення ситуації без змін</w:t>
            </w:r>
          </w:p>
        </w:tc>
        <w:tc>
          <w:tcPr>
            <w:tcW w:w="5387" w:type="dxa"/>
          </w:tcPr>
          <w:p w14:paraId="31FE2198" w14:textId="77777777" w:rsidR="00440EE6" w:rsidRPr="009D3FD2" w:rsidRDefault="008163BB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Залишення ситуації без змін</w:t>
            </w:r>
            <w:r w:rsidR="00D33ADE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забезпечить </w:t>
            </w:r>
          </w:p>
          <w:p w14:paraId="7D5B9091" w14:textId="4D1A3951" w:rsidR="009561B1" w:rsidRPr="009D3FD2" w:rsidRDefault="00D33ADE" w:rsidP="004809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імплементацію нормативно-правової бази acquis ЄС в енергетичній сфері, </w:t>
            </w:r>
            <w:r w:rsidR="009561B1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="0048095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неузгодже</w:t>
            </w:r>
            <w:r w:rsid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ність</w:t>
            </w:r>
            <w:r w:rsidR="0048095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положень </w:t>
            </w:r>
            <w:r w:rsidR="009D3FD2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нормативно</w:t>
            </w:r>
            <w:r w:rsidR="0048095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-правових актів щодо забезпечення доброчесності та прозорості на оптових енергетичних ринках з </w:t>
            </w:r>
            <w:r w:rsidR="009561B1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іншими нормативно-правовими актами України </w:t>
            </w:r>
            <w:r w:rsidR="00E656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порушує</w:t>
            </w:r>
            <w:r w:rsidR="00E656B6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561B1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принцип правової визначеності, що є одним із найважливіших елементів принципу верховенства права  </w:t>
            </w:r>
          </w:p>
          <w:p w14:paraId="3CC60E66" w14:textId="77777777" w:rsidR="00CE0F1E" w:rsidRPr="009D3FD2" w:rsidRDefault="00CE0F1E" w:rsidP="009561B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E0F1E" w:rsidRPr="008868F3" w14:paraId="6EA73AA5" w14:textId="77777777" w:rsidTr="00D33ADE">
        <w:tc>
          <w:tcPr>
            <w:tcW w:w="3969" w:type="dxa"/>
          </w:tcPr>
          <w:p w14:paraId="052D6524" w14:textId="77777777" w:rsidR="001601D7" w:rsidRPr="009D3FD2" w:rsidRDefault="001601D7" w:rsidP="00CE0F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2.</w:t>
            </w:r>
          </w:p>
          <w:p w14:paraId="398DC74F" w14:textId="77777777" w:rsidR="00CE0F1E" w:rsidRPr="009D3FD2" w:rsidRDefault="001601D7" w:rsidP="001601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Прийняття законопроєкту</w:t>
            </w:r>
          </w:p>
        </w:tc>
        <w:tc>
          <w:tcPr>
            <w:tcW w:w="5387" w:type="dxa"/>
          </w:tcPr>
          <w:p w14:paraId="0F23E224" w14:textId="0215AB86" w:rsidR="00CE0F1E" w:rsidRPr="009D3FD2" w:rsidRDefault="002409EB" w:rsidP="000A71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законопроєкту </w:t>
            </w:r>
            <w:r w:rsidR="000A7181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забезпечить</w:t>
            </w:r>
            <w:r w:rsidR="00A31B50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узгодженість та належне функціонування положень національного </w:t>
            </w:r>
            <w:r w:rsidR="009D3FD2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законодавства</w:t>
            </w:r>
            <w:r w:rsidR="00A31B50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забезпечення доброчесності та прозорості на оптовому енергетичному ринку та надасть можливість учасникам оптового енергетичного ринку завбачати наслідки своїх дій і бути впевненими у своїх легітимних очікуваннях</w:t>
            </w:r>
          </w:p>
        </w:tc>
      </w:tr>
    </w:tbl>
    <w:p w14:paraId="2081B54B" w14:textId="77777777" w:rsidR="00CE0F1E" w:rsidRPr="009D3FD2" w:rsidRDefault="00CE0F1E" w:rsidP="00F34007">
      <w:pPr>
        <w:pStyle w:val="a4"/>
        <w:spacing w:after="0"/>
        <w:ind w:left="1407" w:hanging="6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14C0B6" w14:textId="77777777" w:rsidR="00F34007" w:rsidRPr="009D3FD2" w:rsidRDefault="00F34007" w:rsidP="00F3400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5631BE03" w14:textId="77777777" w:rsidR="00F34007" w:rsidRPr="009D3FD2" w:rsidRDefault="00F34007" w:rsidP="00F340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держави</w:t>
      </w:r>
      <w:r w:rsidR="006E6876" w:rsidRPr="009D3FD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3260"/>
        <w:gridCol w:w="3402"/>
      </w:tblGrid>
      <w:tr w:rsidR="00F34007" w:rsidRPr="009D3FD2" w14:paraId="34E72957" w14:textId="77777777" w:rsidTr="00FB2D8E">
        <w:tc>
          <w:tcPr>
            <w:tcW w:w="2689" w:type="dxa"/>
          </w:tcPr>
          <w:p w14:paraId="46AA9E90" w14:textId="77777777" w:rsidR="00F34007" w:rsidRPr="009D3FD2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1A91D235" w14:textId="77777777" w:rsidR="00F34007" w:rsidRPr="009D3FD2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402" w:type="dxa"/>
          </w:tcPr>
          <w:p w14:paraId="6739F133" w14:textId="77777777" w:rsidR="00F34007" w:rsidRPr="009D3FD2" w:rsidRDefault="00F34007" w:rsidP="00F34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F34007" w:rsidRPr="009D3FD2" w14:paraId="2FE1C236" w14:textId="77777777" w:rsidTr="00FB2D8E">
        <w:trPr>
          <w:trHeight w:val="465"/>
        </w:trPr>
        <w:tc>
          <w:tcPr>
            <w:tcW w:w="2689" w:type="dxa"/>
          </w:tcPr>
          <w:p w14:paraId="2329B318" w14:textId="77777777" w:rsidR="009B6E24" w:rsidRPr="009D3FD2" w:rsidRDefault="009B6E24" w:rsidP="009B6E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11C853F2" w14:textId="77777777" w:rsidR="00F34007" w:rsidRPr="009D3FD2" w:rsidRDefault="009B6E24" w:rsidP="009B6E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4D49358B" w14:textId="77777777" w:rsidR="00F34007" w:rsidRPr="009D3FD2" w:rsidRDefault="009B6E24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402" w:type="dxa"/>
          </w:tcPr>
          <w:p w14:paraId="0C97EC0B" w14:textId="77777777" w:rsidR="001928FB" w:rsidRPr="009D3FD2" w:rsidRDefault="001928FB" w:rsidP="00192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</w:t>
            </w:r>
            <w:r w:rsidR="009D3FD2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законодавства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забезпечення доброчесності та прозорості на оптовому енергетичному ринку не буде приведено у відповідність та узгоджено з іншими нормативно-правовими актами України</w:t>
            </w:r>
          </w:p>
          <w:p w14:paraId="3B470D9B" w14:textId="77777777" w:rsidR="00F34007" w:rsidRPr="009D3FD2" w:rsidRDefault="00F34007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4007" w:rsidRPr="009D3FD2" w14:paraId="2B1FE597" w14:textId="77777777" w:rsidTr="00FB2D8E">
        <w:trPr>
          <w:trHeight w:val="848"/>
        </w:trPr>
        <w:tc>
          <w:tcPr>
            <w:tcW w:w="2689" w:type="dxa"/>
          </w:tcPr>
          <w:p w14:paraId="02E44F5D" w14:textId="77777777" w:rsidR="00FB2D8E" w:rsidRPr="009D3FD2" w:rsidRDefault="00FB2D8E" w:rsidP="00FB2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Альтернатива 2</w:t>
            </w:r>
          </w:p>
          <w:p w14:paraId="0BC549AD" w14:textId="77777777" w:rsidR="00F34007" w:rsidRPr="009D3FD2" w:rsidRDefault="00FB2D8E" w:rsidP="00FB2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260" w:type="dxa"/>
          </w:tcPr>
          <w:p w14:paraId="2AA82FBE" w14:textId="77777777" w:rsidR="001928FB" w:rsidRPr="009D3FD2" w:rsidRDefault="00F758E0" w:rsidP="00F758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</w:t>
            </w:r>
            <w:r w:rsidR="009D3FD2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законодавства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забезпечення доброчесності та прозорості на оптовому енергетичному ринку буде приведено у відповідність та узгоджено з іншими нормативно-правовими актами України, що с</w:t>
            </w:r>
            <w:r w:rsidR="00FB2D8E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приятиме </w:t>
            </w:r>
            <w:r w:rsidR="001928FB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дотриманню вимог доброчесності та прозорості на оптовому енергетичному ринку</w:t>
            </w:r>
          </w:p>
          <w:p w14:paraId="113C57D8" w14:textId="77777777" w:rsidR="00F34007" w:rsidRPr="009D3FD2" w:rsidRDefault="00F34007" w:rsidP="00F758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14:paraId="5302BD2A" w14:textId="77777777" w:rsidR="00F34007" w:rsidRPr="009D3FD2" w:rsidRDefault="00FB2D8E" w:rsidP="00F340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01B78E40" w14:textId="77777777" w:rsidR="00F34007" w:rsidRPr="009D3FD2" w:rsidRDefault="00F34007" w:rsidP="00F3400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D8F028" w14:textId="77777777" w:rsidR="006E6876" w:rsidRPr="009D3FD2" w:rsidRDefault="006E6876" w:rsidP="006E6876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громадян:</w:t>
      </w:r>
    </w:p>
    <w:p w14:paraId="1282369B" w14:textId="77777777" w:rsidR="006E6876" w:rsidRPr="009D3FD2" w:rsidRDefault="006E6876" w:rsidP="006E68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65806" w:rsidRPr="009D3FD2" w14:paraId="22B2EE62" w14:textId="77777777" w:rsidTr="00C65806">
        <w:tc>
          <w:tcPr>
            <w:tcW w:w="2689" w:type="dxa"/>
          </w:tcPr>
          <w:p w14:paraId="28759D78" w14:textId="77777777" w:rsidR="00C65806" w:rsidRPr="009D3FD2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4326D12C" w14:textId="77777777" w:rsidR="00C65806" w:rsidRPr="009D3FD2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396" w:type="dxa"/>
          </w:tcPr>
          <w:p w14:paraId="433350E3" w14:textId="77777777" w:rsidR="00C65806" w:rsidRPr="009D3FD2" w:rsidRDefault="00C65806" w:rsidP="00C658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C65806" w:rsidRPr="009D3FD2" w14:paraId="7370FDFD" w14:textId="77777777" w:rsidTr="00C65806">
        <w:tc>
          <w:tcPr>
            <w:tcW w:w="2689" w:type="dxa"/>
          </w:tcPr>
          <w:p w14:paraId="456FD7E1" w14:textId="77777777" w:rsidR="00A14E43" w:rsidRPr="009D3FD2" w:rsidRDefault="00A14E43" w:rsidP="00A14E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6EB9A801" w14:textId="77777777" w:rsidR="00C65806" w:rsidRPr="009D3FD2" w:rsidRDefault="00A14E43" w:rsidP="00A14E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636F2353" w14:textId="77777777" w:rsidR="00C65806" w:rsidRPr="009D3FD2" w:rsidRDefault="00BA0D9D" w:rsidP="006E68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39AB15D2" w14:textId="77777777" w:rsidR="00C65806" w:rsidRPr="009D3FD2" w:rsidRDefault="00A25175" w:rsidP="00676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C65806" w:rsidRPr="009D3FD2" w14:paraId="561F7C31" w14:textId="77777777" w:rsidTr="00C65806">
        <w:tc>
          <w:tcPr>
            <w:tcW w:w="2689" w:type="dxa"/>
          </w:tcPr>
          <w:p w14:paraId="50CCD7E8" w14:textId="77777777" w:rsidR="003478AE" w:rsidRPr="009D3FD2" w:rsidRDefault="003478AE" w:rsidP="003478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5D83C901" w14:textId="77777777" w:rsidR="00C65806" w:rsidRPr="009D3FD2" w:rsidRDefault="003478AE" w:rsidP="003478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260" w:type="dxa"/>
          </w:tcPr>
          <w:p w14:paraId="23C31085" w14:textId="77777777" w:rsidR="00C65806" w:rsidRPr="009D3FD2" w:rsidRDefault="00A25175" w:rsidP="0067634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0D5D7A0A" w14:textId="77777777" w:rsidR="00C65806" w:rsidRPr="009D3FD2" w:rsidRDefault="003478AE" w:rsidP="006E68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10EC443D" w14:textId="77777777" w:rsidR="006E6876" w:rsidRPr="009D3FD2" w:rsidRDefault="006E6876" w:rsidP="006E68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0282DE" w14:textId="77777777" w:rsidR="00C361A9" w:rsidRPr="009D3FD2" w:rsidRDefault="00C361A9" w:rsidP="00C361A9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Оцінка впливу на сферу інтересів суб’єктів господарювання:</w:t>
      </w:r>
    </w:p>
    <w:p w14:paraId="22636D05" w14:textId="77777777" w:rsidR="00C361A9" w:rsidRPr="009D3FD2" w:rsidRDefault="00C361A9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1204"/>
        <w:gridCol w:w="1041"/>
        <w:gridCol w:w="1016"/>
        <w:gridCol w:w="986"/>
      </w:tblGrid>
      <w:tr w:rsidR="000A270A" w:rsidRPr="009D3FD2" w14:paraId="5CF2817B" w14:textId="77777777" w:rsidTr="000A270A">
        <w:tc>
          <w:tcPr>
            <w:tcW w:w="3964" w:type="dxa"/>
          </w:tcPr>
          <w:p w14:paraId="5B5A21A5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1134" w:type="dxa"/>
          </w:tcPr>
          <w:p w14:paraId="2BC9A610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Великі</w:t>
            </w:r>
          </w:p>
        </w:tc>
        <w:tc>
          <w:tcPr>
            <w:tcW w:w="1204" w:type="dxa"/>
          </w:tcPr>
          <w:p w14:paraId="71F47599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</w:t>
            </w:r>
          </w:p>
        </w:tc>
        <w:tc>
          <w:tcPr>
            <w:tcW w:w="1041" w:type="dxa"/>
          </w:tcPr>
          <w:p w14:paraId="4A505ADA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Малі</w:t>
            </w:r>
          </w:p>
        </w:tc>
        <w:tc>
          <w:tcPr>
            <w:tcW w:w="1016" w:type="dxa"/>
          </w:tcPr>
          <w:p w14:paraId="07BA492C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Мікро</w:t>
            </w:r>
          </w:p>
        </w:tc>
        <w:tc>
          <w:tcPr>
            <w:tcW w:w="986" w:type="dxa"/>
          </w:tcPr>
          <w:p w14:paraId="1095C6A6" w14:textId="77777777" w:rsidR="000A270A" w:rsidRPr="009D3FD2" w:rsidRDefault="000A270A" w:rsidP="000A2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</w:tr>
      <w:tr w:rsidR="004604C7" w:rsidRPr="009D3FD2" w14:paraId="54171E34" w14:textId="77777777" w:rsidTr="00A25175">
        <w:tc>
          <w:tcPr>
            <w:tcW w:w="3964" w:type="dxa"/>
          </w:tcPr>
          <w:p w14:paraId="5E5E27D8" w14:textId="77777777" w:rsidR="000A270A" w:rsidRPr="009D3FD2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суб’єктів</w:t>
            </w:r>
          </w:p>
          <w:p w14:paraId="5D2B7357" w14:textId="77777777" w:rsidR="000A270A" w:rsidRPr="009D3FD2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господарювання, що</w:t>
            </w:r>
          </w:p>
          <w:p w14:paraId="66F4C3B1" w14:textId="77777777" w:rsidR="000A270A" w:rsidRPr="009D3FD2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підпадають під дію</w:t>
            </w:r>
          </w:p>
          <w:p w14:paraId="57045D81" w14:textId="77777777" w:rsidR="000A270A" w:rsidRPr="009D3FD2" w:rsidRDefault="000A270A" w:rsidP="000A27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регулювання, одиниць</w:t>
            </w:r>
          </w:p>
        </w:tc>
        <w:tc>
          <w:tcPr>
            <w:tcW w:w="1134" w:type="dxa"/>
            <w:shd w:val="clear" w:color="auto" w:fill="auto"/>
          </w:tcPr>
          <w:p w14:paraId="5D83EF89" w14:textId="77777777" w:rsidR="000A270A" w:rsidRPr="009D3FD2" w:rsidRDefault="004604C7" w:rsidP="004604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04" w:type="dxa"/>
            <w:shd w:val="clear" w:color="auto" w:fill="auto"/>
          </w:tcPr>
          <w:p w14:paraId="29893429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14:paraId="0FA2D71F" w14:textId="77777777" w:rsidR="00A25175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75238C03" w14:textId="77777777" w:rsidR="00A25175" w:rsidRPr="009D3FD2" w:rsidRDefault="00A25175" w:rsidP="00A25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FBF416E" w14:textId="77777777" w:rsidR="000A270A" w:rsidRPr="009D3FD2" w:rsidRDefault="000A270A" w:rsidP="00A251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16" w:type="dxa"/>
            <w:shd w:val="clear" w:color="auto" w:fill="auto"/>
          </w:tcPr>
          <w:p w14:paraId="173DF9FF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3FAC67CE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604C7" w:rsidRPr="009D3FD2" w14:paraId="0B2C7E6B" w14:textId="77777777" w:rsidTr="00A25175">
        <w:tc>
          <w:tcPr>
            <w:tcW w:w="3964" w:type="dxa"/>
          </w:tcPr>
          <w:p w14:paraId="15EE9EF7" w14:textId="77777777" w:rsidR="000A270A" w:rsidRPr="009D3FD2" w:rsidRDefault="000A270A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1134" w:type="dxa"/>
            <w:shd w:val="clear" w:color="auto" w:fill="auto"/>
          </w:tcPr>
          <w:p w14:paraId="7E5516AF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04" w:type="dxa"/>
            <w:shd w:val="clear" w:color="auto" w:fill="auto"/>
          </w:tcPr>
          <w:p w14:paraId="2154372E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14:paraId="36D5A013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14:paraId="3C6AD3DE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86" w:type="dxa"/>
            <w:shd w:val="clear" w:color="auto" w:fill="auto"/>
          </w:tcPr>
          <w:p w14:paraId="694EB2C1" w14:textId="77777777" w:rsidR="000A270A" w:rsidRPr="009D3FD2" w:rsidRDefault="004604C7" w:rsidP="00A25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44FA7C5A" w14:textId="77777777" w:rsidR="000A270A" w:rsidRPr="009D3FD2" w:rsidRDefault="000A270A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816C59" w14:textId="77777777" w:rsidR="00DE6C90" w:rsidRPr="009D3FD2" w:rsidRDefault="00BF41EF" w:rsidP="00BF41E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* Зазначений регуляторний акт</w:t>
      </w:r>
      <w:r w:rsidR="00DE6C90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E6C90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на правове регулювання адміністративних відносин між </w:t>
      </w:r>
      <w:r w:rsidR="000160B1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державними </w:t>
      </w:r>
      <w:r w:rsidR="00DE6C90" w:rsidRPr="009D3FD2">
        <w:rPr>
          <w:rFonts w:ascii="Times New Roman" w:hAnsi="Times New Roman" w:cs="Times New Roman"/>
          <w:sz w:val="28"/>
          <w:szCs w:val="28"/>
          <w:lang w:val="uk-UA"/>
        </w:rPr>
        <w:t>регуляторними органами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26827F" w14:textId="777E5F64" w:rsidR="00E3779F" w:rsidRDefault="00E377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461E695A" w14:textId="77777777" w:rsidR="00DE6C90" w:rsidRPr="009D3FD2" w:rsidRDefault="00DE6C90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396"/>
      </w:tblGrid>
      <w:tr w:rsidR="00C361A9" w:rsidRPr="009D3FD2" w14:paraId="1FF5E687" w14:textId="77777777" w:rsidTr="00C361A9">
        <w:tc>
          <w:tcPr>
            <w:tcW w:w="2689" w:type="dxa"/>
          </w:tcPr>
          <w:p w14:paraId="78693F1D" w14:textId="77777777" w:rsidR="00C361A9" w:rsidRPr="009D3FD2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Вид альтернативи</w:t>
            </w:r>
          </w:p>
        </w:tc>
        <w:tc>
          <w:tcPr>
            <w:tcW w:w="3260" w:type="dxa"/>
          </w:tcPr>
          <w:p w14:paraId="78A73AD6" w14:textId="77777777" w:rsidR="00C361A9" w:rsidRPr="009D3FD2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</w:t>
            </w:r>
          </w:p>
        </w:tc>
        <w:tc>
          <w:tcPr>
            <w:tcW w:w="3396" w:type="dxa"/>
          </w:tcPr>
          <w:p w14:paraId="428914F6" w14:textId="77777777" w:rsidR="00C361A9" w:rsidRPr="009D3FD2" w:rsidRDefault="00C361A9" w:rsidP="00C361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</w:t>
            </w:r>
          </w:p>
        </w:tc>
      </w:tr>
      <w:tr w:rsidR="00C361A9" w:rsidRPr="009D3FD2" w14:paraId="3D564EE5" w14:textId="77777777" w:rsidTr="00C361A9">
        <w:tc>
          <w:tcPr>
            <w:tcW w:w="2689" w:type="dxa"/>
          </w:tcPr>
          <w:p w14:paraId="3799959F" w14:textId="77777777" w:rsidR="00F40E9D" w:rsidRPr="009D3FD2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1A0DC0AB" w14:textId="77777777" w:rsidR="00C361A9" w:rsidRPr="009D3FD2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260" w:type="dxa"/>
          </w:tcPr>
          <w:p w14:paraId="1CA513AD" w14:textId="77777777" w:rsidR="00C361A9" w:rsidRPr="009D3FD2" w:rsidRDefault="007A309D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03F08621" w14:textId="77777777" w:rsidR="00C361A9" w:rsidRPr="009D3FD2" w:rsidRDefault="00BF5599" w:rsidP="006763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C361A9" w:rsidRPr="009D3FD2" w14:paraId="3D16ACE1" w14:textId="77777777" w:rsidTr="00C361A9">
        <w:tc>
          <w:tcPr>
            <w:tcW w:w="2689" w:type="dxa"/>
          </w:tcPr>
          <w:p w14:paraId="331D75CB" w14:textId="77777777" w:rsidR="00F40E9D" w:rsidRPr="009D3FD2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0C3CB4FB" w14:textId="77777777" w:rsidR="00C361A9" w:rsidRPr="009D3FD2" w:rsidRDefault="00F40E9D" w:rsidP="00F4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260" w:type="dxa"/>
          </w:tcPr>
          <w:p w14:paraId="0FF7B88F" w14:textId="77777777" w:rsidR="00C361A9" w:rsidRPr="009D3FD2" w:rsidRDefault="00BF5599" w:rsidP="00A63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3396" w:type="dxa"/>
          </w:tcPr>
          <w:p w14:paraId="2D700258" w14:textId="77777777" w:rsidR="00C361A9" w:rsidRPr="009D3FD2" w:rsidRDefault="007A309D" w:rsidP="00C3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29F31572" w14:textId="77777777" w:rsidR="00C361A9" w:rsidRPr="009D3FD2" w:rsidRDefault="00C361A9" w:rsidP="00C36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8A8ADB" w14:textId="77777777" w:rsidR="00244AE8" w:rsidRPr="009D3FD2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ІV. Вибір найбільш оптимального альтернативного</w:t>
      </w:r>
    </w:p>
    <w:p w14:paraId="76FDE898" w14:textId="77777777" w:rsidR="00C361A9" w:rsidRPr="009D3FD2" w:rsidRDefault="00244AE8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способу досягнення цілей</w:t>
      </w:r>
    </w:p>
    <w:p w14:paraId="05D104EF" w14:textId="77777777" w:rsidR="00E9266D" w:rsidRPr="009D3FD2" w:rsidRDefault="00E9266D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2835"/>
        <w:gridCol w:w="3396"/>
      </w:tblGrid>
      <w:tr w:rsidR="00164C74" w:rsidRPr="009D3FD2" w14:paraId="1D56CC75" w14:textId="77777777" w:rsidTr="00164C74">
        <w:tc>
          <w:tcPr>
            <w:tcW w:w="3119" w:type="dxa"/>
          </w:tcPr>
          <w:p w14:paraId="3EB70616" w14:textId="77777777" w:rsidR="00164C74" w:rsidRPr="009D3FD2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835" w:type="dxa"/>
          </w:tcPr>
          <w:p w14:paraId="0E715BDA" w14:textId="77777777" w:rsidR="00164C74" w:rsidRPr="009D3FD2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 результативності</w:t>
            </w:r>
          </w:p>
          <w:p w14:paraId="2DDD7637" w14:textId="77777777" w:rsidR="00164C74" w:rsidRPr="009D3FD2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(за чотирибальною системою оцінки)</w:t>
            </w:r>
          </w:p>
        </w:tc>
        <w:tc>
          <w:tcPr>
            <w:tcW w:w="3396" w:type="dxa"/>
          </w:tcPr>
          <w:p w14:paraId="240CE26A" w14:textId="77777777" w:rsidR="00164C74" w:rsidRPr="009D3FD2" w:rsidRDefault="00164C74" w:rsidP="00164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Коментарі щодо присвоєння відповідного бала</w:t>
            </w:r>
          </w:p>
        </w:tc>
      </w:tr>
      <w:tr w:rsidR="00E9266D" w:rsidRPr="009D3FD2" w14:paraId="40ED41C0" w14:textId="77777777" w:rsidTr="00164C74">
        <w:tc>
          <w:tcPr>
            <w:tcW w:w="3119" w:type="dxa"/>
          </w:tcPr>
          <w:p w14:paraId="25EE7714" w14:textId="77777777" w:rsidR="00164C74" w:rsidRPr="009D3FD2" w:rsidRDefault="00164C74" w:rsidP="00164C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485AF42F" w14:textId="77777777" w:rsidR="00E9266D" w:rsidRPr="009D3FD2" w:rsidRDefault="00164C7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64569892" w14:textId="77777777" w:rsidR="00E9266D" w:rsidRPr="009D3FD2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96" w:type="dxa"/>
          </w:tcPr>
          <w:p w14:paraId="69280FA6" w14:textId="1461F804" w:rsidR="00E9266D" w:rsidRPr="009D3FD2" w:rsidRDefault="007459E8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сприяє подоланню </w:t>
            </w:r>
            <w:r w:rsidR="00111927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відповідних 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прогалин </w:t>
            </w:r>
            <w:r w:rsidR="003B2A5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3B2A53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законодавстві</w:t>
            </w:r>
          </w:p>
        </w:tc>
      </w:tr>
      <w:tr w:rsidR="00E9266D" w:rsidRPr="009D3FD2" w14:paraId="0015CB89" w14:textId="77777777" w:rsidTr="00164C74">
        <w:tc>
          <w:tcPr>
            <w:tcW w:w="3119" w:type="dxa"/>
          </w:tcPr>
          <w:p w14:paraId="6900328C" w14:textId="77777777" w:rsidR="00164C74" w:rsidRPr="009D3FD2" w:rsidRDefault="00164C74" w:rsidP="00164C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Обрана альтернатива 2</w:t>
            </w:r>
          </w:p>
          <w:p w14:paraId="47A00FDB" w14:textId="77777777" w:rsidR="00E9266D" w:rsidRPr="009D3FD2" w:rsidRDefault="00164C74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835" w:type="dxa"/>
          </w:tcPr>
          <w:p w14:paraId="628D2D15" w14:textId="77777777" w:rsidR="00E9266D" w:rsidRPr="009D3FD2" w:rsidRDefault="00D50DBB" w:rsidP="00D50DB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396" w:type="dxa"/>
          </w:tcPr>
          <w:p w14:paraId="5D076761" w14:textId="77777777" w:rsidR="00E9266D" w:rsidRPr="009D3FD2" w:rsidRDefault="00BB77F1" w:rsidP="00164C7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Дозволяє вирішити п</w:t>
            </w:r>
            <w:r w:rsidR="00E8258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роблему </w:t>
            </w:r>
            <w:r w:rsidR="00474FA5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</w:t>
            </w:r>
            <w:r w:rsidR="00E8258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ефективн</w:t>
            </w:r>
            <w:r w:rsidR="00474FA5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іши</w:t>
            </w:r>
            <w:r w:rsidR="00E8258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 шляхом</w:t>
            </w:r>
          </w:p>
        </w:tc>
      </w:tr>
    </w:tbl>
    <w:p w14:paraId="5F2DEB55" w14:textId="77777777" w:rsidR="00E9266D" w:rsidRPr="009D3FD2" w:rsidRDefault="00E9266D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FAA0E4B" w14:textId="77777777" w:rsidR="00B03C3A" w:rsidRPr="009D3FD2" w:rsidRDefault="00B03C3A" w:rsidP="00244AE8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977"/>
        <w:gridCol w:w="1638"/>
        <w:gridCol w:w="2183"/>
      </w:tblGrid>
      <w:tr w:rsidR="00926182" w:rsidRPr="009D3FD2" w14:paraId="129666D2" w14:textId="77777777" w:rsidTr="00926182">
        <w:tc>
          <w:tcPr>
            <w:tcW w:w="2552" w:type="dxa"/>
          </w:tcPr>
          <w:p w14:paraId="39F348BC" w14:textId="77777777" w:rsidR="00926182" w:rsidRPr="009D3FD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 результативності</w:t>
            </w:r>
          </w:p>
        </w:tc>
        <w:tc>
          <w:tcPr>
            <w:tcW w:w="2977" w:type="dxa"/>
          </w:tcPr>
          <w:p w14:paraId="453A26F1" w14:textId="77777777" w:rsidR="00926182" w:rsidRPr="009D3FD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Вигоди (підсумок)</w:t>
            </w:r>
          </w:p>
        </w:tc>
        <w:tc>
          <w:tcPr>
            <w:tcW w:w="1638" w:type="dxa"/>
          </w:tcPr>
          <w:p w14:paraId="62F4D2CD" w14:textId="77777777" w:rsidR="00926182" w:rsidRPr="009D3FD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Витрати (підсумок)</w:t>
            </w:r>
          </w:p>
        </w:tc>
        <w:tc>
          <w:tcPr>
            <w:tcW w:w="2183" w:type="dxa"/>
          </w:tcPr>
          <w:p w14:paraId="6547E7D9" w14:textId="77777777" w:rsidR="00926182" w:rsidRPr="009D3FD2" w:rsidRDefault="00926182" w:rsidP="009261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Обґрунтування відповідного місця альтернативи</w:t>
            </w:r>
          </w:p>
        </w:tc>
      </w:tr>
      <w:tr w:rsidR="00926182" w:rsidRPr="009D3FD2" w14:paraId="32E423D8" w14:textId="77777777" w:rsidTr="00926182">
        <w:tc>
          <w:tcPr>
            <w:tcW w:w="2552" w:type="dxa"/>
          </w:tcPr>
          <w:p w14:paraId="2EF34ADA" w14:textId="77777777" w:rsidR="00926182" w:rsidRPr="009D3FD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 Залишення ситуації без змін</w:t>
            </w:r>
          </w:p>
        </w:tc>
        <w:tc>
          <w:tcPr>
            <w:tcW w:w="2977" w:type="dxa"/>
          </w:tcPr>
          <w:p w14:paraId="468B4863" w14:textId="0D747E1C" w:rsidR="00926182" w:rsidRPr="009D3FD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Відсутні. Не призведе до досягнення поставлених цілей</w:t>
            </w:r>
          </w:p>
        </w:tc>
        <w:tc>
          <w:tcPr>
            <w:tcW w:w="1638" w:type="dxa"/>
          </w:tcPr>
          <w:p w14:paraId="6864EAD5" w14:textId="77777777" w:rsidR="00926182" w:rsidRPr="009D3FD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2183" w:type="dxa"/>
          </w:tcPr>
          <w:p w14:paraId="0291EAAA" w14:textId="77777777" w:rsidR="00926182" w:rsidRPr="009D3FD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Запровадження альтернативи 1 не буде сприяти досягненню встановлених цілей</w:t>
            </w:r>
          </w:p>
        </w:tc>
      </w:tr>
      <w:tr w:rsidR="00926182" w:rsidRPr="009D3FD2" w14:paraId="5BE03405" w14:textId="77777777" w:rsidTr="00926182">
        <w:tc>
          <w:tcPr>
            <w:tcW w:w="2552" w:type="dxa"/>
          </w:tcPr>
          <w:p w14:paraId="753FF620" w14:textId="77777777" w:rsidR="00926182" w:rsidRPr="009D3FD2" w:rsidRDefault="00926182" w:rsidP="0092618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 Прийняття проєкту Закону</w:t>
            </w:r>
          </w:p>
        </w:tc>
        <w:tc>
          <w:tcPr>
            <w:tcW w:w="2977" w:type="dxa"/>
          </w:tcPr>
          <w:p w14:paraId="31D2269B" w14:textId="77777777" w:rsidR="00926182" w:rsidRPr="009D3FD2" w:rsidRDefault="00F758E0" w:rsidP="00F758E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</w:t>
            </w:r>
            <w:r w:rsidR="009D3FD2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законодавства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забезпечення доброчесності та прозорості на оптовому енергетичному ринку 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буде приведено у відповідність та узгоджено з іншими нормативно-правовими актами України, що сприятиме дотриманню вимог доброчесності та прозорості на оптовому енергетичному ринку та п</w:t>
            </w:r>
            <w:r w:rsidR="00A21DB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ідвищенн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A21DB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ефективності 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національного </w:t>
            </w:r>
            <w:r w:rsidR="00A21DB9"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Регулятора </w:t>
            </w:r>
          </w:p>
        </w:tc>
        <w:tc>
          <w:tcPr>
            <w:tcW w:w="1638" w:type="dxa"/>
          </w:tcPr>
          <w:p w14:paraId="661FE13F" w14:textId="77777777" w:rsidR="00926182" w:rsidRPr="009D3FD2" w:rsidRDefault="006E44EA" w:rsidP="006E44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  <w:tc>
          <w:tcPr>
            <w:tcW w:w="2183" w:type="dxa"/>
          </w:tcPr>
          <w:p w14:paraId="70111F07" w14:textId="77777777" w:rsidR="00926182" w:rsidRPr="009D3FD2" w:rsidRDefault="006E44EA" w:rsidP="006E44E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Запровадження альтернативи 2 найкращим чином сприятиме досягненню </w:t>
            </w: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встановлених цілей</w:t>
            </w:r>
          </w:p>
        </w:tc>
      </w:tr>
    </w:tbl>
    <w:p w14:paraId="433893FC" w14:textId="77777777" w:rsidR="00926182" w:rsidRPr="009D3FD2" w:rsidRDefault="00926182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071"/>
        <w:gridCol w:w="3190"/>
        <w:gridCol w:w="3089"/>
      </w:tblGrid>
      <w:tr w:rsidR="00351050" w:rsidRPr="009D3FD2" w14:paraId="3C3F10B0" w14:textId="77777777" w:rsidTr="00B03C3A">
        <w:tc>
          <w:tcPr>
            <w:tcW w:w="3116" w:type="dxa"/>
          </w:tcPr>
          <w:p w14:paraId="6C920129" w14:textId="77777777" w:rsidR="00351050" w:rsidRPr="009D3FD2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Рейтинг</w:t>
            </w:r>
          </w:p>
        </w:tc>
        <w:tc>
          <w:tcPr>
            <w:tcW w:w="3117" w:type="dxa"/>
          </w:tcPr>
          <w:p w14:paraId="38438133" w14:textId="77777777" w:rsidR="00351050" w:rsidRPr="009D3FD2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17" w:type="dxa"/>
          </w:tcPr>
          <w:p w14:paraId="10C04C62" w14:textId="77777777" w:rsidR="00351050" w:rsidRPr="009D3FD2" w:rsidRDefault="00351050" w:rsidP="003510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B03C3A" w:rsidRPr="009D3FD2" w14:paraId="507835AF" w14:textId="77777777" w:rsidTr="00B03C3A">
        <w:tc>
          <w:tcPr>
            <w:tcW w:w="3116" w:type="dxa"/>
          </w:tcPr>
          <w:p w14:paraId="5A6FF58B" w14:textId="77777777" w:rsidR="002A2077" w:rsidRPr="009D3FD2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1</w:t>
            </w:r>
          </w:p>
          <w:p w14:paraId="142BCBE3" w14:textId="77777777" w:rsidR="00B03C3A" w:rsidRPr="009D3FD2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чинного регулювання</w:t>
            </w:r>
          </w:p>
        </w:tc>
        <w:tc>
          <w:tcPr>
            <w:tcW w:w="3117" w:type="dxa"/>
          </w:tcPr>
          <w:p w14:paraId="6F3976A3" w14:textId="77777777" w:rsidR="00B03C3A" w:rsidRPr="009D3FD2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Проблема продовжує існувати</w:t>
            </w:r>
          </w:p>
        </w:tc>
        <w:tc>
          <w:tcPr>
            <w:tcW w:w="3117" w:type="dxa"/>
          </w:tcPr>
          <w:p w14:paraId="0A894DBE" w14:textId="77777777" w:rsidR="00B03C3A" w:rsidRPr="009D3FD2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очікується</w:t>
            </w:r>
          </w:p>
        </w:tc>
      </w:tr>
      <w:tr w:rsidR="00B03C3A" w:rsidRPr="009D3FD2" w14:paraId="2B69205F" w14:textId="77777777" w:rsidTr="00B03C3A">
        <w:tc>
          <w:tcPr>
            <w:tcW w:w="3116" w:type="dxa"/>
          </w:tcPr>
          <w:p w14:paraId="2EB0553D" w14:textId="77777777" w:rsidR="00B03C3A" w:rsidRPr="009D3FD2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Альтернатива 2</w:t>
            </w:r>
          </w:p>
          <w:p w14:paraId="3DC2D6C2" w14:textId="77777777" w:rsidR="002A2077" w:rsidRPr="009D3FD2" w:rsidRDefault="002A2077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7" w:type="dxa"/>
          </w:tcPr>
          <w:p w14:paraId="76B5A2E5" w14:textId="77777777" w:rsidR="00B03C3A" w:rsidRPr="009D3FD2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Прийняття регуляторного акта є єдиним оптимальним способом досягнення визначених цілей </w:t>
            </w:r>
          </w:p>
        </w:tc>
        <w:tc>
          <w:tcPr>
            <w:tcW w:w="3117" w:type="dxa"/>
          </w:tcPr>
          <w:p w14:paraId="313723E7" w14:textId="77777777" w:rsidR="00B03C3A" w:rsidRPr="009D3FD2" w:rsidRDefault="00B03C3A" w:rsidP="00B03C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F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очікується</w:t>
            </w:r>
          </w:p>
        </w:tc>
      </w:tr>
    </w:tbl>
    <w:p w14:paraId="7B0BB2FA" w14:textId="77777777" w:rsidR="002A5A1A" w:rsidRPr="009D3FD2" w:rsidRDefault="002A5A1A" w:rsidP="00926182">
      <w:pPr>
        <w:pStyle w:val="a4"/>
        <w:spacing w:after="0"/>
        <w:ind w:left="1414" w:hanging="1130"/>
        <w:rPr>
          <w:rFonts w:ascii="Times New Roman" w:hAnsi="Times New Roman" w:cs="Times New Roman"/>
          <w:sz w:val="28"/>
          <w:szCs w:val="28"/>
          <w:lang w:val="uk-UA"/>
        </w:rPr>
      </w:pPr>
    </w:p>
    <w:p w14:paraId="7782F275" w14:textId="77777777" w:rsidR="00FE3D17" w:rsidRPr="009D3FD2" w:rsidRDefault="00FE3D17" w:rsidP="006D332B">
      <w:pPr>
        <w:pStyle w:val="a4"/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14:paraId="759C6BBC" w14:textId="77777777" w:rsidR="005E0641" w:rsidRPr="009D3FD2" w:rsidRDefault="005E0641" w:rsidP="00FE3D17">
      <w:pPr>
        <w:pStyle w:val="a4"/>
        <w:spacing w:after="0"/>
        <w:ind w:left="1414" w:hanging="113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DE079B" w14:textId="082AF54E" w:rsidR="00967B1C" w:rsidRPr="009D3FD2" w:rsidRDefault="005E0641" w:rsidP="00967B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Механізмом розв’язання визначеної проблеми є внесення змін до </w:t>
      </w:r>
      <w:r w:rsidR="002C566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3779F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2C566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2F6" w:rsidRPr="009C32F6">
        <w:rPr>
          <w:rFonts w:ascii="Times New Roman" w:hAnsi="Times New Roman" w:cs="Times New Roman"/>
          <w:sz w:val="28"/>
          <w:szCs w:val="28"/>
          <w:lang w:val="uk-UA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779F" w:rsidRPr="00E3779F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2C566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3779F" w:rsidRPr="00E3779F">
        <w:rPr>
          <w:rFonts w:ascii="Times New Roman" w:hAnsi="Times New Roman" w:cs="Times New Roman"/>
          <w:sz w:val="28"/>
          <w:szCs w:val="28"/>
          <w:lang w:val="uk-UA"/>
        </w:rPr>
        <w:t>о ринок електричної енергії», Кодексу України про адміністративні правопорушення</w:t>
      </w:r>
      <w:r w:rsidR="00AE4C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779F"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C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 саме </w:t>
      </w:r>
      <w:r w:rsidR="003B2A5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B2A53"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аконопроєктом </w:t>
      </w:r>
      <w:r w:rsidR="00F36A42" w:rsidRPr="00E3779F">
        <w:rPr>
          <w:rFonts w:ascii="Times New Roman" w:hAnsi="Times New Roman" w:cs="Times New Roman"/>
          <w:sz w:val="28"/>
          <w:szCs w:val="28"/>
          <w:lang w:val="uk-UA"/>
        </w:rPr>
        <w:t>пропонується</w:t>
      </w:r>
      <w:r w:rsidRPr="00E3779F">
        <w:rPr>
          <w:rFonts w:ascii="Times New Roman" w:hAnsi="Times New Roman" w:cs="Times New Roman"/>
          <w:sz w:val="28"/>
          <w:szCs w:val="28"/>
          <w:lang w:val="uk-UA"/>
        </w:rPr>
        <w:t xml:space="preserve"> уточнення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норм Закону </w:t>
      </w:r>
      <w:r w:rsidR="00941729" w:rsidRPr="00941729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Національну комісію, що здійснює державне регулювання у сферах енергетики та комунальних послуг» 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967B1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у відповідність дефініцій оптового енергетичного продукту, зловживань на оптовому енергетичному ринку, внесення змін до Кодексу України про адміністративні правопорушення в частині визначення повноважень НКРЕКП та </w:t>
      </w:r>
      <w:r w:rsidR="00AE4C68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AE4C6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B1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посадових </w:t>
      </w:r>
      <w:r w:rsidR="00967B1C" w:rsidRPr="009D3FD2">
        <w:rPr>
          <w:rFonts w:ascii="Times New Roman" w:hAnsi="Times New Roman" w:cs="Times New Roman"/>
          <w:sz w:val="28"/>
          <w:szCs w:val="28"/>
          <w:lang w:val="uk-UA"/>
        </w:rPr>
        <w:lastRenderedPageBreak/>
        <w:t>осіб щодо складення протоколу про адміністративні правопорушення у справах про адміністративні правопорушення</w:t>
      </w:r>
      <w:r w:rsidR="00F9443C"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визначення відповідальності за зловживання на ринку електричної енергії шляхом внесення змін до Закону України «Про ринок електричної енергії». </w:t>
      </w:r>
    </w:p>
    <w:p w14:paraId="3CD685F9" w14:textId="77777777" w:rsidR="00967B1C" w:rsidRPr="009D3FD2" w:rsidRDefault="00AE1EC3" w:rsidP="00AE1EC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Реалізація норм законопроєкту забезпечить імплементацію нормативно-правової бази Енергетичного Співтовариства</w:t>
      </w:r>
      <w:r w:rsidR="00967B1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, узгодженість та належне функціонування положень національного </w:t>
      </w:r>
      <w:r w:rsidR="00B00F39" w:rsidRPr="009D3FD2">
        <w:rPr>
          <w:rFonts w:ascii="Times New Roman" w:hAnsi="Times New Roman" w:cs="Times New Roman"/>
          <w:sz w:val="28"/>
          <w:szCs w:val="28"/>
          <w:lang w:val="uk-UA"/>
        </w:rPr>
        <w:t>законодавства</w:t>
      </w:r>
      <w:r w:rsidR="00967B1C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щодо забезпечення доброчесності та прозорості на оптовому енергетичному ринку та надасть можливість учасникам оптового енергетичного ринку завбачати наслідки своїх дій і бути впевненими у своїх легітимних очікуваннях.</w:t>
      </w:r>
    </w:p>
    <w:p w14:paraId="0CDE71EF" w14:textId="77777777" w:rsidR="00857756" w:rsidRPr="009D3FD2" w:rsidRDefault="00392CAA" w:rsidP="00AE1EC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Заходи, які повинен здійснити орган влади для впровадження цього регуляторного акта: у встановленому законом порядку погодити </w:t>
      </w:r>
      <w:r w:rsidR="009D3FD2" w:rsidRPr="009D3FD2">
        <w:rPr>
          <w:rFonts w:ascii="Times New Roman" w:hAnsi="Times New Roman" w:cs="Times New Roman"/>
          <w:sz w:val="28"/>
          <w:szCs w:val="28"/>
          <w:lang w:val="uk-UA"/>
        </w:rPr>
        <w:t>законопроєкт</w:t>
      </w:r>
      <w:r w:rsidR="000C4C63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та подати його до Кабінету Міністрів для подальшого подання до Верховної Ради України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C59472" w14:textId="77777777" w:rsidR="00392CAA" w:rsidRPr="009D3FD2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Ризику впливу зовнішніх факторів на дію регуляторного акта немає. Можлива шкода у разі очікуваних наслідків дії акта не прогнозується.</w:t>
      </w:r>
    </w:p>
    <w:p w14:paraId="52DCC336" w14:textId="77777777" w:rsidR="00392CAA" w:rsidRPr="009D3FD2" w:rsidRDefault="00392CAA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Прийняття регуляторного акта не призведе до неочікуваних результатів і не потребуватиме додаткових витрат з державного бюджету.</w:t>
      </w:r>
    </w:p>
    <w:p w14:paraId="7A39DABC" w14:textId="77777777" w:rsidR="006D332B" w:rsidRPr="009D3FD2" w:rsidRDefault="006D332B" w:rsidP="00392CAA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89629F" w14:textId="77777777" w:rsidR="006D332B" w:rsidRPr="009D3FD2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14:paraId="69993F35" w14:textId="77777777" w:rsidR="006D332B" w:rsidRPr="009D3FD2" w:rsidRDefault="006D332B" w:rsidP="006D332B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1ABF1A" w14:textId="77777777" w:rsidR="006D332B" w:rsidRPr="009D3FD2" w:rsidRDefault="006D332B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Додаткові витрати на виконання вимог регуляторного акта для органів виконавчої влади чи органів місцевого самоврядування не передбачено.</w:t>
      </w:r>
    </w:p>
    <w:p w14:paraId="18222309" w14:textId="77777777" w:rsidR="008C0FB4" w:rsidRPr="009D3FD2" w:rsidRDefault="008C0FB4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Витрат суб’єктів господарювання, які виникають унаслідок дії регуляторного акта, не передбачається.</w:t>
      </w:r>
    </w:p>
    <w:p w14:paraId="70A6DAE5" w14:textId="77777777" w:rsidR="00CC0435" w:rsidRPr="009D3FD2" w:rsidRDefault="00CC0435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Тест малого підприємництва (М-тест) не проводився, оскільки суб’єкти малого підприємництва додаткових витрат на виконання регулювання не зазнають та будуть в однакових умовах з іншими суб’єктами господарювання.</w:t>
      </w:r>
    </w:p>
    <w:p w14:paraId="4C288019" w14:textId="77777777" w:rsidR="00062BAF" w:rsidRPr="009D3FD2" w:rsidRDefault="00062BAF" w:rsidP="006D332B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C71121" w14:textId="77777777" w:rsidR="000D7180" w:rsidRPr="009D3FD2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VII. Обґрунтування запропонованого строку дії</w:t>
      </w:r>
    </w:p>
    <w:p w14:paraId="17E8F4DC" w14:textId="77777777" w:rsidR="00062BAF" w:rsidRPr="009D3FD2" w:rsidRDefault="00062BAF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акта</w:t>
      </w:r>
    </w:p>
    <w:p w14:paraId="5F06558A" w14:textId="77777777" w:rsidR="000D7180" w:rsidRPr="009D3FD2" w:rsidRDefault="000D7180" w:rsidP="000D7180">
      <w:pPr>
        <w:pStyle w:val="a4"/>
        <w:spacing w:after="0"/>
        <w:ind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0C8320" w14:textId="77777777" w:rsidR="00062BAF" w:rsidRPr="009D3FD2" w:rsidRDefault="00062BAF" w:rsidP="00062BA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Термін дії регуляторного акта необмежений та може бути змінений у разі внесення відповідних змін до чинного законодавства.</w:t>
      </w:r>
    </w:p>
    <w:p w14:paraId="280F1CFF" w14:textId="77777777" w:rsidR="00BF440D" w:rsidRPr="009D3FD2" w:rsidRDefault="00BF440D" w:rsidP="00062BA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B73390" w14:textId="77777777" w:rsidR="008868F3" w:rsidRDefault="008868F3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D82938" w14:textId="29DE2827" w:rsidR="00BF440D" w:rsidRPr="009D3FD2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VIII. Визначення показників результативності дії </w:t>
      </w:r>
    </w:p>
    <w:p w14:paraId="0DB2273B" w14:textId="77777777" w:rsidR="00BF440D" w:rsidRPr="009D3FD2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акта</w:t>
      </w:r>
    </w:p>
    <w:p w14:paraId="0697CCC4" w14:textId="77777777" w:rsidR="00BF440D" w:rsidRPr="009D3FD2" w:rsidRDefault="00BF440D" w:rsidP="00BF440D">
      <w:pPr>
        <w:pStyle w:val="a4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9735E0" w14:textId="77777777" w:rsidR="000E35BD" w:rsidRPr="009D3FD2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Прогнозними значеннями </w:t>
      </w:r>
      <w:r w:rsidR="00A903C4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кількісних 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показників результативності регуляторного акта є:</w:t>
      </w:r>
    </w:p>
    <w:p w14:paraId="2BFA8E78" w14:textId="77777777" w:rsidR="000E35BD" w:rsidRPr="009D3FD2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дія регуляторного акта не передбачає надходжень та/або видатків з/до державного та місцевих бюджетів і державних цільових фондів, пов’язаних з дією регуляторного акта;</w:t>
      </w:r>
    </w:p>
    <w:p w14:paraId="7BA12876" w14:textId="77777777" w:rsidR="000E35BD" w:rsidRPr="009D3FD2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розмір коштів і час, що витрачатимуться суб’єктами господарювання, пов’язаними з виконанням вимог регуляторного акта – </w:t>
      </w:r>
      <w:r w:rsidR="00DF5280" w:rsidRPr="009D3FD2">
        <w:rPr>
          <w:rFonts w:ascii="Times New Roman" w:hAnsi="Times New Roman" w:cs="Times New Roman"/>
          <w:sz w:val="28"/>
          <w:szCs w:val="28"/>
          <w:lang w:val="uk-UA"/>
        </w:rPr>
        <w:t>не передбачається</w:t>
      </w:r>
      <w:r w:rsidR="00AA7B0D" w:rsidRPr="009D3F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9A302C" w14:textId="23C3D6A7" w:rsidR="00BF440D" w:rsidRPr="009D3FD2" w:rsidRDefault="000E35BD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рівень поінформованості суб’єктів господарювання із основними положеннями регуляторного акта – </w:t>
      </w:r>
      <w:r w:rsidR="00FC3B34" w:rsidRPr="00FC3B34">
        <w:rPr>
          <w:rFonts w:ascii="Times New Roman" w:hAnsi="Times New Roman" w:cs="Times New Roman"/>
          <w:sz w:val="28"/>
          <w:szCs w:val="28"/>
          <w:lang w:val="uk-UA"/>
        </w:rPr>
        <w:t>вище середнього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, оскільки проєкт регуляторного акта розміщується на офіційному вебсайті НКРЕКП.</w:t>
      </w:r>
    </w:p>
    <w:p w14:paraId="66370B2F" w14:textId="77777777" w:rsidR="00A903C4" w:rsidRPr="009D3FD2" w:rsidRDefault="00A903C4" w:rsidP="00AE2269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B4E602" w14:textId="77777777" w:rsidR="00A903C4" w:rsidRPr="009D3FD2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ІX. Визначення заходів, за допомогою яких здійснюватиметься відстеження результативності дії регуляторного акта</w:t>
      </w:r>
    </w:p>
    <w:p w14:paraId="7EE8D60E" w14:textId="77777777" w:rsidR="00A903C4" w:rsidRPr="009D3FD2" w:rsidRDefault="00A903C4" w:rsidP="00A903C4">
      <w:pPr>
        <w:pStyle w:val="a4"/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68D68A" w14:textId="778ACD8C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результативності регуляторного акта буде </w:t>
      </w:r>
      <w:r w:rsidR="003E6C8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F452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E6C88">
        <w:rPr>
          <w:rFonts w:ascii="Times New Roman" w:hAnsi="Times New Roman" w:cs="Times New Roman"/>
          <w:sz w:val="28"/>
          <w:szCs w:val="28"/>
          <w:lang w:val="uk-UA"/>
        </w:rPr>
        <w:t>стосовано</w:t>
      </w:r>
      <w:r w:rsidR="003E6C88"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>статистичний метод, що передбачає використання статистичних даних. Опитування цільових груп та залучення наукових установ для проведення відстеження результативності регуляторного акта не передбачаються.</w:t>
      </w:r>
    </w:p>
    <w:p w14:paraId="61FB44EC" w14:textId="77777777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акта здійснюватиметься шляхом проведення базового, повторного та періодичного </w:t>
      </w:r>
      <w:r w:rsidR="00B00F39" w:rsidRPr="009D3FD2">
        <w:rPr>
          <w:rFonts w:ascii="Times New Roman" w:hAnsi="Times New Roman" w:cs="Times New Roman"/>
          <w:sz w:val="28"/>
          <w:szCs w:val="28"/>
          <w:lang w:val="uk-UA"/>
        </w:rPr>
        <w:t>відстеження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показників результативності акта.</w:t>
      </w:r>
    </w:p>
    <w:p w14:paraId="7F8FF4F0" w14:textId="3E034E9B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Оскільки для визначення значень показників результативності регуляторного акта використовуватимуться статистичні дані, базове відстеження результативності здійснюватиметься через рік після набрання чинності регуляторним актом.</w:t>
      </w:r>
    </w:p>
    <w:p w14:paraId="50B487E8" w14:textId="1FEB76AA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Повторне відстеження результативності буде здійснен</w:t>
      </w:r>
      <w:r w:rsidR="007979C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D3FD2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двох років після набрання чинності регуляторним актом для визначення результатів його дії.</w:t>
      </w:r>
    </w:p>
    <w:p w14:paraId="38CEBEB3" w14:textId="77777777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Періодичне відстеження результативності – кожних три роки після проведення повторного відстеження.</w:t>
      </w:r>
    </w:p>
    <w:p w14:paraId="6E76B6AF" w14:textId="77777777" w:rsidR="00A903C4" w:rsidRPr="009D3FD2" w:rsidRDefault="00A903C4" w:rsidP="00A903C4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змін.</w:t>
      </w:r>
    </w:p>
    <w:p w14:paraId="5B4B59B9" w14:textId="77777777" w:rsidR="00A903C4" w:rsidRPr="009D3FD2" w:rsidRDefault="007B4621" w:rsidP="007B4621">
      <w:pPr>
        <w:pStyle w:val="a4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sz w:val="28"/>
          <w:szCs w:val="28"/>
          <w:lang w:val="uk-UA"/>
        </w:rPr>
        <w:t>У разі виявлення під час здійснення заходів з відстеження результативності неврегульованих та проблемних питань, вони будуть вирішуватися шляхом внесення відповідних змін до регуляторного акта.</w:t>
      </w:r>
    </w:p>
    <w:p w14:paraId="3FA8A4D5" w14:textId="77777777" w:rsidR="008868F3" w:rsidRDefault="008868F3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46D098" w14:textId="77777777" w:rsidR="008868F3" w:rsidRDefault="008868F3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44F9A6" w14:textId="47563C2B" w:rsidR="007B4621" w:rsidRPr="009D3FD2" w:rsidRDefault="007B4621" w:rsidP="007B4621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>Голова НКРЕКП</w:t>
      </w: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</w:t>
      </w:r>
      <w:r w:rsidR="00967B1C" w:rsidRPr="009D3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8868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9D3F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67B1C" w:rsidRPr="009D3FD2">
        <w:rPr>
          <w:rFonts w:ascii="Times New Roman" w:hAnsi="Times New Roman" w:cs="Times New Roman"/>
          <w:b/>
          <w:sz w:val="28"/>
          <w:szCs w:val="28"/>
          <w:lang w:val="uk-UA"/>
        </w:rPr>
        <w:t>Юрій ВЛАСЕНКО</w:t>
      </w:r>
    </w:p>
    <w:sectPr w:rsidR="007B4621" w:rsidRPr="009D3FD2" w:rsidSect="008868F3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35604" w14:textId="77777777" w:rsidR="008E3854" w:rsidRDefault="008E3854" w:rsidP="008868F3">
      <w:pPr>
        <w:spacing w:after="0" w:line="240" w:lineRule="auto"/>
      </w:pPr>
      <w:r>
        <w:separator/>
      </w:r>
    </w:p>
  </w:endnote>
  <w:endnote w:type="continuationSeparator" w:id="0">
    <w:p w14:paraId="021A92F0" w14:textId="77777777" w:rsidR="008E3854" w:rsidRDefault="008E3854" w:rsidP="0088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70558" w14:textId="77777777" w:rsidR="008E3854" w:rsidRDefault="008E3854" w:rsidP="008868F3">
      <w:pPr>
        <w:spacing w:after="0" w:line="240" w:lineRule="auto"/>
      </w:pPr>
      <w:r>
        <w:separator/>
      </w:r>
    </w:p>
  </w:footnote>
  <w:footnote w:type="continuationSeparator" w:id="0">
    <w:p w14:paraId="457A60FB" w14:textId="77777777" w:rsidR="008E3854" w:rsidRDefault="008E3854" w:rsidP="0088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1590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0F3498" w14:textId="76F6051C" w:rsidR="008868F3" w:rsidRPr="008868F3" w:rsidRDefault="008868F3">
        <w:pPr>
          <w:pStyle w:val="aa"/>
          <w:jc w:val="center"/>
          <w:rPr>
            <w:rFonts w:ascii="Times New Roman" w:hAnsi="Times New Roman" w:cs="Times New Roman"/>
          </w:rPr>
        </w:pPr>
        <w:r w:rsidRPr="008868F3">
          <w:rPr>
            <w:rFonts w:ascii="Times New Roman" w:hAnsi="Times New Roman" w:cs="Times New Roman"/>
          </w:rPr>
          <w:fldChar w:fldCharType="begin"/>
        </w:r>
        <w:r w:rsidRPr="008868F3">
          <w:rPr>
            <w:rFonts w:ascii="Times New Roman" w:hAnsi="Times New Roman" w:cs="Times New Roman"/>
          </w:rPr>
          <w:instrText>PAGE   \* MERGEFORMAT</w:instrText>
        </w:r>
        <w:r w:rsidRPr="008868F3">
          <w:rPr>
            <w:rFonts w:ascii="Times New Roman" w:hAnsi="Times New Roman" w:cs="Times New Roman"/>
          </w:rPr>
          <w:fldChar w:fldCharType="separate"/>
        </w:r>
        <w:r w:rsidRPr="008868F3">
          <w:rPr>
            <w:rFonts w:ascii="Times New Roman" w:hAnsi="Times New Roman" w:cs="Times New Roman"/>
            <w:noProof/>
            <w:lang w:val="uk-UA"/>
          </w:rPr>
          <w:t>7</w:t>
        </w:r>
        <w:r w:rsidRPr="008868F3">
          <w:rPr>
            <w:rFonts w:ascii="Times New Roman" w:hAnsi="Times New Roman" w:cs="Times New Roman"/>
          </w:rPr>
          <w:fldChar w:fldCharType="end"/>
        </w:r>
      </w:p>
    </w:sdtContent>
  </w:sdt>
  <w:p w14:paraId="78BE5EBD" w14:textId="77777777" w:rsidR="008868F3" w:rsidRDefault="008868F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383E"/>
    <w:multiLevelType w:val="hybridMultilevel"/>
    <w:tmpl w:val="90F6AD76"/>
    <w:lvl w:ilvl="0" w:tplc="A4E451F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751A85"/>
    <w:multiLevelType w:val="hybridMultilevel"/>
    <w:tmpl w:val="21228DE6"/>
    <w:lvl w:ilvl="0" w:tplc="8E1421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A73E0"/>
    <w:multiLevelType w:val="hybridMultilevel"/>
    <w:tmpl w:val="3E3AB80C"/>
    <w:lvl w:ilvl="0" w:tplc="3F2A83B6">
      <w:start w:val="1"/>
      <w:numFmt w:val="decimal"/>
      <w:lvlText w:val="%1)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9410D22"/>
    <w:multiLevelType w:val="hybridMultilevel"/>
    <w:tmpl w:val="79E4C3D8"/>
    <w:lvl w:ilvl="0" w:tplc="35C88EF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F6"/>
    <w:rsid w:val="000023F9"/>
    <w:rsid w:val="00005BA3"/>
    <w:rsid w:val="000160B1"/>
    <w:rsid w:val="00044119"/>
    <w:rsid w:val="0005233B"/>
    <w:rsid w:val="00062BAF"/>
    <w:rsid w:val="000A270A"/>
    <w:rsid w:val="000A7181"/>
    <w:rsid w:val="000C4C63"/>
    <w:rsid w:val="000D5268"/>
    <w:rsid w:val="000D7180"/>
    <w:rsid w:val="000E35BD"/>
    <w:rsid w:val="00111927"/>
    <w:rsid w:val="001323F0"/>
    <w:rsid w:val="001601D7"/>
    <w:rsid w:val="00164C74"/>
    <w:rsid w:val="00185D59"/>
    <w:rsid w:val="001928FB"/>
    <w:rsid w:val="001957DA"/>
    <w:rsid w:val="001E298C"/>
    <w:rsid w:val="001E3663"/>
    <w:rsid w:val="00212920"/>
    <w:rsid w:val="00212CFE"/>
    <w:rsid w:val="002409EB"/>
    <w:rsid w:val="00244AE8"/>
    <w:rsid w:val="00250062"/>
    <w:rsid w:val="00255B31"/>
    <w:rsid w:val="002877D3"/>
    <w:rsid w:val="00297104"/>
    <w:rsid w:val="002A2077"/>
    <w:rsid w:val="002A5A1A"/>
    <w:rsid w:val="002B329B"/>
    <w:rsid w:val="002C566B"/>
    <w:rsid w:val="003108A9"/>
    <w:rsid w:val="00341899"/>
    <w:rsid w:val="003478AE"/>
    <w:rsid w:val="00351050"/>
    <w:rsid w:val="00392CAA"/>
    <w:rsid w:val="003B2A53"/>
    <w:rsid w:val="003D2032"/>
    <w:rsid w:val="003D6CE9"/>
    <w:rsid w:val="003E6C88"/>
    <w:rsid w:val="00412487"/>
    <w:rsid w:val="00417CB2"/>
    <w:rsid w:val="00440EE6"/>
    <w:rsid w:val="004604C7"/>
    <w:rsid w:val="00474FA5"/>
    <w:rsid w:val="00480959"/>
    <w:rsid w:val="004844C1"/>
    <w:rsid w:val="00495E3D"/>
    <w:rsid w:val="005562A9"/>
    <w:rsid w:val="0059505B"/>
    <w:rsid w:val="005E04A4"/>
    <w:rsid w:val="005E0641"/>
    <w:rsid w:val="005E52F6"/>
    <w:rsid w:val="005F2DB0"/>
    <w:rsid w:val="00652EBF"/>
    <w:rsid w:val="006576C6"/>
    <w:rsid w:val="00662982"/>
    <w:rsid w:val="00676346"/>
    <w:rsid w:val="006B00CC"/>
    <w:rsid w:val="006C578A"/>
    <w:rsid w:val="006D0023"/>
    <w:rsid w:val="006D332B"/>
    <w:rsid w:val="006E44EA"/>
    <w:rsid w:val="006E6876"/>
    <w:rsid w:val="007061EF"/>
    <w:rsid w:val="007459E8"/>
    <w:rsid w:val="007817E1"/>
    <w:rsid w:val="007979CC"/>
    <w:rsid w:val="007A309D"/>
    <w:rsid w:val="007B4621"/>
    <w:rsid w:val="007C4895"/>
    <w:rsid w:val="007E47DA"/>
    <w:rsid w:val="007E6469"/>
    <w:rsid w:val="008163BB"/>
    <w:rsid w:val="00833F30"/>
    <w:rsid w:val="00857756"/>
    <w:rsid w:val="008617D0"/>
    <w:rsid w:val="008868F3"/>
    <w:rsid w:val="008C0FB4"/>
    <w:rsid w:val="008E3854"/>
    <w:rsid w:val="008F4529"/>
    <w:rsid w:val="00913219"/>
    <w:rsid w:val="00926182"/>
    <w:rsid w:val="00930D34"/>
    <w:rsid w:val="00941729"/>
    <w:rsid w:val="009561B1"/>
    <w:rsid w:val="00967B1C"/>
    <w:rsid w:val="009A6BAF"/>
    <w:rsid w:val="009B6E24"/>
    <w:rsid w:val="009C32F6"/>
    <w:rsid w:val="009C6837"/>
    <w:rsid w:val="009D3FD2"/>
    <w:rsid w:val="009F2C7F"/>
    <w:rsid w:val="00A14E43"/>
    <w:rsid w:val="00A21DB9"/>
    <w:rsid w:val="00A24D2A"/>
    <w:rsid w:val="00A25175"/>
    <w:rsid w:val="00A31B50"/>
    <w:rsid w:val="00A63FD8"/>
    <w:rsid w:val="00A903C4"/>
    <w:rsid w:val="00A9635B"/>
    <w:rsid w:val="00A97AE8"/>
    <w:rsid w:val="00AA01F0"/>
    <w:rsid w:val="00AA7B0D"/>
    <w:rsid w:val="00AB36AF"/>
    <w:rsid w:val="00AC2996"/>
    <w:rsid w:val="00AE1EC3"/>
    <w:rsid w:val="00AE2269"/>
    <w:rsid w:val="00AE4C68"/>
    <w:rsid w:val="00B00F39"/>
    <w:rsid w:val="00B03C3A"/>
    <w:rsid w:val="00B21D15"/>
    <w:rsid w:val="00B23C09"/>
    <w:rsid w:val="00B440EC"/>
    <w:rsid w:val="00B470D7"/>
    <w:rsid w:val="00B55A76"/>
    <w:rsid w:val="00B9184E"/>
    <w:rsid w:val="00BA0D9D"/>
    <w:rsid w:val="00BA48D5"/>
    <w:rsid w:val="00BB77F1"/>
    <w:rsid w:val="00BC1F8B"/>
    <w:rsid w:val="00BE4F8A"/>
    <w:rsid w:val="00BE56E1"/>
    <w:rsid w:val="00BF41EF"/>
    <w:rsid w:val="00BF440D"/>
    <w:rsid w:val="00BF5599"/>
    <w:rsid w:val="00BF60A5"/>
    <w:rsid w:val="00C361A9"/>
    <w:rsid w:val="00C65806"/>
    <w:rsid w:val="00C81B6F"/>
    <w:rsid w:val="00C9137A"/>
    <w:rsid w:val="00CC0435"/>
    <w:rsid w:val="00CE0F1E"/>
    <w:rsid w:val="00D0519B"/>
    <w:rsid w:val="00D33ADE"/>
    <w:rsid w:val="00D50DBB"/>
    <w:rsid w:val="00D63043"/>
    <w:rsid w:val="00DA2DE2"/>
    <w:rsid w:val="00DB3268"/>
    <w:rsid w:val="00DE6C90"/>
    <w:rsid w:val="00DF5280"/>
    <w:rsid w:val="00E31F23"/>
    <w:rsid w:val="00E3779F"/>
    <w:rsid w:val="00E656B6"/>
    <w:rsid w:val="00E82589"/>
    <w:rsid w:val="00E91685"/>
    <w:rsid w:val="00E9266D"/>
    <w:rsid w:val="00EF4A1F"/>
    <w:rsid w:val="00F34007"/>
    <w:rsid w:val="00F36A42"/>
    <w:rsid w:val="00F40E9D"/>
    <w:rsid w:val="00F54025"/>
    <w:rsid w:val="00F758E0"/>
    <w:rsid w:val="00F9443C"/>
    <w:rsid w:val="00F97512"/>
    <w:rsid w:val="00FB2D8E"/>
    <w:rsid w:val="00FC3B34"/>
    <w:rsid w:val="00F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AD158"/>
  <w15:chartTrackingRefBased/>
  <w15:docId w15:val="{C4B1DB49-0306-4CD0-8098-7EA8158D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0F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5E3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B470D7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B470D7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185D59"/>
    <w:rPr>
      <w:rFonts w:ascii="Times New Roman" w:hAnsi="Times New Roman" w:cs="Times New Roman"/>
      <w:sz w:val="24"/>
      <w:szCs w:val="24"/>
    </w:rPr>
  </w:style>
  <w:style w:type="paragraph" w:styleId="a9">
    <w:name w:val="Revision"/>
    <w:hidden/>
    <w:uiPriority w:val="99"/>
    <w:semiHidden/>
    <w:rsid w:val="008617D0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868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868F3"/>
  </w:style>
  <w:style w:type="paragraph" w:styleId="ac">
    <w:name w:val="footer"/>
    <w:basedOn w:val="a"/>
    <w:link w:val="ad"/>
    <w:uiPriority w:val="99"/>
    <w:unhideWhenUsed/>
    <w:rsid w:val="008868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886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E761-F5FB-499B-A167-F8FCA8D4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7319</Words>
  <Characters>4172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Огороднік</dc:creator>
  <cp:keywords/>
  <dc:description/>
  <cp:lastModifiedBy>Анна Анциферова</cp:lastModifiedBy>
  <cp:revision>2</cp:revision>
  <cp:lastPrinted>2023-12-26T12:04:00Z</cp:lastPrinted>
  <dcterms:created xsi:type="dcterms:W3CDTF">2024-09-11T08:01:00Z</dcterms:created>
  <dcterms:modified xsi:type="dcterms:W3CDTF">2024-09-11T08:01:00Z</dcterms:modified>
</cp:coreProperties>
</file>