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62CA" w:rsidRPr="00FB0736" w:rsidRDefault="00DC1500" w:rsidP="00AF426A">
      <w:pPr>
        <w:tabs>
          <w:tab w:val="left" w:pos="5670"/>
        </w:tabs>
        <w:spacing w:after="0" w:line="240" w:lineRule="auto"/>
        <w:jc w:val="center"/>
        <w:rPr>
          <w:rFonts w:ascii="Times New Roman" w:hAnsi="Times New Roman" w:cs="Times New Roman"/>
          <w:b/>
          <w:bCs/>
          <w:sz w:val="28"/>
          <w:szCs w:val="28"/>
        </w:rPr>
      </w:pPr>
      <w:r w:rsidRPr="00582376">
        <w:rPr>
          <w:rFonts w:ascii="Times New Roman" w:hAnsi="Times New Roman" w:cs="Times New Roman"/>
          <w:b/>
          <w:bCs/>
          <w:sz w:val="28"/>
          <w:szCs w:val="28"/>
        </w:rPr>
        <w:t>Аналіз впливу про</w:t>
      </w:r>
      <w:r w:rsidR="00E14F8E" w:rsidRPr="00582376">
        <w:rPr>
          <w:rFonts w:ascii="Times New Roman" w:hAnsi="Times New Roman" w:cs="Times New Roman"/>
          <w:b/>
          <w:bCs/>
          <w:sz w:val="28"/>
          <w:szCs w:val="28"/>
        </w:rPr>
        <w:t>є</w:t>
      </w:r>
      <w:r w:rsidRPr="00582376">
        <w:rPr>
          <w:rFonts w:ascii="Times New Roman" w:hAnsi="Times New Roman" w:cs="Times New Roman"/>
          <w:b/>
          <w:bCs/>
          <w:sz w:val="28"/>
          <w:szCs w:val="28"/>
        </w:rPr>
        <w:t xml:space="preserve">кту постанови </w:t>
      </w:r>
      <w:r w:rsidRPr="00FB0736">
        <w:rPr>
          <w:rFonts w:ascii="Times New Roman" w:hAnsi="Times New Roman" w:cs="Times New Roman"/>
          <w:b/>
          <w:bCs/>
          <w:sz w:val="28"/>
          <w:szCs w:val="28"/>
        </w:rPr>
        <w:t xml:space="preserve">НКРЕКП </w:t>
      </w:r>
    </w:p>
    <w:p w:rsidR="00DC1500" w:rsidRPr="00FB0736" w:rsidRDefault="002A5D1B" w:rsidP="002414C4">
      <w:pPr>
        <w:tabs>
          <w:tab w:val="left" w:pos="5670"/>
        </w:tabs>
        <w:spacing w:after="0" w:line="240" w:lineRule="auto"/>
        <w:jc w:val="center"/>
        <w:rPr>
          <w:rFonts w:ascii="Times New Roman" w:hAnsi="Times New Roman" w:cs="Times New Roman"/>
          <w:b/>
          <w:bCs/>
          <w:sz w:val="28"/>
          <w:szCs w:val="28"/>
        </w:rPr>
      </w:pPr>
      <w:r w:rsidRPr="00EA5239">
        <w:rPr>
          <w:rFonts w:ascii="Times New Roman" w:hAnsi="Times New Roman" w:cs="Times New Roman"/>
          <w:b/>
          <w:bCs/>
          <w:sz w:val="28"/>
          <w:szCs w:val="28"/>
        </w:rPr>
        <w:t>«Про внесення змін до Порядку формування ціни, за якою здійснюється постачання електричної енергії споживачам постачальником «останньої надії»</w:t>
      </w:r>
      <w:r w:rsidR="00DC1500" w:rsidRPr="00EA5239">
        <w:rPr>
          <w:rFonts w:ascii="Times New Roman" w:hAnsi="Times New Roman" w:cs="Times New Roman"/>
          <w:b/>
          <w:bCs/>
          <w:sz w:val="28"/>
          <w:szCs w:val="28"/>
        </w:rPr>
        <w:t>, що має ознаки регуляторного акта</w:t>
      </w:r>
    </w:p>
    <w:p w:rsidR="00DC1500" w:rsidRPr="002414C4" w:rsidRDefault="00DC1500" w:rsidP="002414C4">
      <w:pPr>
        <w:spacing w:after="0" w:line="240" w:lineRule="auto"/>
        <w:jc w:val="center"/>
        <w:rPr>
          <w:rFonts w:ascii="Times New Roman" w:hAnsi="Times New Roman" w:cs="Times New Roman"/>
          <w:b/>
          <w:bCs/>
          <w:sz w:val="28"/>
          <w:szCs w:val="28"/>
        </w:rPr>
      </w:pPr>
    </w:p>
    <w:p w:rsidR="00DC1500" w:rsidRPr="00FB0736" w:rsidRDefault="00DC1500" w:rsidP="002414C4">
      <w:pPr>
        <w:spacing w:after="0" w:line="240" w:lineRule="auto"/>
        <w:jc w:val="center"/>
        <w:rPr>
          <w:rFonts w:ascii="Times New Roman" w:hAnsi="Times New Roman" w:cs="Times New Roman"/>
          <w:b/>
          <w:bCs/>
          <w:sz w:val="28"/>
          <w:szCs w:val="28"/>
        </w:rPr>
      </w:pPr>
      <w:r w:rsidRPr="00FB0736">
        <w:rPr>
          <w:rFonts w:ascii="Times New Roman" w:hAnsi="Times New Roman" w:cs="Times New Roman"/>
          <w:b/>
          <w:bCs/>
          <w:sz w:val="28"/>
          <w:szCs w:val="28"/>
        </w:rPr>
        <w:t>I. Визначення проблеми</w:t>
      </w:r>
    </w:p>
    <w:p w:rsidR="00DC1500" w:rsidRPr="002414C4" w:rsidRDefault="00DC1500" w:rsidP="002414C4">
      <w:pPr>
        <w:spacing w:after="0" w:line="240" w:lineRule="auto"/>
        <w:jc w:val="center"/>
        <w:rPr>
          <w:rFonts w:ascii="Times New Roman" w:hAnsi="Times New Roman" w:cs="Times New Roman"/>
          <w:b/>
          <w:bCs/>
          <w:sz w:val="28"/>
          <w:szCs w:val="28"/>
        </w:rPr>
      </w:pPr>
    </w:p>
    <w:p w:rsidR="00542EE9" w:rsidRPr="00F04312" w:rsidRDefault="00542EE9" w:rsidP="00542EE9">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Відповідно до законів України «Про Національну комісію, що здійснює державне регулювання у сферах енергетики та комунальних послуг», «Про ринок електричної енергії» НКРЕКП здійснює державне регулювання ринку електричної енергії.</w:t>
      </w:r>
    </w:p>
    <w:p w:rsidR="00542EE9" w:rsidRPr="00F04312" w:rsidRDefault="00542EE9" w:rsidP="00542EE9">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Відповідно до норм Закону України «Про ринок електричної енергії» (далі – Закон) НКРЕКП прийнято Порядок формування ціни, за якою здійснюється постачання електричної енергії споживачам постачальником «останньої надії», затверджений постановою НКРЕКП від 05.10.2018 № 1179 (далі – Порядок), який визначає методику формування цін, за якими здійснюється постачання електричної енергії споживачам постачальником «останньої надії» (далі – ПОН).</w:t>
      </w:r>
    </w:p>
    <w:p w:rsidR="00542EE9" w:rsidRPr="00F04312" w:rsidRDefault="00542EE9" w:rsidP="00542EE9">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Згідно з пунктом 1.4 глави 1 Порядку ціна, за якою здійснюється постачання електричної енергії ПОН, включає в себе ціну купівлі електричної енергії на ринку електричної енергії, ціну (тариф) на послуги ПОН та ціну (тариф) на послуги оператора системи передачі.</w:t>
      </w:r>
    </w:p>
    <w:p w:rsidR="00542EE9" w:rsidRPr="00F04312" w:rsidRDefault="00542EE9" w:rsidP="00542EE9">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Ціна електричної енергії для споживачів ПОН на розрахунковий місяць визначається з урахуванням середньозваженої фактичної ціни електричної енергії на ринку «на добу наперед» (далі – РДН) за перші 20 днів попереднього розрахункового періоду, збільшеної на коефіцієнт, який враховує ризики від коливання цін на балансуючому ринку (далі – БР) та РДН і на сьогодні становить 1,25 відносних одиниці.</w:t>
      </w:r>
    </w:p>
    <w:p w:rsidR="00542EE9" w:rsidRPr="00F04312" w:rsidRDefault="00542EE9" w:rsidP="00542EE9">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Внаслідок масштабних обстрілів енергетичної системи України відбулось зростання вартості електричної енергії для врегулювання небалансів електричної енергії. При цьому ПОН (ДПЗД «УКРІНТЕРЕНЕРГО») через набуття статусу «Дефолтний» відповідно до Правил ринку, затверджених постановою НКРЕКП від 14.03.2018 № 307, придбаває електричну енергію для потреб власних споживачів виключно на БР.</w:t>
      </w:r>
    </w:p>
    <w:p w:rsidR="00542EE9" w:rsidRPr="00F04312" w:rsidRDefault="00542EE9" w:rsidP="00542EE9">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Крім цього, 20.05.2024 на засіданні НКРЕКП, що проходило у формі відкритого слухання (продовження засідання НКРЕКП від 17.05.2024), було прийнято постанову НКРЕКП від 20.05.2024 № 949 «Про граничні ціни на ринку «на добу наперед», внутрішньодобовому ринку та балансуючому ринку», якою змінено максимальні граничні ціни на РДН, внутрішньодобовому ринку та БР, що також вплинуло на коливання цін, зокрема на РДН та БР.</w:t>
      </w:r>
    </w:p>
    <w:p w:rsidR="00542EE9" w:rsidRPr="00F04312" w:rsidRDefault="00542EE9" w:rsidP="00542EE9">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 xml:space="preserve">До НКРЕКП листами від 20.06.2024 № 44/04-1086 та від 14.08.2024 № 44/04-1476 звернулось ДПЗД «УКРІНТЕРЕНЕРГО» з пропозицією внесення змін до Порядку в частині збільшення коефіцієнта, який враховує ризики від коливання цін на балансуючому ринку та РДН з 1,25 до 1,5. При цьому, ДПЗД «УКРІНТЕРЕНЕРГО» зазначило, що починаючи з квітня 2024 року вартість електричної енергії для врегулювання небалансів електричної енергії </w:t>
      </w:r>
      <w:r w:rsidRPr="00F04312">
        <w:rPr>
          <w:rFonts w:ascii="Times New Roman" w:hAnsi="Times New Roman" w:cs="Times New Roman"/>
          <w:sz w:val="28"/>
          <w:szCs w:val="28"/>
        </w:rPr>
        <w:lastRenderedPageBreak/>
        <w:t>перевищує середньозважену фактичну ціну електричної енергії на РДН з урахуванням діючого коефіцієнта, який враховує ризики від коливання цін на БР та РДН на рівні 1,25.</w:t>
      </w:r>
    </w:p>
    <w:p w:rsidR="00542EE9" w:rsidRPr="00F04312" w:rsidRDefault="00542EE9" w:rsidP="00542EE9">
      <w:pPr>
        <w:spacing w:after="0" w:line="240" w:lineRule="auto"/>
        <w:ind w:firstLine="709"/>
        <w:jc w:val="both"/>
        <w:rPr>
          <w:rFonts w:ascii="Times New Roman" w:hAnsi="Times New Roman" w:cs="Times New Roman"/>
          <w:sz w:val="28"/>
          <w:szCs w:val="28"/>
        </w:rPr>
      </w:pPr>
    </w:p>
    <w:p w:rsidR="00542EE9" w:rsidRPr="00F04312" w:rsidRDefault="00542EE9" w:rsidP="00542EE9">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Відповідно до частини п’ятої статті 64 Закону ціни, за якими здійснюється постачання електричної енергії ПОН, мають бути економічно обґрунтованими, прозорими та недискримінаційними і не повинні перешкоджати конкуренції на ринку електричної енергії.</w:t>
      </w:r>
    </w:p>
    <w:p w:rsidR="00DC1500" w:rsidRPr="00EA5239" w:rsidRDefault="00DC1500" w:rsidP="00542EE9">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 xml:space="preserve">З огляду на зазначене, НКРЕКП було розроблено </w:t>
      </w:r>
      <w:bookmarkStart w:id="0" w:name="_Hlk28077390"/>
      <w:r w:rsidRPr="00F04312">
        <w:rPr>
          <w:rFonts w:ascii="Times New Roman" w:hAnsi="Times New Roman" w:cs="Times New Roman"/>
          <w:sz w:val="28"/>
          <w:szCs w:val="28"/>
        </w:rPr>
        <w:t>про</w:t>
      </w:r>
      <w:r w:rsidR="000F701B" w:rsidRPr="00F04312">
        <w:rPr>
          <w:rFonts w:ascii="Times New Roman" w:hAnsi="Times New Roman" w:cs="Times New Roman"/>
          <w:sz w:val="28"/>
          <w:szCs w:val="28"/>
        </w:rPr>
        <w:t>є</w:t>
      </w:r>
      <w:r w:rsidRPr="00F04312">
        <w:rPr>
          <w:rFonts w:ascii="Times New Roman" w:hAnsi="Times New Roman" w:cs="Times New Roman"/>
          <w:sz w:val="28"/>
          <w:szCs w:val="28"/>
        </w:rPr>
        <w:t xml:space="preserve">кт </w:t>
      </w:r>
      <w:r w:rsidR="00B83ADA" w:rsidRPr="00F04312">
        <w:rPr>
          <w:rFonts w:ascii="Times New Roman" w:hAnsi="Times New Roman" w:cs="Times New Roman"/>
          <w:sz w:val="28"/>
          <w:szCs w:val="28"/>
        </w:rPr>
        <w:t>постанови</w:t>
      </w:r>
      <w:r w:rsidRPr="00F04312">
        <w:rPr>
          <w:rFonts w:ascii="Times New Roman" w:hAnsi="Times New Roman" w:cs="Times New Roman"/>
          <w:sz w:val="28"/>
          <w:szCs w:val="28"/>
        </w:rPr>
        <w:t xml:space="preserve"> НКРЕКП </w:t>
      </w:r>
      <w:r w:rsidR="00542EE9" w:rsidRPr="00F04312">
        <w:rPr>
          <w:rFonts w:ascii="Times New Roman" w:hAnsi="Times New Roman" w:cs="Times New Roman"/>
          <w:sz w:val="28"/>
          <w:szCs w:val="28"/>
        </w:rPr>
        <w:t>«Про внесення змін до Порядку формування ціни, за якою здійснюється постачання електричної енергії споживачам постачальником «останньої надії»</w:t>
      </w:r>
      <w:r w:rsidRPr="00F04312">
        <w:rPr>
          <w:rFonts w:ascii="Times New Roman" w:hAnsi="Times New Roman" w:cs="Times New Roman"/>
          <w:sz w:val="28"/>
          <w:szCs w:val="28"/>
        </w:rPr>
        <w:t xml:space="preserve"> </w:t>
      </w:r>
      <w:bookmarkEnd w:id="0"/>
      <w:r w:rsidRPr="00F04312">
        <w:rPr>
          <w:rFonts w:ascii="Times New Roman" w:hAnsi="Times New Roman" w:cs="Times New Roman"/>
          <w:sz w:val="28"/>
          <w:szCs w:val="28"/>
        </w:rPr>
        <w:t>(далі – </w:t>
      </w:r>
      <w:r w:rsidR="00542EE9" w:rsidRPr="00F04312">
        <w:rPr>
          <w:rFonts w:ascii="Times New Roman" w:hAnsi="Times New Roman" w:cs="Times New Roman"/>
          <w:sz w:val="28"/>
          <w:szCs w:val="28"/>
        </w:rPr>
        <w:t>П</w:t>
      </w:r>
      <w:r w:rsidRPr="00F04312">
        <w:rPr>
          <w:rFonts w:ascii="Times New Roman" w:hAnsi="Times New Roman" w:cs="Times New Roman"/>
          <w:sz w:val="28"/>
          <w:szCs w:val="28"/>
        </w:rPr>
        <w:t>ро</w:t>
      </w:r>
      <w:r w:rsidR="000F701B" w:rsidRPr="00F04312">
        <w:rPr>
          <w:rFonts w:ascii="Times New Roman" w:hAnsi="Times New Roman" w:cs="Times New Roman"/>
          <w:sz w:val="28"/>
          <w:szCs w:val="28"/>
        </w:rPr>
        <w:t>є</w:t>
      </w:r>
      <w:r w:rsidRPr="00F04312">
        <w:rPr>
          <w:rFonts w:ascii="Times New Roman" w:hAnsi="Times New Roman" w:cs="Times New Roman"/>
          <w:sz w:val="28"/>
          <w:szCs w:val="28"/>
        </w:rPr>
        <w:t xml:space="preserve">кт </w:t>
      </w:r>
      <w:r w:rsidR="00B83ADA" w:rsidRPr="00F04312">
        <w:rPr>
          <w:rFonts w:ascii="Times New Roman" w:hAnsi="Times New Roman" w:cs="Times New Roman"/>
          <w:sz w:val="28"/>
          <w:szCs w:val="28"/>
        </w:rPr>
        <w:t>постанови</w:t>
      </w:r>
      <w:r w:rsidRPr="00F04312">
        <w:rPr>
          <w:rFonts w:ascii="Times New Roman" w:hAnsi="Times New Roman" w:cs="Times New Roman"/>
          <w:sz w:val="28"/>
          <w:szCs w:val="28"/>
        </w:rPr>
        <w:t>)</w:t>
      </w:r>
      <w:r w:rsidR="00542EE9" w:rsidRPr="00F04312">
        <w:rPr>
          <w:rFonts w:ascii="Times New Roman" w:hAnsi="Times New Roman" w:cs="Times New Roman"/>
          <w:sz w:val="28"/>
          <w:szCs w:val="28"/>
        </w:rPr>
        <w:t>, яким визначено коефіцієнт, який враховує ризики від коливання цін на БР та РДН, на рівні 1,5 відносних одиниці</w:t>
      </w:r>
      <w:r w:rsidRPr="00F04312">
        <w:rPr>
          <w:rFonts w:ascii="Times New Roman" w:hAnsi="Times New Roman" w:cs="Times New Roman"/>
          <w:sz w:val="28"/>
          <w:szCs w:val="28"/>
        </w:rPr>
        <w:t>.</w:t>
      </w:r>
    </w:p>
    <w:p w:rsidR="006755E7" w:rsidRPr="00FB0736" w:rsidRDefault="006755E7" w:rsidP="00AE0F01">
      <w:pPr>
        <w:spacing w:after="0" w:line="240" w:lineRule="auto"/>
        <w:ind w:firstLine="709"/>
        <w:jc w:val="both"/>
        <w:rPr>
          <w:rFonts w:ascii="Times New Roman" w:hAnsi="Times New Roman" w:cs="Times New Roman"/>
          <w:sz w:val="28"/>
          <w:szCs w:val="28"/>
        </w:rPr>
      </w:pPr>
    </w:p>
    <w:p w:rsidR="00DC1500" w:rsidRPr="00FB0736" w:rsidRDefault="00DC1500" w:rsidP="00AE0F01">
      <w:pPr>
        <w:spacing w:after="0" w:line="240" w:lineRule="auto"/>
        <w:ind w:firstLine="709"/>
        <w:jc w:val="both"/>
        <w:rPr>
          <w:rFonts w:ascii="Times New Roman" w:hAnsi="Times New Roman" w:cs="Times New Roman"/>
          <w:sz w:val="28"/>
          <w:szCs w:val="28"/>
        </w:rPr>
      </w:pPr>
      <w:r w:rsidRPr="00FB0736">
        <w:rPr>
          <w:rFonts w:ascii="Times New Roman" w:hAnsi="Times New Roman" w:cs="Times New Roman"/>
          <w:sz w:val="28"/>
          <w:szCs w:val="28"/>
        </w:rPr>
        <w:t>Вплив проблеми на основні групи (підгрупи):</w:t>
      </w:r>
    </w:p>
    <w:p w:rsidR="00617164" w:rsidRPr="00FB0736" w:rsidRDefault="00617164" w:rsidP="00AE0F01">
      <w:pPr>
        <w:spacing w:after="0" w:line="240" w:lineRule="auto"/>
        <w:ind w:firstLine="709"/>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2"/>
        <w:gridCol w:w="4383"/>
        <w:gridCol w:w="1985"/>
      </w:tblGrid>
      <w:tr w:rsidR="00582376" w:rsidRPr="00FB0736" w:rsidTr="001A26D8">
        <w:trPr>
          <w:trHeight w:val="70"/>
        </w:trPr>
        <w:tc>
          <w:tcPr>
            <w:tcW w:w="3202" w:type="dxa"/>
          </w:tcPr>
          <w:p w:rsidR="00DC1500" w:rsidRPr="00FB0736" w:rsidRDefault="00DC1500" w:rsidP="001A26D8">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Групи (підгрупи)</w:t>
            </w:r>
          </w:p>
        </w:tc>
        <w:tc>
          <w:tcPr>
            <w:tcW w:w="4383" w:type="dxa"/>
            <w:vAlign w:val="center"/>
          </w:tcPr>
          <w:p w:rsidR="00DC1500" w:rsidRPr="00FB0736" w:rsidRDefault="00DC1500" w:rsidP="001A26D8">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Так</w:t>
            </w:r>
          </w:p>
        </w:tc>
        <w:tc>
          <w:tcPr>
            <w:tcW w:w="1985" w:type="dxa"/>
            <w:vAlign w:val="center"/>
          </w:tcPr>
          <w:p w:rsidR="00DC1500" w:rsidRPr="00FB0736" w:rsidRDefault="00DC1500" w:rsidP="001A26D8">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Ні</w:t>
            </w:r>
          </w:p>
        </w:tc>
      </w:tr>
      <w:tr w:rsidR="00582376" w:rsidRPr="00FB0736" w:rsidTr="001A26D8">
        <w:trPr>
          <w:trHeight w:val="70"/>
        </w:trPr>
        <w:tc>
          <w:tcPr>
            <w:tcW w:w="3202" w:type="dxa"/>
          </w:tcPr>
          <w:p w:rsidR="00DC1500" w:rsidRPr="00FB0736" w:rsidRDefault="00DC1500" w:rsidP="008F0321">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Громадяни</w:t>
            </w:r>
          </w:p>
        </w:tc>
        <w:tc>
          <w:tcPr>
            <w:tcW w:w="4383" w:type="dxa"/>
            <w:vAlign w:val="center"/>
          </w:tcPr>
          <w:p w:rsidR="00DC1500" w:rsidRPr="00FB0736" w:rsidRDefault="00DC1500" w:rsidP="008F0321">
            <w:pPr>
              <w:spacing w:after="0" w:line="240" w:lineRule="auto"/>
              <w:rPr>
                <w:rFonts w:ascii="Times New Roman" w:hAnsi="Times New Roman" w:cs="Times New Roman"/>
                <w:sz w:val="24"/>
                <w:szCs w:val="24"/>
              </w:rPr>
            </w:pPr>
          </w:p>
        </w:tc>
        <w:tc>
          <w:tcPr>
            <w:tcW w:w="1985" w:type="dxa"/>
            <w:vAlign w:val="center"/>
          </w:tcPr>
          <w:p w:rsidR="00DC1500" w:rsidRPr="00FB0736" w:rsidRDefault="00386DAD" w:rsidP="001A26D8">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Ні</w:t>
            </w:r>
          </w:p>
        </w:tc>
      </w:tr>
      <w:tr w:rsidR="00582376" w:rsidRPr="00FB0736" w:rsidTr="001A26D8">
        <w:trPr>
          <w:trHeight w:val="70"/>
        </w:trPr>
        <w:tc>
          <w:tcPr>
            <w:tcW w:w="3202" w:type="dxa"/>
          </w:tcPr>
          <w:p w:rsidR="00E26CA0" w:rsidRPr="00FB0736" w:rsidRDefault="00E26CA0" w:rsidP="00E26CA0">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Держава</w:t>
            </w:r>
          </w:p>
        </w:tc>
        <w:tc>
          <w:tcPr>
            <w:tcW w:w="4383" w:type="dxa"/>
            <w:vAlign w:val="center"/>
          </w:tcPr>
          <w:p w:rsidR="00E26CA0" w:rsidRPr="00FB0736" w:rsidRDefault="00E26CA0" w:rsidP="00E26CA0">
            <w:pPr>
              <w:spacing w:after="0" w:line="240" w:lineRule="auto"/>
              <w:rPr>
                <w:rFonts w:ascii="Times New Roman" w:hAnsi="Times New Roman" w:cs="Times New Roman"/>
                <w:sz w:val="24"/>
                <w:szCs w:val="24"/>
              </w:rPr>
            </w:pPr>
            <w:r w:rsidRPr="00FB0736">
              <w:rPr>
                <w:rFonts w:ascii="Times New Roman" w:hAnsi="Times New Roman" w:cs="Times New Roman"/>
                <w:sz w:val="24"/>
                <w:szCs w:val="24"/>
              </w:rPr>
              <w:t>Стабільне функціонування паливно-енергетичного комплексу України</w:t>
            </w:r>
          </w:p>
          <w:p w:rsidR="00E26CA0" w:rsidRPr="00FB0736" w:rsidRDefault="00E26CA0" w:rsidP="00E26CA0">
            <w:pPr>
              <w:spacing w:after="0" w:line="240" w:lineRule="auto"/>
              <w:rPr>
                <w:rFonts w:ascii="Times New Roman" w:hAnsi="Times New Roman" w:cs="Times New Roman"/>
                <w:sz w:val="24"/>
                <w:szCs w:val="24"/>
              </w:rPr>
            </w:pPr>
            <w:r w:rsidRPr="00FB0736">
              <w:rPr>
                <w:rFonts w:ascii="Times New Roman" w:hAnsi="Times New Roman" w:cs="Times New Roman"/>
                <w:sz w:val="24"/>
                <w:szCs w:val="24"/>
              </w:rPr>
              <w:t>Реалізація державної політики в сфері паливно-енергетичного комплексу України</w:t>
            </w:r>
          </w:p>
        </w:tc>
        <w:tc>
          <w:tcPr>
            <w:tcW w:w="1985" w:type="dxa"/>
            <w:vAlign w:val="center"/>
          </w:tcPr>
          <w:p w:rsidR="00E26CA0" w:rsidRPr="00FB0736" w:rsidRDefault="00E26CA0" w:rsidP="00E26CA0">
            <w:pPr>
              <w:spacing w:after="0" w:line="240" w:lineRule="auto"/>
              <w:jc w:val="center"/>
              <w:rPr>
                <w:rFonts w:ascii="Times New Roman" w:hAnsi="Times New Roman" w:cs="Times New Roman"/>
                <w:sz w:val="24"/>
                <w:szCs w:val="24"/>
              </w:rPr>
            </w:pPr>
          </w:p>
        </w:tc>
      </w:tr>
      <w:tr w:rsidR="00582376" w:rsidRPr="00FB0736" w:rsidTr="001A26D8">
        <w:trPr>
          <w:trHeight w:val="70"/>
        </w:trPr>
        <w:tc>
          <w:tcPr>
            <w:tcW w:w="3202" w:type="dxa"/>
          </w:tcPr>
          <w:p w:rsidR="00E26CA0" w:rsidRPr="00FB0736" w:rsidRDefault="00E26CA0" w:rsidP="00E26CA0">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Суб’єкти господарювання</w:t>
            </w:r>
          </w:p>
        </w:tc>
        <w:tc>
          <w:tcPr>
            <w:tcW w:w="4383" w:type="dxa"/>
            <w:vAlign w:val="center"/>
          </w:tcPr>
          <w:p w:rsidR="00E26CA0" w:rsidRPr="00FB0736" w:rsidRDefault="00985AD8" w:rsidP="00E26CA0">
            <w:pPr>
              <w:spacing w:after="0" w:line="240" w:lineRule="auto"/>
              <w:rPr>
                <w:rFonts w:ascii="Times New Roman" w:hAnsi="Times New Roman" w:cs="Times New Roman"/>
                <w:sz w:val="24"/>
                <w:szCs w:val="24"/>
              </w:rPr>
            </w:pPr>
            <w:r>
              <w:rPr>
                <w:rFonts w:ascii="Times New Roman" w:hAnsi="Times New Roman" w:cs="Times New Roman"/>
              </w:rPr>
              <w:t>Дозволить з</w:t>
            </w:r>
            <w:r w:rsidRPr="004956F0">
              <w:rPr>
                <w:rFonts w:ascii="Times New Roman" w:hAnsi="Times New Roman" w:cs="Times New Roman"/>
              </w:rPr>
              <w:t>абезпеч</w:t>
            </w:r>
            <w:r>
              <w:rPr>
                <w:rFonts w:ascii="Times New Roman" w:hAnsi="Times New Roman" w:cs="Times New Roman"/>
              </w:rPr>
              <w:t xml:space="preserve">ити </w:t>
            </w:r>
            <w:r w:rsidRPr="00985AD8">
              <w:rPr>
                <w:rFonts w:ascii="Times New Roman" w:hAnsi="Times New Roman" w:cs="Times New Roman"/>
              </w:rPr>
              <w:t>відповідн</w:t>
            </w:r>
            <w:r>
              <w:rPr>
                <w:rFonts w:ascii="Times New Roman" w:hAnsi="Times New Roman" w:cs="Times New Roman"/>
              </w:rPr>
              <w:t>і</w:t>
            </w:r>
            <w:r w:rsidRPr="00985AD8">
              <w:rPr>
                <w:rFonts w:ascii="Times New Roman" w:hAnsi="Times New Roman" w:cs="Times New Roman"/>
              </w:rPr>
              <w:t>ст</w:t>
            </w:r>
            <w:r>
              <w:rPr>
                <w:rFonts w:ascii="Times New Roman" w:hAnsi="Times New Roman" w:cs="Times New Roman"/>
              </w:rPr>
              <w:t>ь</w:t>
            </w:r>
            <w:r w:rsidRPr="00985AD8">
              <w:rPr>
                <w:rFonts w:ascii="Times New Roman" w:hAnsi="Times New Roman" w:cs="Times New Roman"/>
              </w:rPr>
              <w:t xml:space="preserve"> положень Порядку в частині розрахунку ціни, за якою здійснюється постачання електричної енергії споживачам ПОН, вимогам частини п’ятої статті 64 Закону</w:t>
            </w:r>
          </w:p>
        </w:tc>
        <w:tc>
          <w:tcPr>
            <w:tcW w:w="1985" w:type="dxa"/>
            <w:vAlign w:val="center"/>
          </w:tcPr>
          <w:p w:rsidR="00E26CA0" w:rsidRPr="00FB0736" w:rsidRDefault="00E26CA0" w:rsidP="00E26CA0">
            <w:pPr>
              <w:spacing w:after="0" w:line="240" w:lineRule="auto"/>
              <w:jc w:val="center"/>
              <w:rPr>
                <w:rFonts w:ascii="Times New Roman" w:hAnsi="Times New Roman" w:cs="Times New Roman"/>
                <w:sz w:val="24"/>
                <w:szCs w:val="24"/>
              </w:rPr>
            </w:pPr>
          </w:p>
        </w:tc>
      </w:tr>
    </w:tbl>
    <w:p w:rsidR="00DC1500" w:rsidRPr="004A2D7C" w:rsidRDefault="00DC1500" w:rsidP="00BB14E3">
      <w:pPr>
        <w:spacing w:after="0" w:line="240" w:lineRule="auto"/>
        <w:jc w:val="center"/>
        <w:rPr>
          <w:rFonts w:ascii="Times New Roman" w:hAnsi="Times New Roman" w:cs="Times New Roman"/>
          <w:b/>
          <w:bCs/>
          <w:sz w:val="20"/>
          <w:szCs w:val="28"/>
        </w:rPr>
      </w:pPr>
    </w:p>
    <w:p w:rsidR="00DC1500" w:rsidRPr="00FB0736" w:rsidRDefault="00DC1500" w:rsidP="00BB14E3">
      <w:pPr>
        <w:spacing w:after="0" w:line="240" w:lineRule="auto"/>
        <w:jc w:val="center"/>
        <w:rPr>
          <w:rFonts w:ascii="Times New Roman" w:hAnsi="Times New Roman" w:cs="Times New Roman"/>
          <w:b/>
          <w:bCs/>
          <w:sz w:val="28"/>
          <w:szCs w:val="28"/>
        </w:rPr>
      </w:pPr>
      <w:r w:rsidRPr="00FB0736">
        <w:rPr>
          <w:rFonts w:ascii="Times New Roman" w:hAnsi="Times New Roman" w:cs="Times New Roman"/>
          <w:b/>
          <w:bCs/>
          <w:sz w:val="28"/>
          <w:szCs w:val="28"/>
        </w:rPr>
        <w:t>II. Цілі державного регулювання</w:t>
      </w:r>
    </w:p>
    <w:p w:rsidR="00DC1500" w:rsidRPr="004A2D7C" w:rsidRDefault="00DC1500" w:rsidP="00BB14E3">
      <w:pPr>
        <w:spacing w:after="0" w:line="240" w:lineRule="auto"/>
        <w:jc w:val="center"/>
        <w:rPr>
          <w:rFonts w:ascii="Times New Roman" w:hAnsi="Times New Roman" w:cs="Times New Roman"/>
          <w:b/>
          <w:bCs/>
          <w:sz w:val="20"/>
          <w:szCs w:val="28"/>
        </w:rPr>
      </w:pPr>
    </w:p>
    <w:p w:rsidR="00E26CA0" w:rsidRPr="00F04312" w:rsidRDefault="00E26CA0" w:rsidP="00E26CA0">
      <w:pPr>
        <w:spacing w:after="0" w:line="240" w:lineRule="auto"/>
        <w:ind w:firstLine="709"/>
        <w:jc w:val="both"/>
        <w:rPr>
          <w:rFonts w:ascii="Times New Roman" w:hAnsi="Times New Roman" w:cs="Times New Roman"/>
          <w:sz w:val="28"/>
          <w:szCs w:val="28"/>
        </w:rPr>
      </w:pPr>
      <w:r w:rsidRPr="00F04312">
        <w:rPr>
          <w:rFonts w:ascii="Times New Roman" w:hAnsi="Times New Roman" w:cs="Times New Roman"/>
          <w:sz w:val="28"/>
          <w:szCs w:val="28"/>
        </w:rPr>
        <w:t xml:space="preserve">Метою прийняття </w:t>
      </w:r>
      <w:r w:rsidR="00C53705">
        <w:rPr>
          <w:rFonts w:ascii="Times New Roman" w:hAnsi="Times New Roman" w:cs="Times New Roman"/>
          <w:sz w:val="28"/>
          <w:szCs w:val="28"/>
        </w:rPr>
        <w:t>П</w:t>
      </w:r>
      <w:r w:rsidRPr="00F04312">
        <w:rPr>
          <w:rFonts w:ascii="Times New Roman" w:hAnsi="Times New Roman" w:cs="Times New Roman"/>
          <w:sz w:val="28"/>
          <w:szCs w:val="28"/>
        </w:rPr>
        <w:t xml:space="preserve">роєкту постанови є </w:t>
      </w:r>
      <w:r w:rsidR="0018261F" w:rsidRPr="00F04312">
        <w:rPr>
          <w:rFonts w:ascii="Times New Roman" w:hAnsi="Times New Roman" w:cs="Times New Roman"/>
          <w:sz w:val="28"/>
          <w:szCs w:val="28"/>
        </w:rPr>
        <w:t xml:space="preserve">забезпечення відповідності </w:t>
      </w:r>
      <w:r w:rsidR="004956F0" w:rsidRPr="00F04312">
        <w:rPr>
          <w:rFonts w:ascii="Times New Roman" w:hAnsi="Times New Roman" w:cs="Times New Roman"/>
          <w:sz w:val="28"/>
          <w:szCs w:val="28"/>
        </w:rPr>
        <w:t xml:space="preserve">положень Порядку в частині </w:t>
      </w:r>
      <w:r w:rsidR="0018261F" w:rsidRPr="00F04312">
        <w:rPr>
          <w:rFonts w:ascii="Times New Roman" w:hAnsi="Times New Roman" w:cs="Times New Roman"/>
          <w:sz w:val="28"/>
          <w:szCs w:val="28"/>
        </w:rPr>
        <w:t xml:space="preserve">розрахунку ціни, за якою здійснюється постачання електричної енергії споживачам ПОН, </w:t>
      </w:r>
      <w:r w:rsidR="00EC1DBC" w:rsidRPr="00F04312">
        <w:rPr>
          <w:rFonts w:ascii="Times New Roman" w:hAnsi="Times New Roman" w:cs="Times New Roman"/>
          <w:sz w:val="28"/>
          <w:szCs w:val="28"/>
        </w:rPr>
        <w:t>вимог</w:t>
      </w:r>
      <w:r w:rsidR="0018261F" w:rsidRPr="00F04312">
        <w:rPr>
          <w:rFonts w:ascii="Times New Roman" w:hAnsi="Times New Roman" w:cs="Times New Roman"/>
          <w:sz w:val="28"/>
          <w:szCs w:val="28"/>
        </w:rPr>
        <w:t>ам</w:t>
      </w:r>
      <w:r w:rsidR="00AE6D50" w:rsidRPr="00F04312">
        <w:t xml:space="preserve"> </w:t>
      </w:r>
      <w:r w:rsidR="00AE6D50" w:rsidRPr="00F04312">
        <w:rPr>
          <w:rFonts w:ascii="Times New Roman" w:hAnsi="Times New Roman" w:cs="Times New Roman"/>
          <w:sz w:val="28"/>
          <w:szCs w:val="28"/>
        </w:rPr>
        <w:t>частини п’ятої статті 64 Закону</w:t>
      </w:r>
      <w:r w:rsidR="004B7FD5" w:rsidRPr="00F04312">
        <w:rPr>
          <w:rFonts w:ascii="Times New Roman" w:hAnsi="Times New Roman" w:cs="Times New Roman"/>
          <w:sz w:val="28"/>
          <w:szCs w:val="28"/>
        </w:rPr>
        <w:t>.</w:t>
      </w:r>
    </w:p>
    <w:p w:rsidR="00C309C5" w:rsidRPr="00195DC2" w:rsidRDefault="00C309C5" w:rsidP="00E36CF3">
      <w:pPr>
        <w:spacing w:after="0" w:line="240" w:lineRule="auto"/>
        <w:ind w:firstLine="709"/>
        <w:jc w:val="both"/>
        <w:rPr>
          <w:rFonts w:ascii="Times New Roman" w:hAnsi="Times New Roman" w:cs="Times New Roman"/>
          <w:b/>
          <w:bCs/>
          <w:szCs w:val="28"/>
        </w:rPr>
      </w:pPr>
    </w:p>
    <w:p w:rsidR="00DC1500" w:rsidRPr="00F04312" w:rsidRDefault="00DC1500" w:rsidP="00BB14E3">
      <w:pPr>
        <w:spacing w:after="0" w:line="240" w:lineRule="auto"/>
        <w:ind w:firstLine="709"/>
        <w:rPr>
          <w:rFonts w:ascii="Times New Roman" w:hAnsi="Times New Roman" w:cs="Times New Roman"/>
          <w:b/>
          <w:bCs/>
          <w:sz w:val="28"/>
          <w:szCs w:val="28"/>
        </w:rPr>
      </w:pPr>
      <w:r w:rsidRPr="00F04312">
        <w:rPr>
          <w:rFonts w:ascii="Times New Roman" w:hAnsi="Times New Roman" w:cs="Times New Roman"/>
          <w:b/>
          <w:bCs/>
          <w:sz w:val="28"/>
          <w:szCs w:val="28"/>
        </w:rPr>
        <w:t>III. Визначення та оцінка альтернативних способів досягнення цілей</w:t>
      </w:r>
    </w:p>
    <w:p w:rsidR="00DC1500" w:rsidRPr="00F04312" w:rsidRDefault="00DC1500" w:rsidP="00A82585">
      <w:pPr>
        <w:spacing w:after="0" w:line="240" w:lineRule="auto"/>
        <w:ind w:firstLine="708"/>
        <w:jc w:val="both"/>
        <w:rPr>
          <w:rFonts w:ascii="Times New Roman" w:hAnsi="Times New Roman" w:cs="Times New Roman"/>
          <w:sz w:val="24"/>
          <w:szCs w:val="20"/>
        </w:rPr>
      </w:pPr>
    </w:p>
    <w:p w:rsidR="00DC1500" w:rsidRPr="00F04312" w:rsidRDefault="00DC1500" w:rsidP="003359CD">
      <w:pPr>
        <w:numPr>
          <w:ilvl w:val="0"/>
          <w:numId w:val="2"/>
        </w:numPr>
        <w:spacing w:after="0" w:line="240" w:lineRule="auto"/>
        <w:jc w:val="both"/>
        <w:rPr>
          <w:rFonts w:ascii="Times New Roman" w:hAnsi="Times New Roman" w:cs="Times New Roman"/>
          <w:sz w:val="28"/>
          <w:szCs w:val="28"/>
        </w:rPr>
      </w:pPr>
      <w:r w:rsidRPr="00F04312">
        <w:rPr>
          <w:rFonts w:ascii="Times New Roman" w:hAnsi="Times New Roman" w:cs="Times New Roman"/>
          <w:sz w:val="28"/>
          <w:szCs w:val="28"/>
        </w:rPr>
        <w:t>Визначення альтернативних способів</w:t>
      </w:r>
    </w:p>
    <w:p w:rsidR="00822490" w:rsidRPr="00195DC2" w:rsidRDefault="00822490" w:rsidP="00822490">
      <w:pPr>
        <w:spacing w:after="0" w:line="240" w:lineRule="auto"/>
        <w:ind w:left="1068"/>
        <w:jc w:val="both"/>
        <w:rPr>
          <w:rFonts w:ascii="Times New Roman" w:hAnsi="Times New Roman" w:cs="Times New Roman"/>
          <w:sz w:val="20"/>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4"/>
      </w:tblGrid>
      <w:tr w:rsidR="00582376" w:rsidRPr="00F04312">
        <w:tc>
          <w:tcPr>
            <w:tcW w:w="4786" w:type="dxa"/>
          </w:tcPr>
          <w:p w:rsidR="00DC1500" w:rsidRPr="00F04312" w:rsidRDefault="00DC1500" w:rsidP="00AE0F01">
            <w:pPr>
              <w:spacing w:before="120" w:after="120" w:line="240" w:lineRule="auto"/>
              <w:jc w:val="center"/>
              <w:rPr>
                <w:rFonts w:ascii="Times New Roman" w:hAnsi="Times New Roman" w:cs="Times New Roman"/>
                <w:sz w:val="24"/>
                <w:szCs w:val="24"/>
              </w:rPr>
            </w:pPr>
            <w:r w:rsidRPr="00F04312">
              <w:rPr>
                <w:rFonts w:ascii="Times New Roman" w:hAnsi="Times New Roman" w:cs="Times New Roman"/>
                <w:sz w:val="24"/>
                <w:szCs w:val="24"/>
              </w:rPr>
              <w:t>Вид альтернативи</w:t>
            </w:r>
          </w:p>
        </w:tc>
        <w:tc>
          <w:tcPr>
            <w:tcW w:w="4784" w:type="dxa"/>
          </w:tcPr>
          <w:p w:rsidR="00DC1500" w:rsidRPr="00F04312" w:rsidRDefault="00DC1500" w:rsidP="00AE0F01">
            <w:pPr>
              <w:spacing w:before="120" w:after="120" w:line="240" w:lineRule="auto"/>
              <w:jc w:val="center"/>
              <w:rPr>
                <w:rFonts w:ascii="Times New Roman" w:hAnsi="Times New Roman" w:cs="Times New Roman"/>
                <w:sz w:val="24"/>
                <w:szCs w:val="24"/>
              </w:rPr>
            </w:pPr>
            <w:r w:rsidRPr="00F04312">
              <w:rPr>
                <w:rFonts w:ascii="Times New Roman" w:hAnsi="Times New Roman" w:cs="Times New Roman"/>
                <w:sz w:val="24"/>
                <w:szCs w:val="24"/>
              </w:rPr>
              <w:t>Опис альтернативи</w:t>
            </w:r>
          </w:p>
        </w:tc>
      </w:tr>
      <w:tr w:rsidR="00582376" w:rsidRPr="00FB0736" w:rsidTr="00F04312">
        <w:trPr>
          <w:trHeight w:val="317"/>
        </w:trPr>
        <w:tc>
          <w:tcPr>
            <w:tcW w:w="4786" w:type="dxa"/>
            <w:shd w:val="clear" w:color="auto" w:fill="auto"/>
          </w:tcPr>
          <w:p w:rsidR="008B6E83" w:rsidRPr="00F04312" w:rsidRDefault="008B6E83" w:rsidP="008B6E83">
            <w:pPr>
              <w:spacing w:after="0" w:line="240" w:lineRule="auto"/>
              <w:rPr>
                <w:rFonts w:ascii="Times New Roman" w:hAnsi="Times New Roman" w:cs="Times New Roman"/>
                <w:sz w:val="24"/>
                <w:szCs w:val="24"/>
              </w:rPr>
            </w:pPr>
            <w:r w:rsidRPr="00F04312">
              <w:rPr>
                <w:rFonts w:ascii="Times New Roman" w:hAnsi="Times New Roman" w:cs="Times New Roman"/>
                <w:b/>
                <w:bCs/>
                <w:sz w:val="24"/>
                <w:szCs w:val="24"/>
              </w:rPr>
              <w:t>Альтернатива 1.</w:t>
            </w:r>
          </w:p>
          <w:p w:rsidR="008B6E83" w:rsidRPr="00F04312" w:rsidRDefault="008B6E83" w:rsidP="008B6E83">
            <w:pPr>
              <w:spacing w:after="0" w:line="240" w:lineRule="auto"/>
              <w:rPr>
                <w:rFonts w:ascii="Times New Roman" w:hAnsi="Times New Roman" w:cs="Times New Roman"/>
                <w:sz w:val="24"/>
                <w:szCs w:val="24"/>
              </w:rPr>
            </w:pPr>
            <w:r w:rsidRPr="00F04312">
              <w:rPr>
                <w:rFonts w:ascii="Times New Roman" w:hAnsi="Times New Roman" w:cs="Times New Roman"/>
                <w:sz w:val="24"/>
                <w:szCs w:val="24"/>
              </w:rPr>
              <w:t>Збереження чинного регулювання</w:t>
            </w:r>
          </w:p>
        </w:tc>
        <w:tc>
          <w:tcPr>
            <w:tcW w:w="4784" w:type="dxa"/>
            <w:shd w:val="clear" w:color="auto" w:fill="auto"/>
          </w:tcPr>
          <w:p w:rsidR="00484365" w:rsidRPr="00FB0736" w:rsidRDefault="008B634E" w:rsidP="008B634E">
            <w:pPr>
              <w:spacing w:after="0" w:line="240" w:lineRule="auto"/>
              <w:rPr>
                <w:rFonts w:ascii="Times New Roman" w:hAnsi="Times New Roman" w:cs="Times New Roman"/>
                <w:sz w:val="24"/>
                <w:szCs w:val="24"/>
              </w:rPr>
            </w:pPr>
            <w:r w:rsidRPr="00F04312">
              <w:rPr>
                <w:rFonts w:ascii="Times New Roman" w:hAnsi="Times New Roman" w:cs="Times New Roman"/>
                <w:sz w:val="24"/>
                <w:szCs w:val="24"/>
              </w:rPr>
              <w:t>Призв</w:t>
            </w:r>
            <w:r w:rsidR="00445E50" w:rsidRPr="00F04312">
              <w:rPr>
                <w:rFonts w:ascii="Times New Roman" w:hAnsi="Times New Roman" w:cs="Times New Roman"/>
                <w:sz w:val="24"/>
                <w:szCs w:val="24"/>
              </w:rPr>
              <w:t xml:space="preserve">одитиме до порушення вимог частини п’ятої статті 64 Закону та </w:t>
            </w:r>
            <w:r w:rsidRPr="00F04312">
              <w:rPr>
                <w:rFonts w:ascii="Times New Roman" w:hAnsi="Times New Roman" w:cs="Times New Roman"/>
                <w:sz w:val="24"/>
                <w:szCs w:val="24"/>
              </w:rPr>
              <w:t xml:space="preserve"> </w:t>
            </w:r>
            <w:r w:rsidR="00445E50" w:rsidRPr="00F04312">
              <w:rPr>
                <w:rFonts w:ascii="Times New Roman" w:hAnsi="Times New Roman" w:cs="Times New Roman"/>
                <w:sz w:val="24"/>
                <w:szCs w:val="24"/>
              </w:rPr>
              <w:t>сприятиме погіршенню</w:t>
            </w:r>
            <w:r w:rsidR="00FB0736" w:rsidRPr="00F04312">
              <w:rPr>
                <w:rFonts w:ascii="Times New Roman" w:hAnsi="Times New Roman" w:cs="Times New Roman"/>
                <w:sz w:val="24"/>
                <w:szCs w:val="24"/>
              </w:rPr>
              <w:t xml:space="preserve"> фінансового становища </w:t>
            </w:r>
            <w:r w:rsidR="00445E50" w:rsidRPr="00F04312">
              <w:rPr>
                <w:rFonts w:ascii="Times New Roman" w:hAnsi="Times New Roman" w:cs="Times New Roman"/>
                <w:sz w:val="24"/>
                <w:szCs w:val="24"/>
              </w:rPr>
              <w:t>ПОН</w:t>
            </w:r>
            <w:r w:rsidR="00FB0736" w:rsidRPr="00F04312">
              <w:rPr>
                <w:rFonts w:ascii="Times New Roman" w:hAnsi="Times New Roman" w:cs="Times New Roman"/>
                <w:sz w:val="24"/>
                <w:szCs w:val="24"/>
              </w:rPr>
              <w:t xml:space="preserve"> через </w:t>
            </w:r>
            <w:r w:rsidR="00445E50" w:rsidRPr="00F04312">
              <w:rPr>
                <w:rFonts w:ascii="Times New Roman" w:hAnsi="Times New Roman" w:cs="Times New Roman"/>
                <w:sz w:val="24"/>
                <w:szCs w:val="24"/>
              </w:rPr>
              <w:t xml:space="preserve">невідповідність цін купівлі </w:t>
            </w:r>
            <w:r w:rsidR="00EC1DBC" w:rsidRPr="00F04312">
              <w:rPr>
                <w:rFonts w:ascii="Times New Roman" w:hAnsi="Times New Roman" w:cs="Times New Roman"/>
                <w:sz w:val="24"/>
                <w:szCs w:val="24"/>
              </w:rPr>
              <w:t xml:space="preserve">на </w:t>
            </w:r>
            <w:r w:rsidR="00445E50" w:rsidRPr="00F04312">
              <w:rPr>
                <w:rFonts w:ascii="Times New Roman" w:hAnsi="Times New Roman" w:cs="Times New Roman"/>
                <w:sz w:val="24"/>
                <w:szCs w:val="24"/>
              </w:rPr>
              <w:t xml:space="preserve"> </w:t>
            </w:r>
            <w:r w:rsidR="00EC1DBC" w:rsidRPr="00F04312">
              <w:rPr>
                <w:rFonts w:ascii="Times New Roman" w:hAnsi="Times New Roman" w:cs="Times New Roman"/>
                <w:sz w:val="24"/>
                <w:szCs w:val="24"/>
              </w:rPr>
              <w:t>ринку електричної енергії</w:t>
            </w:r>
            <w:r w:rsidR="00445E50" w:rsidRPr="00F04312">
              <w:rPr>
                <w:rFonts w:ascii="Times New Roman" w:hAnsi="Times New Roman" w:cs="Times New Roman"/>
                <w:sz w:val="24"/>
                <w:szCs w:val="24"/>
              </w:rPr>
              <w:t xml:space="preserve"> цінам, за якими ПОН постачає електроенергію власним </w:t>
            </w:r>
            <w:r w:rsidR="00445E50" w:rsidRPr="00F04312">
              <w:rPr>
                <w:rFonts w:ascii="Times New Roman" w:hAnsi="Times New Roman" w:cs="Times New Roman"/>
                <w:sz w:val="24"/>
                <w:szCs w:val="24"/>
              </w:rPr>
              <w:lastRenderedPageBreak/>
              <w:t>споживачам</w:t>
            </w:r>
          </w:p>
        </w:tc>
      </w:tr>
      <w:tr w:rsidR="00582376" w:rsidRPr="008B2B3A" w:rsidTr="00DA6B59">
        <w:trPr>
          <w:trHeight w:val="317"/>
        </w:trPr>
        <w:tc>
          <w:tcPr>
            <w:tcW w:w="4786" w:type="dxa"/>
          </w:tcPr>
          <w:p w:rsidR="008B6E83" w:rsidRPr="00F04312" w:rsidRDefault="008B6E83" w:rsidP="008B6E83">
            <w:pPr>
              <w:spacing w:after="0" w:line="240" w:lineRule="auto"/>
              <w:jc w:val="both"/>
              <w:rPr>
                <w:rFonts w:ascii="Times New Roman" w:hAnsi="Times New Roman" w:cs="Times New Roman"/>
                <w:sz w:val="24"/>
                <w:szCs w:val="24"/>
              </w:rPr>
            </w:pPr>
            <w:r w:rsidRPr="00F04312">
              <w:rPr>
                <w:rFonts w:ascii="Times New Roman" w:hAnsi="Times New Roman" w:cs="Times New Roman"/>
                <w:b/>
                <w:bCs/>
                <w:sz w:val="24"/>
                <w:szCs w:val="24"/>
              </w:rPr>
              <w:lastRenderedPageBreak/>
              <w:t>Альтернатива 2.</w:t>
            </w:r>
          </w:p>
          <w:p w:rsidR="008B6E83" w:rsidRPr="00F04312" w:rsidRDefault="00A84680" w:rsidP="008B6E83">
            <w:pPr>
              <w:spacing w:after="0" w:line="240" w:lineRule="auto"/>
              <w:jc w:val="both"/>
              <w:rPr>
                <w:rFonts w:ascii="Times New Roman" w:hAnsi="Times New Roman" w:cs="Times New Roman"/>
                <w:sz w:val="24"/>
                <w:szCs w:val="24"/>
              </w:rPr>
            </w:pPr>
            <w:r w:rsidRPr="00F04312">
              <w:rPr>
                <w:rFonts w:ascii="Times New Roman" w:hAnsi="Times New Roman" w:cs="Times New Roman"/>
                <w:sz w:val="24"/>
                <w:szCs w:val="24"/>
              </w:rPr>
              <w:t>У</w:t>
            </w:r>
            <w:r w:rsidR="008B6E83" w:rsidRPr="00F04312">
              <w:rPr>
                <w:rFonts w:ascii="Times New Roman" w:hAnsi="Times New Roman" w:cs="Times New Roman"/>
                <w:sz w:val="24"/>
                <w:szCs w:val="24"/>
              </w:rPr>
              <w:t>несення змін до чинного регуляторного акта</w:t>
            </w:r>
          </w:p>
        </w:tc>
        <w:tc>
          <w:tcPr>
            <w:tcW w:w="4784" w:type="dxa"/>
          </w:tcPr>
          <w:p w:rsidR="008B6E83" w:rsidRPr="00F04312" w:rsidRDefault="00F5299B" w:rsidP="008B6E83">
            <w:pPr>
              <w:spacing w:after="0" w:line="240" w:lineRule="auto"/>
              <w:rPr>
                <w:rFonts w:ascii="Times New Roman" w:hAnsi="Times New Roman" w:cs="Times New Roman"/>
                <w:sz w:val="24"/>
                <w:szCs w:val="24"/>
              </w:rPr>
            </w:pPr>
            <w:r w:rsidRPr="00F04312">
              <w:rPr>
                <w:rFonts w:ascii="Times New Roman" w:hAnsi="Times New Roman" w:cs="Times New Roman"/>
                <w:sz w:val="24"/>
                <w:szCs w:val="24"/>
              </w:rPr>
              <w:t xml:space="preserve">Забезпечує </w:t>
            </w:r>
            <w:r w:rsidR="008B2B3A" w:rsidRPr="00F04312">
              <w:rPr>
                <w:rFonts w:ascii="Times New Roman" w:hAnsi="Times New Roman" w:cs="Times New Roman"/>
                <w:sz w:val="24"/>
                <w:szCs w:val="24"/>
              </w:rPr>
              <w:t xml:space="preserve">відповідність </w:t>
            </w:r>
            <w:r w:rsidR="009716F7" w:rsidRPr="00F04312">
              <w:rPr>
                <w:rFonts w:ascii="Times New Roman" w:hAnsi="Times New Roman" w:cs="Times New Roman"/>
                <w:sz w:val="24"/>
                <w:szCs w:val="24"/>
              </w:rPr>
              <w:t>положень Порядку в частині розрахунку ціни, за якою здійснюється постачання електричної енергії споживачам ПОН, вимогам частини п’ятої статті 64 Закону</w:t>
            </w:r>
          </w:p>
        </w:tc>
      </w:tr>
    </w:tbl>
    <w:p w:rsidR="00DC1500" w:rsidRPr="00FB0736" w:rsidRDefault="00DC1500" w:rsidP="00A82585">
      <w:pPr>
        <w:spacing w:after="0" w:line="240" w:lineRule="auto"/>
        <w:ind w:firstLine="708"/>
        <w:jc w:val="both"/>
        <w:rPr>
          <w:rFonts w:ascii="Times New Roman" w:hAnsi="Times New Roman" w:cs="Times New Roman"/>
          <w:sz w:val="28"/>
          <w:szCs w:val="28"/>
        </w:rPr>
      </w:pPr>
      <w:r w:rsidRPr="00FB0736">
        <w:rPr>
          <w:rFonts w:ascii="Times New Roman" w:hAnsi="Times New Roman" w:cs="Times New Roman"/>
          <w:sz w:val="28"/>
          <w:szCs w:val="28"/>
        </w:rPr>
        <w:t>2. Оцінка вибраних альтернативних способів досягнення цілей</w:t>
      </w:r>
    </w:p>
    <w:p w:rsidR="002418A4" w:rsidRPr="00FB0736" w:rsidRDefault="002418A4" w:rsidP="00A82585">
      <w:pPr>
        <w:spacing w:after="0" w:line="240" w:lineRule="auto"/>
        <w:ind w:firstLine="708"/>
        <w:jc w:val="both"/>
        <w:rPr>
          <w:rFonts w:ascii="Times New Roman" w:hAnsi="Times New Roman" w:cs="Times New Roman"/>
          <w:sz w:val="16"/>
          <w:szCs w:val="28"/>
        </w:rPr>
      </w:pPr>
    </w:p>
    <w:p w:rsidR="00DC1500" w:rsidRPr="00FB0736" w:rsidRDefault="00DC1500" w:rsidP="003359CD">
      <w:pPr>
        <w:pStyle w:val="aa"/>
        <w:numPr>
          <w:ilvl w:val="0"/>
          <w:numId w:val="3"/>
        </w:numPr>
        <w:spacing w:after="0" w:line="240" w:lineRule="auto"/>
        <w:jc w:val="both"/>
        <w:rPr>
          <w:rFonts w:ascii="Times New Roman" w:hAnsi="Times New Roman" w:cs="Times New Roman"/>
          <w:sz w:val="28"/>
          <w:szCs w:val="28"/>
        </w:rPr>
      </w:pPr>
      <w:r w:rsidRPr="00FB0736">
        <w:rPr>
          <w:rFonts w:ascii="Times New Roman" w:hAnsi="Times New Roman" w:cs="Times New Roman"/>
          <w:sz w:val="28"/>
          <w:szCs w:val="28"/>
        </w:rPr>
        <w:t>оцінка впливу на сферу інтересів держави:</w:t>
      </w:r>
    </w:p>
    <w:tbl>
      <w:tblPr>
        <w:tblW w:w="958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5444"/>
        <w:gridCol w:w="2353"/>
        <w:gridCol w:w="1786"/>
      </w:tblGrid>
      <w:tr w:rsidR="00582376" w:rsidRPr="00FB0736" w:rsidTr="00B83ADA">
        <w:trPr>
          <w:trHeight w:val="28"/>
        </w:trPr>
        <w:tc>
          <w:tcPr>
            <w:tcW w:w="5444" w:type="dxa"/>
          </w:tcPr>
          <w:p w:rsidR="00DC1500" w:rsidRPr="00FB0736" w:rsidRDefault="00DC1500" w:rsidP="00166C04">
            <w:pPr>
              <w:spacing w:before="120" w:after="120" w:line="260" w:lineRule="exact"/>
              <w:jc w:val="center"/>
              <w:rPr>
                <w:rFonts w:ascii="Times New Roman" w:hAnsi="Times New Roman" w:cs="Times New Roman"/>
                <w:sz w:val="24"/>
                <w:szCs w:val="24"/>
              </w:rPr>
            </w:pPr>
            <w:r w:rsidRPr="00FB0736">
              <w:rPr>
                <w:rFonts w:ascii="Times New Roman" w:hAnsi="Times New Roman" w:cs="Times New Roman"/>
                <w:sz w:val="24"/>
                <w:szCs w:val="24"/>
              </w:rPr>
              <w:t>Вид альтернативи</w:t>
            </w:r>
          </w:p>
        </w:tc>
        <w:tc>
          <w:tcPr>
            <w:tcW w:w="2353" w:type="dxa"/>
          </w:tcPr>
          <w:p w:rsidR="00DC1500" w:rsidRPr="00FB0736" w:rsidRDefault="00DC1500" w:rsidP="00166C04">
            <w:pPr>
              <w:spacing w:before="120" w:after="120" w:line="260" w:lineRule="exact"/>
              <w:jc w:val="center"/>
              <w:rPr>
                <w:rFonts w:ascii="Times New Roman" w:hAnsi="Times New Roman" w:cs="Times New Roman"/>
                <w:sz w:val="24"/>
                <w:szCs w:val="24"/>
              </w:rPr>
            </w:pPr>
            <w:r w:rsidRPr="00FB0736">
              <w:rPr>
                <w:rFonts w:ascii="Times New Roman" w:hAnsi="Times New Roman" w:cs="Times New Roman"/>
                <w:sz w:val="24"/>
                <w:szCs w:val="24"/>
              </w:rPr>
              <w:t>Вигоди</w:t>
            </w:r>
          </w:p>
        </w:tc>
        <w:tc>
          <w:tcPr>
            <w:tcW w:w="1786" w:type="dxa"/>
          </w:tcPr>
          <w:p w:rsidR="00DC1500" w:rsidRPr="00FB0736" w:rsidRDefault="00DC1500" w:rsidP="00166C04">
            <w:pPr>
              <w:spacing w:before="120" w:after="120" w:line="260" w:lineRule="exact"/>
              <w:jc w:val="center"/>
              <w:rPr>
                <w:rFonts w:ascii="Times New Roman" w:hAnsi="Times New Roman" w:cs="Times New Roman"/>
                <w:sz w:val="24"/>
                <w:szCs w:val="24"/>
              </w:rPr>
            </w:pPr>
            <w:r w:rsidRPr="00FB0736">
              <w:rPr>
                <w:rFonts w:ascii="Times New Roman" w:hAnsi="Times New Roman" w:cs="Times New Roman"/>
                <w:sz w:val="24"/>
                <w:szCs w:val="24"/>
              </w:rPr>
              <w:t>Витрати</w:t>
            </w:r>
          </w:p>
        </w:tc>
      </w:tr>
      <w:tr w:rsidR="00582376" w:rsidRPr="00FB0736" w:rsidTr="00B83ADA">
        <w:trPr>
          <w:trHeight w:val="169"/>
        </w:trPr>
        <w:tc>
          <w:tcPr>
            <w:tcW w:w="5444" w:type="dxa"/>
          </w:tcPr>
          <w:p w:rsidR="00DC1500" w:rsidRPr="00FB0736" w:rsidRDefault="00DC1500" w:rsidP="00DA6B59">
            <w:pPr>
              <w:spacing w:after="0" w:line="240" w:lineRule="auto"/>
              <w:rPr>
                <w:rFonts w:ascii="Times New Roman" w:hAnsi="Times New Roman" w:cs="Times New Roman"/>
                <w:sz w:val="24"/>
                <w:szCs w:val="24"/>
              </w:rPr>
            </w:pPr>
            <w:r w:rsidRPr="00FB0736">
              <w:rPr>
                <w:rFonts w:ascii="Times New Roman" w:hAnsi="Times New Roman" w:cs="Times New Roman"/>
                <w:b/>
                <w:bCs/>
                <w:sz w:val="24"/>
                <w:szCs w:val="24"/>
              </w:rPr>
              <w:t>Альтернатива 1.</w:t>
            </w:r>
          </w:p>
          <w:p w:rsidR="00DC1500" w:rsidRPr="00FB0736" w:rsidRDefault="00DC1500" w:rsidP="00DA6B59">
            <w:pPr>
              <w:spacing w:after="0" w:line="240" w:lineRule="auto"/>
              <w:rPr>
                <w:rFonts w:ascii="Times New Roman" w:hAnsi="Times New Roman" w:cs="Times New Roman"/>
                <w:sz w:val="24"/>
                <w:szCs w:val="24"/>
              </w:rPr>
            </w:pPr>
            <w:r w:rsidRPr="00FB0736">
              <w:rPr>
                <w:rFonts w:ascii="Times New Roman" w:hAnsi="Times New Roman" w:cs="Times New Roman"/>
                <w:sz w:val="24"/>
                <w:szCs w:val="24"/>
              </w:rPr>
              <w:t>Збереження чинного регулювання</w:t>
            </w:r>
          </w:p>
        </w:tc>
        <w:tc>
          <w:tcPr>
            <w:tcW w:w="2353" w:type="dxa"/>
          </w:tcPr>
          <w:p w:rsidR="00DC1500" w:rsidRPr="00FB0736" w:rsidRDefault="00DC1500" w:rsidP="00B83ADA">
            <w:pPr>
              <w:pStyle w:val="ab"/>
              <w:widowControl w:val="0"/>
              <w:ind w:right="360"/>
              <w:jc w:val="center"/>
              <w:rPr>
                <w:rFonts w:ascii="Times New Roman" w:hAnsi="Times New Roman"/>
                <w:b w:val="0"/>
                <w:color w:val="auto"/>
                <w:szCs w:val="24"/>
                <w:lang w:val="uk-UA"/>
              </w:rPr>
            </w:pPr>
            <w:r w:rsidRPr="00FB0736">
              <w:rPr>
                <w:rFonts w:ascii="Times New Roman" w:hAnsi="Times New Roman"/>
                <w:b w:val="0"/>
                <w:color w:val="auto"/>
                <w:szCs w:val="24"/>
                <w:lang w:val="uk-UA"/>
              </w:rPr>
              <w:t>Відсутні</w:t>
            </w:r>
          </w:p>
        </w:tc>
        <w:tc>
          <w:tcPr>
            <w:tcW w:w="1786" w:type="dxa"/>
          </w:tcPr>
          <w:p w:rsidR="00DC1500" w:rsidRPr="00FB0736" w:rsidRDefault="00E26CA0" w:rsidP="00E26CA0">
            <w:pPr>
              <w:pStyle w:val="ab"/>
              <w:widowControl w:val="0"/>
              <w:jc w:val="center"/>
              <w:rPr>
                <w:rFonts w:ascii="Times New Roman" w:hAnsi="Times New Roman"/>
                <w:b w:val="0"/>
                <w:color w:val="auto"/>
                <w:szCs w:val="24"/>
                <w:lang w:val="uk-UA"/>
              </w:rPr>
            </w:pPr>
            <w:r w:rsidRPr="00FB0736">
              <w:rPr>
                <w:rFonts w:ascii="Times New Roman" w:hAnsi="Times New Roman"/>
                <w:b w:val="0"/>
                <w:color w:val="auto"/>
                <w:szCs w:val="24"/>
                <w:lang w:val="uk-UA"/>
              </w:rPr>
              <w:t>Відсутні</w:t>
            </w:r>
          </w:p>
        </w:tc>
      </w:tr>
      <w:tr w:rsidR="00582376" w:rsidRPr="00FB0736" w:rsidTr="00B83ADA">
        <w:tc>
          <w:tcPr>
            <w:tcW w:w="5444" w:type="dxa"/>
          </w:tcPr>
          <w:p w:rsidR="00DC1500" w:rsidRPr="00FB0736" w:rsidRDefault="00DC1500" w:rsidP="00DA6B59">
            <w:pPr>
              <w:spacing w:after="0" w:line="240" w:lineRule="auto"/>
              <w:jc w:val="both"/>
              <w:rPr>
                <w:rFonts w:ascii="Times New Roman" w:hAnsi="Times New Roman" w:cs="Times New Roman"/>
                <w:sz w:val="24"/>
                <w:szCs w:val="24"/>
              </w:rPr>
            </w:pPr>
            <w:r w:rsidRPr="00FB0736">
              <w:rPr>
                <w:rFonts w:ascii="Times New Roman" w:hAnsi="Times New Roman" w:cs="Times New Roman"/>
                <w:b/>
                <w:bCs/>
                <w:sz w:val="24"/>
                <w:szCs w:val="24"/>
              </w:rPr>
              <w:t>Альтернатива 2.</w:t>
            </w:r>
          </w:p>
          <w:p w:rsidR="00DC1500" w:rsidRPr="00FB0736" w:rsidRDefault="00DC1500" w:rsidP="0069722E">
            <w:pPr>
              <w:spacing w:after="0" w:line="240" w:lineRule="auto"/>
              <w:jc w:val="both"/>
              <w:rPr>
                <w:rFonts w:ascii="Times New Roman" w:hAnsi="Times New Roman" w:cs="Times New Roman"/>
                <w:sz w:val="24"/>
                <w:szCs w:val="24"/>
              </w:rPr>
            </w:pPr>
            <w:r w:rsidRPr="00FB0736">
              <w:rPr>
                <w:rFonts w:ascii="Times New Roman" w:hAnsi="Times New Roman" w:cs="Times New Roman"/>
                <w:sz w:val="24"/>
                <w:szCs w:val="24"/>
              </w:rPr>
              <w:t>Внесення змін до чинного регуляторного акта</w:t>
            </w:r>
          </w:p>
        </w:tc>
        <w:tc>
          <w:tcPr>
            <w:tcW w:w="2353" w:type="dxa"/>
          </w:tcPr>
          <w:p w:rsidR="00DC1500" w:rsidRPr="00C61806" w:rsidRDefault="004956F0" w:rsidP="00DA6B59">
            <w:pPr>
              <w:pStyle w:val="ad"/>
              <w:spacing w:before="0" w:beforeAutospacing="0" w:after="0" w:afterAutospacing="0"/>
              <w:textAlignment w:val="baseline"/>
              <w:rPr>
                <w:rFonts w:ascii="Times New Roman" w:hAnsi="Times New Roman" w:cs="Times New Roman"/>
                <w:lang w:val="uk-UA" w:eastAsia="en-US"/>
              </w:rPr>
            </w:pPr>
            <w:r w:rsidRPr="004956F0">
              <w:rPr>
                <w:rFonts w:ascii="Times New Roman" w:hAnsi="Times New Roman" w:cs="Times New Roman"/>
                <w:lang w:val="uk-UA" w:eastAsia="en-US"/>
              </w:rPr>
              <w:t>Забезпеч</w:t>
            </w:r>
            <w:r>
              <w:rPr>
                <w:rFonts w:ascii="Times New Roman" w:hAnsi="Times New Roman" w:cs="Times New Roman"/>
                <w:lang w:val="uk-UA" w:eastAsia="en-US"/>
              </w:rPr>
              <w:t xml:space="preserve">ення </w:t>
            </w:r>
            <w:r w:rsidRPr="004956F0">
              <w:rPr>
                <w:rFonts w:ascii="Times New Roman" w:hAnsi="Times New Roman" w:cs="Times New Roman"/>
                <w:lang w:val="uk-UA" w:eastAsia="en-US"/>
              </w:rPr>
              <w:t>відповідн</w:t>
            </w:r>
            <w:r>
              <w:rPr>
                <w:rFonts w:ascii="Times New Roman" w:hAnsi="Times New Roman" w:cs="Times New Roman"/>
                <w:lang w:val="uk-UA" w:eastAsia="en-US"/>
              </w:rPr>
              <w:t>о</w:t>
            </w:r>
            <w:r w:rsidRPr="004956F0">
              <w:rPr>
                <w:rFonts w:ascii="Times New Roman" w:hAnsi="Times New Roman" w:cs="Times New Roman"/>
                <w:lang w:val="uk-UA" w:eastAsia="en-US"/>
              </w:rPr>
              <w:t>ст</w:t>
            </w:r>
            <w:r>
              <w:rPr>
                <w:rFonts w:ascii="Times New Roman" w:hAnsi="Times New Roman" w:cs="Times New Roman"/>
                <w:lang w:val="uk-UA" w:eastAsia="en-US"/>
              </w:rPr>
              <w:t>і</w:t>
            </w:r>
            <w:r w:rsidRPr="004956F0">
              <w:rPr>
                <w:rFonts w:ascii="Times New Roman" w:hAnsi="Times New Roman" w:cs="Times New Roman"/>
                <w:lang w:val="uk-UA" w:eastAsia="en-US"/>
              </w:rPr>
              <w:t xml:space="preserve"> положень Порядку вимогам частини п’ятої статті 64 Закону</w:t>
            </w:r>
          </w:p>
        </w:tc>
        <w:tc>
          <w:tcPr>
            <w:tcW w:w="1786" w:type="dxa"/>
          </w:tcPr>
          <w:p w:rsidR="00DC1500" w:rsidRPr="00FB0736" w:rsidRDefault="00DC1500" w:rsidP="00E26CA0">
            <w:pPr>
              <w:pStyle w:val="ab"/>
              <w:widowControl w:val="0"/>
              <w:jc w:val="center"/>
              <w:rPr>
                <w:rFonts w:ascii="Times New Roman" w:hAnsi="Times New Roman"/>
                <w:b w:val="0"/>
                <w:color w:val="auto"/>
                <w:szCs w:val="24"/>
                <w:lang w:val="uk-UA"/>
              </w:rPr>
            </w:pPr>
            <w:r w:rsidRPr="00FB0736">
              <w:rPr>
                <w:rFonts w:ascii="Times New Roman" w:hAnsi="Times New Roman"/>
                <w:b w:val="0"/>
                <w:color w:val="auto"/>
                <w:szCs w:val="24"/>
                <w:lang w:val="uk-UA"/>
              </w:rPr>
              <w:t>Відсутні</w:t>
            </w:r>
          </w:p>
        </w:tc>
      </w:tr>
    </w:tbl>
    <w:p w:rsidR="00DC1500" w:rsidRPr="00FB0736" w:rsidRDefault="00DC1500" w:rsidP="0069722E">
      <w:pPr>
        <w:spacing w:after="0" w:line="240" w:lineRule="auto"/>
        <w:ind w:firstLine="709"/>
        <w:jc w:val="both"/>
        <w:rPr>
          <w:rFonts w:ascii="Times New Roman" w:hAnsi="Times New Roman" w:cs="Times New Roman"/>
          <w:sz w:val="20"/>
          <w:szCs w:val="28"/>
        </w:rPr>
      </w:pPr>
    </w:p>
    <w:p w:rsidR="00DC1500" w:rsidRPr="00FB0736" w:rsidRDefault="00DC1500" w:rsidP="0069722E">
      <w:pPr>
        <w:spacing w:after="0" w:line="240" w:lineRule="auto"/>
        <w:ind w:firstLine="709"/>
        <w:jc w:val="both"/>
        <w:rPr>
          <w:rFonts w:ascii="Times New Roman" w:hAnsi="Times New Roman" w:cs="Times New Roman"/>
          <w:sz w:val="28"/>
          <w:szCs w:val="28"/>
        </w:rPr>
      </w:pPr>
      <w:r w:rsidRPr="00FB0736">
        <w:rPr>
          <w:rFonts w:ascii="Times New Roman" w:hAnsi="Times New Roman" w:cs="Times New Roman"/>
          <w:sz w:val="28"/>
          <w:szCs w:val="28"/>
        </w:rPr>
        <w:t>2) оцінка впливу на сферу інтересів громадян: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3"/>
        <w:gridCol w:w="1984"/>
        <w:gridCol w:w="1843"/>
      </w:tblGrid>
      <w:tr w:rsidR="00582376" w:rsidRPr="00FB0736" w:rsidTr="001C614E">
        <w:tc>
          <w:tcPr>
            <w:tcW w:w="5743" w:type="dxa"/>
          </w:tcPr>
          <w:p w:rsidR="00DC1500" w:rsidRPr="00FB0736" w:rsidRDefault="00DC1500" w:rsidP="00102EE6">
            <w:pPr>
              <w:spacing w:before="60" w:after="60" w:line="240" w:lineRule="auto"/>
              <w:jc w:val="center"/>
              <w:rPr>
                <w:rFonts w:ascii="Times New Roman" w:hAnsi="Times New Roman" w:cs="Times New Roman"/>
                <w:sz w:val="24"/>
                <w:szCs w:val="24"/>
              </w:rPr>
            </w:pPr>
            <w:r w:rsidRPr="00FB0736">
              <w:rPr>
                <w:rFonts w:ascii="Times New Roman" w:hAnsi="Times New Roman" w:cs="Times New Roman"/>
                <w:sz w:val="24"/>
                <w:szCs w:val="24"/>
              </w:rPr>
              <w:t>Вид альтернативи</w:t>
            </w:r>
          </w:p>
        </w:tc>
        <w:tc>
          <w:tcPr>
            <w:tcW w:w="1984" w:type="dxa"/>
          </w:tcPr>
          <w:p w:rsidR="00DC1500" w:rsidRPr="00FB0736" w:rsidRDefault="00DC1500" w:rsidP="00102EE6">
            <w:pPr>
              <w:spacing w:before="60" w:after="60" w:line="240" w:lineRule="auto"/>
              <w:jc w:val="center"/>
              <w:rPr>
                <w:rFonts w:ascii="Times New Roman" w:hAnsi="Times New Roman" w:cs="Times New Roman"/>
                <w:sz w:val="24"/>
                <w:szCs w:val="24"/>
              </w:rPr>
            </w:pPr>
            <w:r w:rsidRPr="00FB0736">
              <w:rPr>
                <w:rFonts w:ascii="Times New Roman" w:hAnsi="Times New Roman" w:cs="Times New Roman"/>
                <w:sz w:val="24"/>
                <w:szCs w:val="24"/>
              </w:rPr>
              <w:t>Вигоди</w:t>
            </w:r>
          </w:p>
        </w:tc>
        <w:tc>
          <w:tcPr>
            <w:tcW w:w="1843" w:type="dxa"/>
          </w:tcPr>
          <w:p w:rsidR="00DC1500" w:rsidRPr="00FB0736" w:rsidRDefault="00DC1500" w:rsidP="00102EE6">
            <w:pPr>
              <w:spacing w:before="60" w:after="60" w:line="240" w:lineRule="auto"/>
              <w:jc w:val="center"/>
              <w:rPr>
                <w:rFonts w:ascii="Times New Roman" w:hAnsi="Times New Roman" w:cs="Times New Roman"/>
                <w:sz w:val="24"/>
                <w:szCs w:val="24"/>
              </w:rPr>
            </w:pPr>
            <w:r w:rsidRPr="00FB0736">
              <w:rPr>
                <w:rFonts w:ascii="Times New Roman" w:hAnsi="Times New Roman" w:cs="Times New Roman"/>
                <w:sz w:val="24"/>
                <w:szCs w:val="24"/>
              </w:rPr>
              <w:t>Витрати</w:t>
            </w:r>
          </w:p>
        </w:tc>
      </w:tr>
      <w:tr w:rsidR="00582376" w:rsidRPr="00FB0736" w:rsidTr="001C614E">
        <w:tc>
          <w:tcPr>
            <w:tcW w:w="5743" w:type="dxa"/>
          </w:tcPr>
          <w:p w:rsidR="00DC1500" w:rsidRPr="00FB0736" w:rsidRDefault="00DC1500" w:rsidP="00DA6B59">
            <w:pPr>
              <w:spacing w:before="40" w:after="40" w:line="240" w:lineRule="auto"/>
              <w:rPr>
                <w:rFonts w:ascii="Times New Roman" w:hAnsi="Times New Roman" w:cs="Times New Roman"/>
                <w:sz w:val="24"/>
                <w:szCs w:val="24"/>
              </w:rPr>
            </w:pPr>
            <w:r w:rsidRPr="00FB0736">
              <w:rPr>
                <w:rFonts w:ascii="Times New Roman" w:hAnsi="Times New Roman" w:cs="Times New Roman"/>
                <w:b/>
                <w:bCs/>
                <w:sz w:val="24"/>
                <w:szCs w:val="24"/>
              </w:rPr>
              <w:t>Альтернатива 1.</w:t>
            </w:r>
          </w:p>
          <w:p w:rsidR="00DC1500" w:rsidRPr="00FB0736" w:rsidRDefault="00DC1500" w:rsidP="00DA6B59">
            <w:pPr>
              <w:spacing w:before="40" w:after="40" w:line="240" w:lineRule="auto"/>
              <w:rPr>
                <w:rFonts w:ascii="Times New Roman" w:hAnsi="Times New Roman" w:cs="Times New Roman"/>
                <w:sz w:val="24"/>
                <w:szCs w:val="24"/>
              </w:rPr>
            </w:pPr>
            <w:r w:rsidRPr="00FB0736">
              <w:rPr>
                <w:rFonts w:ascii="Times New Roman" w:hAnsi="Times New Roman" w:cs="Times New Roman"/>
                <w:sz w:val="24"/>
                <w:szCs w:val="24"/>
              </w:rPr>
              <w:t>Збереження чинного регулювання</w:t>
            </w:r>
          </w:p>
        </w:tc>
        <w:tc>
          <w:tcPr>
            <w:tcW w:w="1984" w:type="dxa"/>
          </w:tcPr>
          <w:p w:rsidR="00DC1500" w:rsidRPr="00FB0736" w:rsidRDefault="00DC1500" w:rsidP="00166C04">
            <w:pPr>
              <w:pStyle w:val="ab"/>
              <w:widowControl w:val="0"/>
              <w:spacing w:before="40" w:after="40"/>
              <w:jc w:val="center"/>
              <w:rPr>
                <w:rFonts w:ascii="Times New Roman" w:hAnsi="Times New Roman"/>
                <w:b w:val="0"/>
                <w:color w:val="auto"/>
                <w:szCs w:val="24"/>
                <w:lang w:val="uk-UA"/>
              </w:rPr>
            </w:pPr>
            <w:r w:rsidRPr="00FB0736">
              <w:rPr>
                <w:rFonts w:ascii="Times New Roman" w:hAnsi="Times New Roman"/>
                <w:b w:val="0"/>
                <w:color w:val="auto"/>
                <w:szCs w:val="24"/>
                <w:lang w:val="uk-UA"/>
              </w:rPr>
              <w:t>Відсутні</w:t>
            </w:r>
          </w:p>
        </w:tc>
        <w:tc>
          <w:tcPr>
            <w:tcW w:w="1843" w:type="dxa"/>
          </w:tcPr>
          <w:p w:rsidR="00DC1500" w:rsidRPr="00FB0736" w:rsidRDefault="00DC1500" w:rsidP="00166C04">
            <w:pPr>
              <w:pStyle w:val="ab"/>
              <w:widowControl w:val="0"/>
              <w:spacing w:before="40" w:after="40"/>
              <w:jc w:val="center"/>
              <w:rPr>
                <w:rFonts w:ascii="Times New Roman" w:hAnsi="Times New Roman"/>
                <w:b w:val="0"/>
                <w:color w:val="auto"/>
                <w:szCs w:val="24"/>
                <w:lang w:val="uk-UA"/>
              </w:rPr>
            </w:pPr>
            <w:r w:rsidRPr="00FB0736">
              <w:rPr>
                <w:rFonts w:ascii="Times New Roman" w:hAnsi="Times New Roman"/>
                <w:b w:val="0"/>
                <w:color w:val="auto"/>
                <w:szCs w:val="24"/>
                <w:lang w:val="uk-UA"/>
              </w:rPr>
              <w:t>Відсутні</w:t>
            </w:r>
          </w:p>
        </w:tc>
      </w:tr>
      <w:tr w:rsidR="00582376" w:rsidRPr="00FB0736" w:rsidTr="001C614E">
        <w:tc>
          <w:tcPr>
            <w:tcW w:w="5743" w:type="dxa"/>
          </w:tcPr>
          <w:p w:rsidR="00DC1500" w:rsidRPr="00FB0736" w:rsidRDefault="00DC1500" w:rsidP="00DA6B59">
            <w:pPr>
              <w:spacing w:after="0" w:line="240" w:lineRule="auto"/>
              <w:jc w:val="both"/>
              <w:rPr>
                <w:rFonts w:ascii="Times New Roman" w:hAnsi="Times New Roman" w:cs="Times New Roman"/>
                <w:sz w:val="24"/>
                <w:szCs w:val="24"/>
              </w:rPr>
            </w:pPr>
            <w:r w:rsidRPr="00FB0736">
              <w:rPr>
                <w:rFonts w:ascii="Times New Roman" w:hAnsi="Times New Roman" w:cs="Times New Roman"/>
                <w:b/>
                <w:bCs/>
                <w:sz w:val="24"/>
                <w:szCs w:val="24"/>
              </w:rPr>
              <w:t>Альтернатива 2.</w:t>
            </w:r>
          </w:p>
          <w:p w:rsidR="00DC1500" w:rsidRPr="00FB0736" w:rsidRDefault="00DC1500" w:rsidP="0069722E">
            <w:pPr>
              <w:spacing w:after="0" w:line="240" w:lineRule="auto"/>
              <w:jc w:val="both"/>
              <w:rPr>
                <w:rFonts w:ascii="Times New Roman" w:hAnsi="Times New Roman" w:cs="Times New Roman"/>
                <w:sz w:val="24"/>
                <w:szCs w:val="24"/>
              </w:rPr>
            </w:pPr>
            <w:r w:rsidRPr="00FB0736">
              <w:rPr>
                <w:rFonts w:ascii="Times New Roman" w:hAnsi="Times New Roman" w:cs="Times New Roman"/>
                <w:sz w:val="24"/>
                <w:szCs w:val="24"/>
              </w:rPr>
              <w:t>Внесення змін до чинного регуляторного акта</w:t>
            </w:r>
          </w:p>
        </w:tc>
        <w:tc>
          <w:tcPr>
            <w:tcW w:w="1984" w:type="dxa"/>
          </w:tcPr>
          <w:p w:rsidR="00DC1500" w:rsidRPr="00FB0736" w:rsidRDefault="00DC1500" w:rsidP="00166C04">
            <w:pPr>
              <w:pStyle w:val="ab"/>
              <w:widowControl w:val="0"/>
              <w:jc w:val="center"/>
              <w:rPr>
                <w:rFonts w:ascii="Times New Roman" w:hAnsi="Times New Roman"/>
                <w:b w:val="0"/>
                <w:color w:val="auto"/>
                <w:szCs w:val="24"/>
                <w:lang w:val="uk-UA"/>
              </w:rPr>
            </w:pPr>
            <w:r w:rsidRPr="00FB0736">
              <w:rPr>
                <w:rFonts w:ascii="Times New Roman" w:hAnsi="Times New Roman"/>
                <w:b w:val="0"/>
                <w:color w:val="auto"/>
                <w:szCs w:val="24"/>
                <w:lang w:val="uk-UA"/>
              </w:rPr>
              <w:t>Відсутні</w:t>
            </w:r>
          </w:p>
        </w:tc>
        <w:tc>
          <w:tcPr>
            <w:tcW w:w="1843" w:type="dxa"/>
          </w:tcPr>
          <w:p w:rsidR="00DC1500" w:rsidRPr="00FB0736" w:rsidRDefault="00DC1500" w:rsidP="00166C04">
            <w:pPr>
              <w:pStyle w:val="ab"/>
              <w:widowControl w:val="0"/>
              <w:jc w:val="center"/>
              <w:rPr>
                <w:rFonts w:ascii="Times New Roman" w:hAnsi="Times New Roman"/>
                <w:b w:val="0"/>
                <w:color w:val="auto"/>
                <w:szCs w:val="24"/>
                <w:lang w:val="uk-UA"/>
              </w:rPr>
            </w:pPr>
            <w:r w:rsidRPr="00FB0736">
              <w:rPr>
                <w:rFonts w:ascii="Times New Roman" w:hAnsi="Times New Roman"/>
                <w:b w:val="0"/>
                <w:color w:val="auto"/>
                <w:szCs w:val="24"/>
                <w:lang w:val="uk-UA"/>
              </w:rPr>
              <w:t>Відсутні</w:t>
            </w:r>
          </w:p>
        </w:tc>
      </w:tr>
    </w:tbl>
    <w:p w:rsidR="00DC1500" w:rsidRPr="00FB0736" w:rsidRDefault="00DC1500" w:rsidP="0069722E">
      <w:pPr>
        <w:spacing w:after="0" w:line="240" w:lineRule="auto"/>
        <w:ind w:firstLine="709"/>
        <w:jc w:val="both"/>
        <w:rPr>
          <w:rFonts w:ascii="Times New Roman" w:hAnsi="Times New Roman" w:cs="Times New Roman"/>
          <w:sz w:val="20"/>
          <w:szCs w:val="28"/>
        </w:rPr>
      </w:pPr>
    </w:p>
    <w:p w:rsidR="00DC1500" w:rsidRPr="00FB0736" w:rsidRDefault="00DC1500" w:rsidP="0069722E">
      <w:pPr>
        <w:spacing w:after="0" w:line="240" w:lineRule="auto"/>
        <w:ind w:firstLine="709"/>
        <w:jc w:val="both"/>
        <w:rPr>
          <w:rFonts w:ascii="Times New Roman" w:hAnsi="Times New Roman" w:cs="Times New Roman"/>
          <w:sz w:val="28"/>
          <w:szCs w:val="28"/>
        </w:rPr>
      </w:pPr>
      <w:r w:rsidRPr="00FB0736">
        <w:rPr>
          <w:rFonts w:ascii="Times New Roman" w:hAnsi="Times New Roman" w:cs="Times New Roman"/>
          <w:sz w:val="28"/>
          <w:szCs w:val="28"/>
        </w:rPr>
        <w:t>3) оцінка впливу на сферу інтересів суб’єктів господарювання: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991"/>
        <w:gridCol w:w="2835"/>
        <w:gridCol w:w="2835"/>
      </w:tblGrid>
      <w:tr w:rsidR="00582376" w:rsidRPr="00FB0736" w:rsidTr="00B71219">
        <w:trPr>
          <w:trHeight w:val="28"/>
        </w:trPr>
        <w:tc>
          <w:tcPr>
            <w:tcW w:w="3991" w:type="dxa"/>
          </w:tcPr>
          <w:p w:rsidR="00DC1500" w:rsidRPr="00FB0736" w:rsidRDefault="00DC1500" w:rsidP="00102EE6">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Вид альтернативи</w:t>
            </w:r>
          </w:p>
        </w:tc>
        <w:tc>
          <w:tcPr>
            <w:tcW w:w="2835" w:type="dxa"/>
          </w:tcPr>
          <w:p w:rsidR="00DC1500" w:rsidRPr="00FB0736" w:rsidRDefault="00DC1500" w:rsidP="00102EE6">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Вигоди</w:t>
            </w:r>
          </w:p>
        </w:tc>
        <w:tc>
          <w:tcPr>
            <w:tcW w:w="2835" w:type="dxa"/>
          </w:tcPr>
          <w:p w:rsidR="00DC1500" w:rsidRPr="00FB0736" w:rsidRDefault="00DC1500" w:rsidP="00102EE6">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Витрати</w:t>
            </w:r>
          </w:p>
        </w:tc>
      </w:tr>
      <w:tr w:rsidR="00582376" w:rsidRPr="00FB0736" w:rsidTr="00B71219">
        <w:tc>
          <w:tcPr>
            <w:tcW w:w="3991" w:type="dxa"/>
          </w:tcPr>
          <w:p w:rsidR="00DC1500" w:rsidRPr="00FB0736" w:rsidRDefault="00DC1500" w:rsidP="00DA6B59">
            <w:pPr>
              <w:spacing w:after="0" w:line="240" w:lineRule="auto"/>
              <w:rPr>
                <w:rFonts w:ascii="Times New Roman" w:hAnsi="Times New Roman" w:cs="Times New Roman"/>
                <w:sz w:val="24"/>
                <w:szCs w:val="24"/>
              </w:rPr>
            </w:pPr>
            <w:r w:rsidRPr="00FB0736">
              <w:rPr>
                <w:rFonts w:ascii="Times New Roman" w:hAnsi="Times New Roman" w:cs="Times New Roman"/>
                <w:b/>
                <w:bCs/>
                <w:sz w:val="24"/>
                <w:szCs w:val="24"/>
              </w:rPr>
              <w:t>Альтернатива 1.</w:t>
            </w:r>
          </w:p>
          <w:p w:rsidR="00DC1500" w:rsidRPr="00FB0736" w:rsidRDefault="00DC1500" w:rsidP="00DA6B59">
            <w:pPr>
              <w:spacing w:after="0" w:line="240" w:lineRule="auto"/>
              <w:rPr>
                <w:rFonts w:ascii="Times New Roman" w:hAnsi="Times New Roman" w:cs="Times New Roman"/>
                <w:sz w:val="24"/>
                <w:szCs w:val="24"/>
              </w:rPr>
            </w:pPr>
            <w:r w:rsidRPr="00FB0736">
              <w:rPr>
                <w:rFonts w:ascii="Times New Roman" w:hAnsi="Times New Roman" w:cs="Times New Roman"/>
                <w:sz w:val="24"/>
                <w:szCs w:val="24"/>
              </w:rPr>
              <w:t>Збереження чинного регулювання</w:t>
            </w:r>
          </w:p>
        </w:tc>
        <w:tc>
          <w:tcPr>
            <w:tcW w:w="2835" w:type="dxa"/>
          </w:tcPr>
          <w:p w:rsidR="00DC1500" w:rsidRPr="00F04312" w:rsidRDefault="003664D1" w:rsidP="00E26CA0">
            <w:pPr>
              <w:pStyle w:val="ad"/>
              <w:spacing w:before="0" w:beforeAutospacing="0" w:after="0" w:afterAutospacing="0"/>
              <w:jc w:val="center"/>
              <w:textAlignment w:val="baseline"/>
              <w:rPr>
                <w:rFonts w:ascii="Times New Roman" w:hAnsi="Times New Roman" w:cs="Times New Roman"/>
                <w:lang w:val="uk-UA" w:eastAsia="en-US"/>
              </w:rPr>
            </w:pPr>
            <w:r w:rsidRPr="00F04312">
              <w:rPr>
                <w:rFonts w:ascii="Times New Roman" w:hAnsi="Times New Roman"/>
                <w:lang w:val="uk-UA"/>
              </w:rPr>
              <w:t>Відсутні</w:t>
            </w:r>
          </w:p>
        </w:tc>
        <w:tc>
          <w:tcPr>
            <w:tcW w:w="2835" w:type="dxa"/>
          </w:tcPr>
          <w:p w:rsidR="00DC1500" w:rsidRPr="00F04312" w:rsidRDefault="00E96385" w:rsidP="00166C04">
            <w:pPr>
              <w:pStyle w:val="ad"/>
              <w:spacing w:before="0" w:beforeAutospacing="0" w:after="0" w:afterAutospacing="0"/>
              <w:textAlignment w:val="baseline"/>
              <w:rPr>
                <w:rFonts w:ascii="Times New Roman" w:hAnsi="Times New Roman" w:cs="Times New Roman"/>
                <w:lang w:val="uk-UA"/>
              </w:rPr>
            </w:pPr>
            <w:r w:rsidRPr="00F04312">
              <w:rPr>
                <w:rFonts w:ascii="Times New Roman" w:hAnsi="Times New Roman" w:cs="Times New Roman"/>
                <w:lang w:val="uk-UA"/>
              </w:rPr>
              <w:t>Погіршення фінансового становища ПОН через невідповідність цін купівлі на ринку електричної енергії цінам, за якими ПОН постачає електроенергію власним споживачам</w:t>
            </w:r>
          </w:p>
        </w:tc>
      </w:tr>
      <w:tr w:rsidR="00582376" w:rsidRPr="00FB0736" w:rsidTr="00B71219">
        <w:tc>
          <w:tcPr>
            <w:tcW w:w="3991" w:type="dxa"/>
          </w:tcPr>
          <w:p w:rsidR="00DC1500" w:rsidRPr="00FB0736" w:rsidRDefault="00DC1500" w:rsidP="00DA6B59">
            <w:pPr>
              <w:spacing w:after="0" w:line="240" w:lineRule="auto"/>
              <w:jc w:val="both"/>
              <w:rPr>
                <w:rFonts w:ascii="Times New Roman" w:hAnsi="Times New Roman" w:cs="Times New Roman"/>
                <w:sz w:val="24"/>
                <w:szCs w:val="24"/>
              </w:rPr>
            </w:pPr>
            <w:r w:rsidRPr="00FB0736">
              <w:rPr>
                <w:rFonts w:ascii="Times New Roman" w:hAnsi="Times New Roman" w:cs="Times New Roman"/>
                <w:b/>
                <w:bCs/>
                <w:sz w:val="24"/>
                <w:szCs w:val="24"/>
              </w:rPr>
              <w:t>Альтернатива 2.</w:t>
            </w:r>
          </w:p>
          <w:p w:rsidR="00DC1500" w:rsidRPr="00FB0736" w:rsidRDefault="00DC1500" w:rsidP="00334726">
            <w:pPr>
              <w:spacing w:after="0" w:line="240" w:lineRule="auto"/>
              <w:jc w:val="both"/>
              <w:rPr>
                <w:rFonts w:ascii="Times New Roman" w:hAnsi="Times New Roman" w:cs="Times New Roman"/>
                <w:sz w:val="24"/>
                <w:szCs w:val="24"/>
              </w:rPr>
            </w:pPr>
            <w:r w:rsidRPr="00FB0736">
              <w:rPr>
                <w:rFonts w:ascii="Times New Roman" w:hAnsi="Times New Roman" w:cs="Times New Roman"/>
                <w:sz w:val="24"/>
                <w:szCs w:val="24"/>
              </w:rPr>
              <w:t>Внесення змін до чинного регуляторного акта</w:t>
            </w:r>
          </w:p>
        </w:tc>
        <w:tc>
          <w:tcPr>
            <w:tcW w:w="2835" w:type="dxa"/>
          </w:tcPr>
          <w:p w:rsidR="00380389" w:rsidRPr="00F04312" w:rsidRDefault="00E26CA0" w:rsidP="001236C0">
            <w:pPr>
              <w:spacing w:after="0" w:line="240" w:lineRule="auto"/>
              <w:jc w:val="both"/>
              <w:rPr>
                <w:rFonts w:ascii="Times New Roman" w:hAnsi="Times New Roman" w:cs="Times New Roman"/>
                <w:sz w:val="24"/>
                <w:szCs w:val="24"/>
              </w:rPr>
            </w:pPr>
            <w:r w:rsidRPr="00F04312">
              <w:rPr>
                <w:rFonts w:ascii="Times New Roman" w:hAnsi="Times New Roman" w:cs="Times New Roman"/>
                <w:sz w:val="24"/>
                <w:szCs w:val="24"/>
              </w:rPr>
              <w:t xml:space="preserve">Дозволяє </w:t>
            </w:r>
            <w:r w:rsidR="00250EF6" w:rsidRPr="00F04312">
              <w:rPr>
                <w:rFonts w:ascii="Times New Roman" w:hAnsi="Times New Roman" w:cs="Times New Roman"/>
              </w:rPr>
              <w:t>забезпечити відповідність положень Порядку в частині розрахунку ціни, за якою здійснюється постачання електричної енергії споживачам ПОН, вимогам частини п’ятої статті 64 Закону</w:t>
            </w:r>
          </w:p>
        </w:tc>
        <w:tc>
          <w:tcPr>
            <w:tcW w:w="2835" w:type="dxa"/>
          </w:tcPr>
          <w:p w:rsidR="00DC1500" w:rsidRPr="00F04312" w:rsidRDefault="00DC1500" w:rsidP="00E26CA0">
            <w:pPr>
              <w:pStyle w:val="ad"/>
              <w:spacing w:before="0" w:beforeAutospacing="0" w:after="0" w:afterAutospacing="0"/>
              <w:jc w:val="center"/>
              <w:textAlignment w:val="baseline"/>
              <w:rPr>
                <w:rFonts w:ascii="Times New Roman" w:hAnsi="Times New Roman" w:cs="Times New Roman"/>
                <w:lang w:val="uk-UA"/>
              </w:rPr>
            </w:pPr>
            <w:r w:rsidRPr="00F04312">
              <w:rPr>
                <w:rFonts w:ascii="Times New Roman" w:hAnsi="Times New Roman" w:cs="Times New Roman"/>
                <w:lang w:val="uk-UA"/>
              </w:rPr>
              <w:t>Відсутні</w:t>
            </w:r>
          </w:p>
        </w:tc>
      </w:tr>
    </w:tbl>
    <w:p w:rsidR="00DC1500" w:rsidRPr="00FB0736" w:rsidRDefault="00DC1500" w:rsidP="00621A84">
      <w:pPr>
        <w:widowControl w:val="0"/>
        <w:spacing w:after="0" w:line="240" w:lineRule="auto"/>
        <w:jc w:val="center"/>
        <w:rPr>
          <w:rFonts w:ascii="Times New Roman" w:hAnsi="Times New Roman" w:cs="Times New Roman"/>
          <w:b/>
          <w:bCs/>
          <w:sz w:val="20"/>
          <w:szCs w:val="28"/>
        </w:rPr>
      </w:pPr>
    </w:p>
    <w:p w:rsidR="00250EF6" w:rsidRDefault="00250EF6" w:rsidP="00621A84">
      <w:pPr>
        <w:widowControl w:val="0"/>
        <w:spacing w:after="0" w:line="240" w:lineRule="auto"/>
        <w:jc w:val="center"/>
        <w:rPr>
          <w:rFonts w:ascii="Times New Roman" w:hAnsi="Times New Roman" w:cs="Times New Roman"/>
          <w:b/>
          <w:bCs/>
          <w:sz w:val="28"/>
          <w:szCs w:val="28"/>
        </w:rPr>
      </w:pPr>
    </w:p>
    <w:p w:rsidR="00D22D0A" w:rsidRDefault="00D22D0A" w:rsidP="00621A84">
      <w:pPr>
        <w:widowControl w:val="0"/>
        <w:spacing w:after="0" w:line="240" w:lineRule="auto"/>
        <w:jc w:val="center"/>
        <w:rPr>
          <w:rFonts w:ascii="Times New Roman" w:hAnsi="Times New Roman" w:cs="Times New Roman"/>
          <w:b/>
          <w:bCs/>
          <w:sz w:val="28"/>
          <w:szCs w:val="28"/>
        </w:rPr>
      </w:pPr>
    </w:p>
    <w:p w:rsidR="00DC1500" w:rsidRPr="00FB0736" w:rsidRDefault="00DC1500" w:rsidP="00621A84">
      <w:pPr>
        <w:widowControl w:val="0"/>
        <w:spacing w:after="0" w:line="240" w:lineRule="auto"/>
        <w:jc w:val="center"/>
        <w:rPr>
          <w:rFonts w:ascii="Times New Roman" w:hAnsi="Times New Roman" w:cs="Times New Roman"/>
          <w:b/>
          <w:bCs/>
          <w:sz w:val="28"/>
          <w:szCs w:val="28"/>
        </w:rPr>
      </w:pPr>
      <w:r w:rsidRPr="00FB0736">
        <w:rPr>
          <w:rFonts w:ascii="Times New Roman" w:hAnsi="Times New Roman" w:cs="Times New Roman"/>
          <w:b/>
          <w:bCs/>
          <w:sz w:val="28"/>
          <w:szCs w:val="28"/>
        </w:rPr>
        <w:lastRenderedPageBreak/>
        <w:t>IV. Вибір найбільш оптимального альтернативного способу</w:t>
      </w:r>
      <w:r w:rsidRPr="00FB0736">
        <w:rPr>
          <w:rFonts w:ascii="Times New Roman" w:hAnsi="Times New Roman" w:cs="Times New Roman"/>
          <w:b/>
          <w:bCs/>
          <w:sz w:val="28"/>
          <w:szCs w:val="28"/>
        </w:rPr>
        <w:br/>
        <w:t>досягнення цілей</w:t>
      </w:r>
    </w:p>
    <w:p w:rsidR="00787FB5" w:rsidRPr="00FB0736" w:rsidRDefault="00787FB5" w:rsidP="00621A84">
      <w:pPr>
        <w:widowControl w:val="0"/>
        <w:spacing w:after="0" w:line="240" w:lineRule="auto"/>
        <w:jc w:val="center"/>
        <w:rPr>
          <w:rFonts w:ascii="Times New Roman"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2410"/>
        <w:gridCol w:w="2835"/>
      </w:tblGrid>
      <w:tr w:rsidR="00582376" w:rsidRPr="00FB0736" w:rsidTr="001236C0">
        <w:tc>
          <w:tcPr>
            <w:tcW w:w="4467" w:type="dxa"/>
          </w:tcPr>
          <w:p w:rsidR="00DC1500" w:rsidRPr="00FB0736" w:rsidRDefault="00DC1500" w:rsidP="00AE0F01">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Рейтинг результативності</w:t>
            </w:r>
            <w:r w:rsidRPr="00FB0736">
              <w:rPr>
                <w:rFonts w:ascii="Times New Roman" w:hAnsi="Times New Roman" w:cs="Times New Roman"/>
                <w:sz w:val="24"/>
                <w:szCs w:val="24"/>
              </w:rPr>
              <w:br/>
              <w:t>(досягнення цілей під час вирішення проблеми)</w:t>
            </w:r>
          </w:p>
        </w:tc>
        <w:tc>
          <w:tcPr>
            <w:tcW w:w="2410" w:type="dxa"/>
          </w:tcPr>
          <w:p w:rsidR="00DC1500" w:rsidRPr="00FB0736" w:rsidRDefault="00DC1500" w:rsidP="00AE0F01">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Бал результативності</w:t>
            </w:r>
            <w:r w:rsidRPr="00FB0736">
              <w:rPr>
                <w:rFonts w:ascii="Times New Roman" w:hAnsi="Times New Roman" w:cs="Times New Roman"/>
                <w:sz w:val="24"/>
                <w:szCs w:val="24"/>
              </w:rPr>
              <w:br/>
              <w:t>(за чотирибальною системою оцінки)</w:t>
            </w:r>
          </w:p>
        </w:tc>
        <w:tc>
          <w:tcPr>
            <w:tcW w:w="2835" w:type="dxa"/>
          </w:tcPr>
          <w:p w:rsidR="00DC1500" w:rsidRPr="00FB0736" w:rsidRDefault="00DC1500" w:rsidP="00AE0F01">
            <w:pPr>
              <w:spacing w:after="0" w:line="240" w:lineRule="auto"/>
              <w:jc w:val="center"/>
              <w:rPr>
                <w:rFonts w:ascii="Times New Roman" w:hAnsi="Times New Roman" w:cs="Times New Roman"/>
                <w:sz w:val="24"/>
                <w:szCs w:val="24"/>
              </w:rPr>
            </w:pPr>
            <w:r w:rsidRPr="00FB0736">
              <w:rPr>
                <w:rFonts w:ascii="Times New Roman" w:hAnsi="Times New Roman" w:cs="Times New Roman"/>
                <w:sz w:val="24"/>
                <w:szCs w:val="24"/>
              </w:rPr>
              <w:t>Коментарі</w:t>
            </w:r>
            <w:r w:rsidRPr="00FB0736">
              <w:rPr>
                <w:rFonts w:ascii="Times New Roman" w:hAnsi="Times New Roman" w:cs="Times New Roman"/>
                <w:sz w:val="24"/>
                <w:szCs w:val="24"/>
              </w:rPr>
              <w:br/>
              <w:t xml:space="preserve">щодо присвоєння відповідного </w:t>
            </w:r>
            <w:proofErr w:type="spellStart"/>
            <w:r w:rsidRPr="00FB0736">
              <w:rPr>
                <w:rFonts w:ascii="Times New Roman" w:hAnsi="Times New Roman" w:cs="Times New Roman"/>
                <w:sz w:val="24"/>
                <w:szCs w:val="24"/>
              </w:rPr>
              <w:t>бала</w:t>
            </w:r>
            <w:proofErr w:type="spellEnd"/>
          </w:p>
        </w:tc>
      </w:tr>
      <w:tr w:rsidR="00582376" w:rsidRPr="00FB0736" w:rsidTr="001236C0">
        <w:tc>
          <w:tcPr>
            <w:tcW w:w="4467" w:type="dxa"/>
          </w:tcPr>
          <w:p w:rsidR="00DC1500" w:rsidRPr="00FB0736" w:rsidRDefault="00DC1500" w:rsidP="00AE0F01">
            <w:pPr>
              <w:spacing w:after="0" w:line="240" w:lineRule="auto"/>
              <w:rPr>
                <w:rFonts w:ascii="Times New Roman" w:hAnsi="Times New Roman" w:cs="Times New Roman"/>
                <w:sz w:val="24"/>
                <w:szCs w:val="24"/>
              </w:rPr>
            </w:pPr>
            <w:r w:rsidRPr="00FB0736">
              <w:rPr>
                <w:rFonts w:ascii="Times New Roman" w:hAnsi="Times New Roman" w:cs="Times New Roman"/>
                <w:b/>
                <w:bCs/>
                <w:sz w:val="24"/>
                <w:szCs w:val="24"/>
              </w:rPr>
              <w:t>Альтернатива 1.</w:t>
            </w:r>
          </w:p>
          <w:p w:rsidR="00DC1500" w:rsidRPr="00FB0736" w:rsidRDefault="00DC1500" w:rsidP="00AE0F01">
            <w:pPr>
              <w:spacing w:after="0" w:line="240" w:lineRule="auto"/>
              <w:rPr>
                <w:rFonts w:ascii="Times New Roman" w:hAnsi="Times New Roman" w:cs="Times New Roman"/>
                <w:sz w:val="24"/>
                <w:szCs w:val="24"/>
              </w:rPr>
            </w:pPr>
            <w:r w:rsidRPr="00FB0736">
              <w:rPr>
                <w:rFonts w:ascii="Times New Roman" w:hAnsi="Times New Roman" w:cs="Times New Roman"/>
                <w:sz w:val="24"/>
                <w:szCs w:val="24"/>
              </w:rPr>
              <w:t>Збереження чинного регулювання</w:t>
            </w:r>
          </w:p>
        </w:tc>
        <w:tc>
          <w:tcPr>
            <w:tcW w:w="2410" w:type="dxa"/>
          </w:tcPr>
          <w:p w:rsidR="00DC1500" w:rsidRPr="00FB0736" w:rsidRDefault="00DC1500" w:rsidP="00AE0F01">
            <w:pPr>
              <w:pStyle w:val="2"/>
              <w:spacing w:before="0" w:beforeAutospacing="0" w:after="0" w:afterAutospacing="0"/>
              <w:jc w:val="center"/>
              <w:rPr>
                <w:rFonts w:ascii="Times New Roman" w:hAnsi="Times New Roman"/>
                <w:bCs/>
                <w:sz w:val="24"/>
                <w:szCs w:val="24"/>
                <w:lang w:val="uk-UA"/>
              </w:rPr>
            </w:pPr>
            <w:r w:rsidRPr="00FB0736">
              <w:rPr>
                <w:rFonts w:ascii="Times New Roman" w:hAnsi="Times New Roman"/>
                <w:bCs/>
                <w:sz w:val="24"/>
                <w:szCs w:val="24"/>
                <w:lang w:val="uk-UA"/>
              </w:rPr>
              <w:t>2</w:t>
            </w:r>
          </w:p>
        </w:tc>
        <w:tc>
          <w:tcPr>
            <w:tcW w:w="2835" w:type="dxa"/>
          </w:tcPr>
          <w:p w:rsidR="00DC1500" w:rsidRPr="00FB0736" w:rsidRDefault="00DC1500" w:rsidP="00AE0F01">
            <w:pPr>
              <w:pStyle w:val="2"/>
              <w:spacing w:before="0" w:beforeAutospacing="0" w:after="0" w:afterAutospacing="0"/>
              <w:jc w:val="both"/>
              <w:rPr>
                <w:rFonts w:ascii="Times New Roman" w:hAnsi="Times New Roman"/>
                <w:b w:val="0"/>
                <w:sz w:val="24"/>
                <w:szCs w:val="24"/>
                <w:lang w:val="uk-UA"/>
              </w:rPr>
            </w:pPr>
            <w:r w:rsidRPr="00FB0736">
              <w:rPr>
                <w:rFonts w:ascii="Times New Roman" w:hAnsi="Times New Roman"/>
                <w:b w:val="0"/>
                <w:sz w:val="24"/>
                <w:szCs w:val="24"/>
                <w:lang w:val="uk-UA"/>
              </w:rPr>
              <w:t xml:space="preserve">Не досягає поставленої мети </w:t>
            </w:r>
          </w:p>
        </w:tc>
      </w:tr>
      <w:tr w:rsidR="00DC1500" w:rsidRPr="00FB0736" w:rsidTr="001236C0">
        <w:tc>
          <w:tcPr>
            <w:tcW w:w="4467" w:type="dxa"/>
          </w:tcPr>
          <w:p w:rsidR="00DC1500" w:rsidRPr="00FB0736" w:rsidRDefault="00DC1500" w:rsidP="00AE0F01">
            <w:pPr>
              <w:spacing w:after="0" w:line="240" w:lineRule="auto"/>
              <w:rPr>
                <w:rFonts w:ascii="Times New Roman" w:hAnsi="Times New Roman" w:cs="Times New Roman"/>
                <w:sz w:val="24"/>
                <w:szCs w:val="24"/>
              </w:rPr>
            </w:pPr>
            <w:r w:rsidRPr="00FB0736">
              <w:rPr>
                <w:rFonts w:ascii="Times New Roman" w:hAnsi="Times New Roman" w:cs="Times New Roman"/>
                <w:b/>
                <w:bCs/>
                <w:sz w:val="24"/>
                <w:szCs w:val="24"/>
              </w:rPr>
              <w:t>Обрана Альтернатива 2.</w:t>
            </w:r>
          </w:p>
          <w:p w:rsidR="00DC1500" w:rsidRPr="00FB0736" w:rsidRDefault="00DC1500" w:rsidP="00AE0F01">
            <w:pPr>
              <w:spacing w:after="0" w:line="240" w:lineRule="auto"/>
              <w:rPr>
                <w:rFonts w:ascii="Times New Roman" w:hAnsi="Times New Roman" w:cs="Times New Roman"/>
                <w:sz w:val="24"/>
                <w:szCs w:val="24"/>
              </w:rPr>
            </w:pPr>
            <w:r w:rsidRPr="00FB0736">
              <w:rPr>
                <w:rFonts w:ascii="Times New Roman" w:hAnsi="Times New Roman" w:cs="Times New Roman"/>
                <w:sz w:val="24"/>
                <w:szCs w:val="24"/>
              </w:rPr>
              <w:t>Внесення змін до чинного регуляторного акта</w:t>
            </w:r>
          </w:p>
        </w:tc>
        <w:tc>
          <w:tcPr>
            <w:tcW w:w="2410" w:type="dxa"/>
          </w:tcPr>
          <w:p w:rsidR="00DC1500" w:rsidRPr="00FB0736" w:rsidRDefault="00DC1500" w:rsidP="00AE0F01">
            <w:pPr>
              <w:pStyle w:val="2"/>
              <w:spacing w:before="0" w:beforeAutospacing="0" w:after="0" w:afterAutospacing="0"/>
              <w:jc w:val="center"/>
              <w:rPr>
                <w:rFonts w:ascii="Times New Roman" w:hAnsi="Times New Roman"/>
                <w:bCs/>
                <w:sz w:val="24"/>
                <w:szCs w:val="24"/>
                <w:lang w:val="uk-UA"/>
              </w:rPr>
            </w:pPr>
            <w:r w:rsidRPr="00FB0736">
              <w:rPr>
                <w:rFonts w:ascii="Times New Roman" w:hAnsi="Times New Roman"/>
                <w:bCs/>
                <w:sz w:val="24"/>
                <w:szCs w:val="24"/>
                <w:lang w:val="uk-UA"/>
              </w:rPr>
              <w:t>4</w:t>
            </w:r>
          </w:p>
        </w:tc>
        <w:tc>
          <w:tcPr>
            <w:tcW w:w="2835" w:type="dxa"/>
          </w:tcPr>
          <w:p w:rsidR="00DC1500" w:rsidRPr="00FB0736" w:rsidRDefault="00DC1500" w:rsidP="00AE0F01">
            <w:pPr>
              <w:pStyle w:val="2"/>
              <w:spacing w:before="0" w:beforeAutospacing="0" w:after="0" w:afterAutospacing="0"/>
              <w:rPr>
                <w:rFonts w:ascii="Times New Roman" w:hAnsi="Times New Roman"/>
                <w:b w:val="0"/>
                <w:sz w:val="24"/>
                <w:szCs w:val="24"/>
                <w:lang w:val="uk-UA"/>
              </w:rPr>
            </w:pPr>
            <w:r w:rsidRPr="00FB0736">
              <w:rPr>
                <w:rFonts w:ascii="Times New Roman" w:hAnsi="Times New Roman"/>
                <w:b w:val="0"/>
                <w:sz w:val="24"/>
                <w:szCs w:val="24"/>
                <w:lang w:val="uk-UA"/>
              </w:rPr>
              <w:t xml:space="preserve">Дозволяє вирішити проблему </w:t>
            </w:r>
            <w:r w:rsidR="002418A4" w:rsidRPr="00FB0736">
              <w:rPr>
                <w:rFonts w:ascii="Times New Roman" w:hAnsi="Times New Roman"/>
                <w:b w:val="0"/>
                <w:sz w:val="24"/>
                <w:szCs w:val="24"/>
                <w:lang w:val="uk-UA"/>
              </w:rPr>
              <w:t xml:space="preserve">найбільш </w:t>
            </w:r>
            <w:r w:rsidRPr="00FB0736">
              <w:rPr>
                <w:rFonts w:ascii="Times New Roman" w:hAnsi="Times New Roman"/>
                <w:b w:val="0"/>
                <w:sz w:val="24"/>
                <w:szCs w:val="24"/>
                <w:lang w:val="uk-UA"/>
              </w:rPr>
              <w:t>ефективним шляхом</w:t>
            </w:r>
          </w:p>
        </w:tc>
      </w:tr>
    </w:tbl>
    <w:p w:rsidR="003348E5" w:rsidRPr="00FB0736" w:rsidRDefault="003348E5" w:rsidP="002418A4">
      <w:pPr>
        <w:spacing w:after="0" w:line="240" w:lineRule="auto"/>
        <w:ind w:left="-142"/>
        <w:jc w:val="both"/>
        <w:rPr>
          <w:rFonts w:ascii="Times New Roman" w:hAnsi="Times New Roman" w:cs="Times New Roman"/>
          <w:b/>
          <w:bCs/>
          <w:sz w:val="28"/>
          <w:szCs w:val="28"/>
        </w:rPr>
      </w:pPr>
    </w:p>
    <w:tbl>
      <w:tblPr>
        <w:tblW w:w="9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53"/>
        <w:gridCol w:w="1939"/>
        <w:gridCol w:w="2693"/>
        <w:gridCol w:w="1746"/>
      </w:tblGrid>
      <w:tr w:rsidR="00582376" w:rsidRPr="00FB0736" w:rsidTr="00CD066D">
        <w:trPr>
          <w:trHeight w:val="1128"/>
          <w:jc w:val="center"/>
        </w:trPr>
        <w:tc>
          <w:tcPr>
            <w:tcW w:w="3353" w:type="dxa"/>
          </w:tcPr>
          <w:p w:rsidR="00DC1500" w:rsidRPr="00FB0736" w:rsidRDefault="00DC1500" w:rsidP="002418A4">
            <w:pPr>
              <w:ind w:left="-359"/>
              <w:jc w:val="center"/>
              <w:rPr>
                <w:rFonts w:ascii="Times New Roman" w:hAnsi="Times New Roman"/>
                <w:b/>
              </w:rPr>
            </w:pPr>
            <w:r w:rsidRPr="00FB0736">
              <w:rPr>
                <w:rFonts w:ascii="Times New Roman" w:hAnsi="Times New Roman"/>
                <w:b/>
              </w:rPr>
              <w:t>Рейтинг результативності</w:t>
            </w:r>
          </w:p>
        </w:tc>
        <w:tc>
          <w:tcPr>
            <w:tcW w:w="1939" w:type="dxa"/>
          </w:tcPr>
          <w:p w:rsidR="00DC1500" w:rsidRPr="00FB0736" w:rsidRDefault="00DC1500" w:rsidP="002418A4">
            <w:pPr>
              <w:jc w:val="center"/>
              <w:rPr>
                <w:rFonts w:ascii="Times New Roman" w:hAnsi="Times New Roman"/>
                <w:b/>
              </w:rPr>
            </w:pPr>
            <w:r w:rsidRPr="00FB0736">
              <w:rPr>
                <w:rFonts w:ascii="Times New Roman" w:hAnsi="Times New Roman"/>
                <w:b/>
              </w:rPr>
              <w:t>Вигоди (підсумок)</w:t>
            </w:r>
          </w:p>
        </w:tc>
        <w:tc>
          <w:tcPr>
            <w:tcW w:w="2693" w:type="dxa"/>
          </w:tcPr>
          <w:p w:rsidR="00DC1500" w:rsidRPr="00FB0736" w:rsidRDefault="00DC1500" w:rsidP="002418A4">
            <w:pPr>
              <w:jc w:val="center"/>
              <w:rPr>
                <w:rFonts w:ascii="Times New Roman" w:hAnsi="Times New Roman"/>
                <w:b/>
              </w:rPr>
            </w:pPr>
            <w:r w:rsidRPr="00FB0736">
              <w:rPr>
                <w:rFonts w:ascii="Times New Roman" w:hAnsi="Times New Roman"/>
                <w:b/>
              </w:rPr>
              <w:t>Витрати (підсумок)</w:t>
            </w:r>
          </w:p>
        </w:tc>
        <w:tc>
          <w:tcPr>
            <w:tcW w:w="1746" w:type="dxa"/>
          </w:tcPr>
          <w:p w:rsidR="00DC1500" w:rsidRPr="00FB0736" w:rsidRDefault="00DC1500" w:rsidP="002418A4">
            <w:pPr>
              <w:jc w:val="center"/>
              <w:rPr>
                <w:rFonts w:ascii="Times New Roman" w:hAnsi="Times New Roman"/>
                <w:b/>
              </w:rPr>
            </w:pPr>
            <w:r w:rsidRPr="00FB0736">
              <w:rPr>
                <w:rFonts w:ascii="Times New Roman" w:hAnsi="Times New Roman"/>
                <w:b/>
              </w:rPr>
              <w:t>Обґрунтування відповідного місця альтернативи у рейтингу</w:t>
            </w:r>
          </w:p>
        </w:tc>
      </w:tr>
      <w:tr w:rsidR="00582376" w:rsidRPr="00FB0736" w:rsidTr="00F04312">
        <w:trPr>
          <w:jc w:val="center"/>
        </w:trPr>
        <w:tc>
          <w:tcPr>
            <w:tcW w:w="3353" w:type="dxa"/>
          </w:tcPr>
          <w:p w:rsidR="00230098" w:rsidRPr="00FB0736" w:rsidRDefault="00230098" w:rsidP="00230098">
            <w:pPr>
              <w:spacing w:before="80"/>
              <w:rPr>
                <w:rFonts w:ascii="Times New Roman" w:hAnsi="Times New Roman"/>
              </w:rPr>
            </w:pPr>
            <w:r w:rsidRPr="00FB0736">
              <w:rPr>
                <w:rFonts w:ascii="Times New Roman" w:hAnsi="Times New Roman"/>
                <w:b/>
              </w:rPr>
              <w:t>Альтернатива 1.</w:t>
            </w:r>
            <w:r w:rsidRPr="00FB0736">
              <w:rPr>
                <w:rFonts w:ascii="Times New Roman" w:hAnsi="Times New Roman"/>
              </w:rPr>
              <w:t xml:space="preserve"> </w:t>
            </w:r>
            <w:r w:rsidRPr="00FB0736">
              <w:rPr>
                <w:rFonts w:ascii="Times New Roman" w:hAnsi="Times New Roman"/>
                <w:sz w:val="24"/>
              </w:rPr>
              <w:t>Збереження чинного регулювання</w:t>
            </w:r>
          </w:p>
        </w:tc>
        <w:tc>
          <w:tcPr>
            <w:tcW w:w="1939" w:type="dxa"/>
          </w:tcPr>
          <w:p w:rsidR="00230098" w:rsidRPr="00FB0736" w:rsidRDefault="00230098" w:rsidP="00E26CA0">
            <w:pPr>
              <w:jc w:val="center"/>
              <w:rPr>
                <w:rFonts w:ascii="Times New Roman" w:hAnsi="Times New Roman"/>
                <w:sz w:val="24"/>
                <w:szCs w:val="24"/>
              </w:rPr>
            </w:pPr>
            <w:r w:rsidRPr="00FB0736">
              <w:rPr>
                <w:rFonts w:ascii="Times New Roman" w:hAnsi="Times New Roman"/>
                <w:sz w:val="24"/>
                <w:szCs w:val="24"/>
              </w:rPr>
              <w:t>Відсутні</w:t>
            </w:r>
          </w:p>
        </w:tc>
        <w:tc>
          <w:tcPr>
            <w:tcW w:w="2693" w:type="dxa"/>
            <w:shd w:val="clear" w:color="auto" w:fill="auto"/>
          </w:tcPr>
          <w:p w:rsidR="00787FB5" w:rsidRPr="00CD066D" w:rsidRDefault="00FB0736" w:rsidP="00230098">
            <w:pPr>
              <w:pStyle w:val="ad"/>
              <w:spacing w:before="0" w:beforeAutospacing="0" w:after="0" w:afterAutospacing="0"/>
              <w:textAlignment w:val="baseline"/>
              <w:rPr>
                <w:rFonts w:ascii="Times New Roman" w:hAnsi="Times New Roman" w:cs="Times New Roman"/>
                <w:lang w:val="uk-UA"/>
              </w:rPr>
            </w:pPr>
            <w:r w:rsidRPr="00F04312">
              <w:rPr>
                <w:rFonts w:ascii="Times New Roman" w:hAnsi="Times New Roman" w:cs="Times New Roman"/>
                <w:lang w:val="uk-UA"/>
              </w:rPr>
              <w:t xml:space="preserve">Призведе до </w:t>
            </w:r>
            <w:r w:rsidR="00CD066D" w:rsidRPr="00F04312">
              <w:rPr>
                <w:rFonts w:ascii="Times New Roman" w:hAnsi="Times New Roman" w:cs="Times New Roman"/>
                <w:lang w:val="uk-UA"/>
              </w:rPr>
              <w:t>порушення вимог частини п’ятої статті 64 Закону  та сприятиме погіршенню фінансового становища ПОН через невідповідність цін купівлі на  ринку електричної енергії цінам, за якими ПОН постачає електроенергію власним споживачам</w:t>
            </w:r>
          </w:p>
        </w:tc>
        <w:tc>
          <w:tcPr>
            <w:tcW w:w="1746" w:type="dxa"/>
          </w:tcPr>
          <w:p w:rsidR="00230098" w:rsidRPr="00FB0736" w:rsidRDefault="00230098" w:rsidP="00230098">
            <w:pPr>
              <w:rPr>
                <w:rFonts w:ascii="Times New Roman" w:hAnsi="Times New Roman"/>
                <w:sz w:val="24"/>
                <w:szCs w:val="24"/>
              </w:rPr>
            </w:pPr>
            <w:r w:rsidRPr="00FB0736">
              <w:rPr>
                <w:rFonts w:ascii="Times New Roman" w:hAnsi="Times New Roman"/>
                <w:sz w:val="24"/>
                <w:szCs w:val="24"/>
              </w:rPr>
              <w:t xml:space="preserve">Не вирішує проблему </w:t>
            </w:r>
          </w:p>
        </w:tc>
      </w:tr>
      <w:tr w:rsidR="00230098" w:rsidRPr="00FB0736" w:rsidTr="00CD066D">
        <w:trPr>
          <w:trHeight w:val="175"/>
          <w:jc w:val="center"/>
        </w:trPr>
        <w:tc>
          <w:tcPr>
            <w:tcW w:w="3353" w:type="dxa"/>
          </w:tcPr>
          <w:p w:rsidR="00230098" w:rsidRPr="00FB0736" w:rsidRDefault="00230098" w:rsidP="00230098">
            <w:pPr>
              <w:rPr>
                <w:rFonts w:ascii="Times New Roman" w:hAnsi="Times New Roman"/>
              </w:rPr>
            </w:pPr>
            <w:r w:rsidRPr="00FB0736">
              <w:rPr>
                <w:rFonts w:ascii="Times New Roman" w:hAnsi="Times New Roman"/>
                <w:b/>
              </w:rPr>
              <w:t>Обрана Альтернатива 2.</w:t>
            </w:r>
            <w:r w:rsidRPr="00FB0736">
              <w:rPr>
                <w:rFonts w:ascii="Times New Roman" w:hAnsi="Times New Roman"/>
              </w:rPr>
              <w:t xml:space="preserve"> </w:t>
            </w:r>
            <w:r w:rsidRPr="00FB0736">
              <w:rPr>
                <w:rFonts w:ascii="Times New Roman" w:hAnsi="Times New Roman" w:cs="Times New Roman"/>
                <w:sz w:val="24"/>
                <w:szCs w:val="24"/>
              </w:rPr>
              <w:t>Внесення змін до чинного регуляторного акта</w:t>
            </w:r>
          </w:p>
        </w:tc>
        <w:tc>
          <w:tcPr>
            <w:tcW w:w="1939" w:type="dxa"/>
          </w:tcPr>
          <w:p w:rsidR="00230098" w:rsidRPr="00FB0736" w:rsidRDefault="00230098" w:rsidP="00230098">
            <w:pPr>
              <w:rPr>
                <w:rFonts w:ascii="Times New Roman" w:hAnsi="Times New Roman"/>
                <w:sz w:val="24"/>
                <w:szCs w:val="24"/>
              </w:rPr>
            </w:pPr>
            <w:r w:rsidRPr="00FB0736">
              <w:rPr>
                <w:rFonts w:ascii="Times New Roman" w:hAnsi="Times New Roman" w:cs="Times New Roman"/>
                <w:sz w:val="24"/>
                <w:szCs w:val="24"/>
              </w:rPr>
              <w:t>Відповідає завданням, що поставлені для вирішення існуючої проблеми</w:t>
            </w:r>
          </w:p>
        </w:tc>
        <w:tc>
          <w:tcPr>
            <w:tcW w:w="2693" w:type="dxa"/>
          </w:tcPr>
          <w:p w:rsidR="00230098" w:rsidRPr="00FB0736" w:rsidRDefault="00230098" w:rsidP="00230098">
            <w:pPr>
              <w:rPr>
                <w:rFonts w:ascii="Times New Roman" w:hAnsi="Times New Roman"/>
                <w:sz w:val="24"/>
                <w:szCs w:val="24"/>
              </w:rPr>
            </w:pPr>
            <w:r w:rsidRPr="00FB0736">
              <w:rPr>
                <w:rFonts w:ascii="Times New Roman" w:hAnsi="Times New Roman"/>
                <w:sz w:val="24"/>
                <w:szCs w:val="24"/>
              </w:rPr>
              <w:t>Відсутні</w:t>
            </w:r>
          </w:p>
        </w:tc>
        <w:tc>
          <w:tcPr>
            <w:tcW w:w="1746" w:type="dxa"/>
          </w:tcPr>
          <w:p w:rsidR="00230098" w:rsidRPr="00FB0736" w:rsidRDefault="00230098" w:rsidP="00230098">
            <w:pPr>
              <w:rPr>
                <w:rFonts w:ascii="Times New Roman" w:hAnsi="Times New Roman"/>
                <w:sz w:val="24"/>
                <w:szCs w:val="24"/>
              </w:rPr>
            </w:pPr>
            <w:r w:rsidRPr="00FB0736">
              <w:rPr>
                <w:rFonts w:ascii="Times New Roman" w:hAnsi="Times New Roman"/>
                <w:sz w:val="24"/>
                <w:szCs w:val="24"/>
              </w:rPr>
              <w:t>Дозволяє досягти цілей державного регулювання  найбільш ефективним шляхом</w:t>
            </w:r>
          </w:p>
        </w:tc>
      </w:tr>
    </w:tbl>
    <w:p w:rsidR="00DC1500" w:rsidRPr="00FB0736" w:rsidRDefault="00DC1500" w:rsidP="00E51783">
      <w:pPr>
        <w:pStyle w:val="2"/>
        <w:spacing w:before="0" w:beforeAutospacing="0" w:after="0" w:afterAutospacing="0"/>
        <w:ind w:firstLine="540"/>
        <w:jc w:val="both"/>
        <w:rPr>
          <w:rFonts w:ascii="Times New Roman" w:hAnsi="Times New Roman"/>
          <w:sz w:val="28"/>
          <w:szCs w:val="22"/>
          <w:lang w:val="uk-UA"/>
        </w:rPr>
      </w:pP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1"/>
        <w:gridCol w:w="4528"/>
        <w:gridCol w:w="2134"/>
      </w:tblGrid>
      <w:tr w:rsidR="00582376" w:rsidRPr="00FB0736" w:rsidTr="00B727DF">
        <w:trPr>
          <w:jc w:val="center"/>
        </w:trPr>
        <w:tc>
          <w:tcPr>
            <w:tcW w:w="3031" w:type="dxa"/>
          </w:tcPr>
          <w:p w:rsidR="00DC1500" w:rsidRPr="00FB0736" w:rsidRDefault="00DC1500" w:rsidP="00E4253E">
            <w:pPr>
              <w:jc w:val="center"/>
              <w:rPr>
                <w:rFonts w:ascii="Times New Roman" w:hAnsi="Times New Roman"/>
                <w:b/>
              </w:rPr>
            </w:pPr>
            <w:r w:rsidRPr="00FB0736">
              <w:rPr>
                <w:rFonts w:ascii="Times New Roman" w:hAnsi="Times New Roman"/>
                <w:b/>
              </w:rPr>
              <w:t>Рейтинг</w:t>
            </w:r>
          </w:p>
        </w:tc>
        <w:tc>
          <w:tcPr>
            <w:tcW w:w="4528" w:type="dxa"/>
          </w:tcPr>
          <w:p w:rsidR="00DC1500" w:rsidRPr="00FB0736" w:rsidRDefault="00DC1500" w:rsidP="00E4253E">
            <w:pPr>
              <w:jc w:val="center"/>
              <w:rPr>
                <w:rFonts w:ascii="Times New Roman" w:hAnsi="Times New Roman"/>
                <w:b/>
              </w:rPr>
            </w:pPr>
            <w:r w:rsidRPr="00FB0736">
              <w:rPr>
                <w:rFonts w:ascii="Times New Roman" w:hAnsi="Times New Roman"/>
                <w:b/>
              </w:rPr>
              <w:t>Аргументи щодо переваги обраної альтернативи / причини відмови від альтернативи</w:t>
            </w:r>
          </w:p>
        </w:tc>
        <w:tc>
          <w:tcPr>
            <w:tcW w:w="2134" w:type="dxa"/>
          </w:tcPr>
          <w:p w:rsidR="00DC1500" w:rsidRPr="00FB0736" w:rsidRDefault="00DC1500" w:rsidP="00E4253E">
            <w:pPr>
              <w:jc w:val="center"/>
              <w:rPr>
                <w:rFonts w:ascii="Times New Roman" w:hAnsi="Times New Roman"/>
                <w:b/>
              </w:rPr>
            </w:pPr>
            <w:r w:rsidRPr="00FB0736">
              <w:rPr>
                <w:rFonts w:ascii="Times New Roman" w:hAnsi="Times New Roman"/>
                <w:b/>
              </w:rPr>
              <w:t>Оцінка ризику зовнішніх чинників на дію запропонованого регуляторного акта</w:t>
            </w:r>
          </w:p>
        </w:tc>
      </w:tr>
      <w:tr w:rsidR="00582376" w:rsidRPr="00FB0736" w:rsidTr="00B727DF">
        <w:trPr>
          <w:jc w:val="center"/>
        </w:trPr>
        <w:tc>
          <w:tcPr>
            <w:tcW w:w="3031" w:type="dxa"/>
          </w:tcPr>
          <w:p w:rsidR="00DC1500" w:rsidRPr="00FB0736" w:rsidRDefault="00DC1500" w:rsidP="00E4253E">
            <w:pPr>
              <w:spacing w:before="80"/>
              <w:rPr>
                <w:rFonts w:ascii="Times New Roman" w:hAnsi="Times New Roman"/>
                <w:sz w:val="24"/>
                <w:szCs w:val="24"/>
              </w:rPr>
            </w:pPr>
            <w:r w:rsidRPr="00FB0736">
              <w:rPr>
                <w:rFonts w:ascii="Times New Roman" w:hAnsi="Times New Roman"/>
                <w:b/>
                <w:sz w:val="24"/>
                <w:szCs w:val="24"/>
              </w:rPr>
              <w:t>Альтернатива 1.</w:t>
            </w:r>
            <w:r w:rsidRPr="00FB0736">
              <w:rPr>
                <w:rFonts w:ascii="Times New Roman" w:hAnsi="Times New Roman"/>
                <w:sz w:val="24"/>
                <w:szCs w:val="24"/>
              </w:rPr>
              <w:t xml:space="preserve"> Збереження чинного </w:t>
            </w:r>
            <w:r w:rsidRPr="00FB0736">
              <w:rPr>
                <w:rFonts w:ascii="Times New Roman" w:hAnsi="Times New Roman"/>
                <w:sz w:val="24"/>
                <w:szCs w:val="24"/>
              </w:rPr>
              <w:lastRenderedPageBreak/>
              <w:t>регулювання</w:t>
            </w:r>
          </w:p>
        </w:tc>
        <w:tc>
          <w:tcPr>
            <w:tcW w:w="4528" w:type="dxa"/>
          </w:tcPr>
          <w:p w:rsidR="00DC1500" w:rsidRPr="00FB0736" w:rsidRDefault="00DC1500" w:rsidP="00E4253E">
            <w:pPr>
              <w:jc w:val="both"/>
              <w:rPr>
                <w:rFonts w:ascii="Times New Roman" w:hAnsi="Times New Roman"/>
                <w:sz w:val="24"/>
                <w:szCs w:val="24"/>
              </w:rPr>
            </w:pPr>
            <w:r w:rsidRPr="00FB0736">
              <w:rPr>
                <w:rFonts w:ascii="Times New Roman" w:hAnsi="Times New Roman"/>
                <w:sz w:val="24"/>
                <w:szCs w:val="24"/>
              </w:rPr>
              <w:lastRenderedPageBreak/>
              <w:t xml:space="preserve">Не вирішує проблему та не забезпечує </w:t>
            </w:r>
            <w:r w:rsidRPr="00FB0736">
              <w:rPr>
                <w:rFonts w:ascii="Times New Roman" w:hAnsi="Times New Roman"/>
                <w:sz w:val="24"/>
                <w:szCs w:val="24"/>
              </w:rPr>
              <w:lastRenderedPageBreak/>
              <w:t>цілей державного регулювання</w:t>
            </w:r>
          </w:p>
        </w:tc>
        <w:tc>
          <w:tcPr>
            <w:tcW w:w="2134" w:type="dxa"/>
          </w:tcPr>
          <w:p w:rsidR="00DC1500" w:rsidRPr="00FB0736" w:rsidRDefault="00DC1500" w:rsidP="00E26CA0">
            <w:pPr>
              <w:jc w:val="center"/>
              <w:rPr>
                <w:rFonts w:ascii="Times New Roman" w:hAnsi="Times New Roman"/>
                <w:sz w:val="24"/>
                <w:szCs w:val="24"/>
              </w:rPr>
            </w:pPr>
            <w:r w:rsidRPr="00FB0736">
              <w:rPr>
                <w:rFonts w:ascii="Times New Roman" w:hAnsi="Times New Roman"/>
                <w:sz w:val="24"/>
                <w:szCs w:val="24"/>
              </w:rPr>
              <w:lastRenderedPageBreak/>
              <w:t>Відсутній</w:t>
            </w:r>
          </w:p>
        </w:tc>
      </w:tr>
      <w:tr w:rsidR="009C6BEA" w:rsidRPr="00FB0736" w:rsidTr="00135B84">
        <w:trPr>
          <w:trHeight w:val="1200"/>
          <w:jc w:val="center"/>
        </w:trPr>
        <w:tc>
          <w:tcPr>
            <w:tcW w:w="3031" w:type="dxa"/>
          </w:tcPr>
          <w:p w:rsidR="00DC1500" w:rsidRPr="00FB0736" w:rsidRDefault="00DC1500" w:rsidP="00E4253E">
            <w:pPr>
              <w:rPr>
                <w:rFonts w:ascii="Times New Roman" w:hAnsi="Times New Roman"/>
                <w:sz w:val="24"/>
                <w:szCs w:val="24"/>
              </w:rPr>
            </w:pPr>
            <w:r w:rsidRPr="00FB0736">
              <w:rPr>
                <w:rFonts w:ascii="Times New Roman" w:hAnsi="Times New Roman"/>
                <w:b/>
                <w:sz w:val="24"/>
                <w:szCs w:val="24"/>
              </w:rPr>
              <w:t>Обрана Альтернатива 2.</w:t>
            </w:r>
            <w:r w:rsidRPr="00FB0736">
              <w:rPr>
                <w:rFonts w:ascii="Times New Roman" w:hAnsi="Times New Roman"/>
                <w:sz w:val="24"/>
                <w:szCs w:val="24"/>
              </w:rPr>
              <w:t xml:space="preserve"> </w:t>
            </w:r>
            <w:r w:rsidR="000F701B" w:rsidRPr="00FB0736">
              <w:rPr>
                <w:rFonts w:ascii="Times New Roman" w:hAnsi="Times New Roman" w:cs="Times New Roman"/>
                <w:sz w:val="24"/>
                <w:szCs w:val="24"/>
              </w:rPr>
              <w:t>Внесення змін до чинного регуляторного акта</w:t>
            </w:r>
          </w:p>
        </w:tc>
        <w:tc>
          <w:tcPr>
            <w:tcW w:w="4528" w:type="dxa"/>
          </w:tcPr>
          <w:p w:rsidR="00DC1500" w:rsidRPr="00FB0736" w:rsidRDefault="00DC1500" w:rsidP="00E4253E">
            <w:pPr>
              <w:jc w:val="both"/>
              <w:rPr>
                <w:rFonts w:ascii="Times New Roman" w:hAnsi="Times New Roman"/>
                <w:sz w:val="24"/>
                <w:szCs w:val="24"/>
              </w:rPr>
            </w:pPr>
            <w:r w:rsidRPr="00FB0736">
              <w:rPr>
                <w:rFonts w:ascii="Times New Roman" w:hAnsi="Times New Roman"/>
                <w:sz w:val="24"/>
                <w:szCs w:val="24"/>
              </w:rPr>
              <w:t xml:space="preserve">Дозволяє вирішити проблему </w:t>
            </w:r>
            <w:r w:rsidR="000F701B" w:rsidRPr="00FB0736">
              <w:rPr>
                <w:rFonts w:ascii="Times New Roman" w:hAnsi="Times New Roman"/>
                <w:sz w:val="24"/>
                <w:szCs w:val="24"/>
              </w:rPr>
              <w:t>найбільш</w:t>
            </w:r>
            <w:r w:rsidRPr="00FB0736">
              <w:rPr>
                <w:rFonts w:ascii="Times New Roman" w:hAnsi="Times New Roman"/>
                <w:sz w:val="24"/>
                <w:szCs w:val="24"/>
              </w:rPr>
              <w:t xml:space="preserve"> ефективним шляхом з найменшими витратами ресурсів, забезпечує досягнення цілей державного регулювання</w:t>
            </w:r>
          </w:p>
        </w:tc>
        <w:tc>
          <w:tcPr>
            <w:tcW w:w="2134" w:type="dxa"/>
          </w:tcPr>
          <w:p w:rsidR="00DC1500" w:rsidRPr="00FB0736" w:rsidRDefault="00DC1500" w:rsidP="00E26CA0">
            <w:pPr>
              <w:jc w:val="center"/>
              <w:rPr>
                <w:rFonts w:ascii="Times New Roman" w:hAnsi="Times New Roman"/>
                <w:sz w:val="24"/>
                <w:szCs w:val="24"/>
              </w:rPr>
            </w:pPr>
            <w:r w:rsidRPr="00FB0736">
              <w:rPr>
                <w:rFonts w:ascii="Times New Roman" w:hAnsi="Times New Roman"/>
                <w:sz w:val="24"/>
                <w:szCs w:val="24"/>
              </w:rPr>
              <w:t>Відсутній</w:t>
            </w:r>
          </w:p>
        </w:tc>
      </w:tr>
    </w:tbl>
    <w:p w:rsidR="00DC1500" w:rsidRPr="00FB0736" w:rsidRDefault="00DC1500" w:rsidP="00417143">
      <w:pPr>
        <w:spacing w:after="0" w:line="240" w:lineRule="auto"/>
        <w:jc w:val="center"/>
        <w:rPr>
          <w:rFonts w:ascii="Times New Roman" w:hAnsi="Times New Roman" w:cs="Times New Roman"/>
          <w:b/>
          <w:bCs/>
          <w:sz w:val="20"/>
          <w:szCs w:val="28"/>
        </w:rPr>
      </w:pPr>
    </w:p>
    <w:p w:rsidR="00361381" w:rsidRPr="002414C4" w:rsidRDefault="00361381" w:rsidP="00417143">
      <w:pPr>
        <w:spacing w:after="0" w:line="240" w:lineRule="auto"/>
        <w:jc w:val="center"/>
        <w:rPr>
          <w:rFonts w:ascii="Times New Roman" w:hAnsi="Times New Roman" w:cs="Times New Roman"/>
          <w:b/>
          <w:bCs/>
          <w:sz w:val="16"/>
          <w:szCs w:val="16"/>
        </w:rPr>
      </w:pPr>
    </w:p>
    <w:p w:rsidR="00DC1500" w:rsidRPr="00FB0736" w:rsidRDefault="00DC1500" w:rsidP="00417143">
      <w:pPr>
        <w:spacing w:after="0" w:line="240" w:lineRule="auto"/>
        <w:jc w:val="center"/>
        <w:rPr>
          <w:rFonts w:ascii="Times New Roman" w:hAnsi="Times New Roman" w:cs="Times New Roman"/>
          <w:b/>
          <w:bCs/>
          <w:sz w:val="28"/>
          <w:szCs w:val="28"/>
        </w:rPr>
      </w:pPr>
      <w:r w:rsidRPr="00FB0736">
        <w:rPr>
          <w:rFonts w:ascii="Times New Roman" w:hAnsi="Times New Roman" w:cs="Times New Roman"/>
          <w:b/>
          <w:bCs/>
          <w:sz w:val="28"/>
          <w:szCs w:val="28"/>
        </w:rPr>
        <w:t>V. Механізми та заходи, які забезпечать розв’язання визначеної проблеми</w:t>
      </w:r>
    </w:p>
    <w:p w:rsidR="00133298" w:rsidRPr="002414C4" w:rsidRDefault="00133298" w:rsidP="00E26CA0">
      <w:pPr>
        <w:spacing w:after="0" w:line="240" w:lineRule="auto"/>
        <w:ind w:firstLine="708"/>
        <w:jc w:val="both"/>
        <w:rPr>
          <w:rFonts w:ascii="Times New Roman" w:hAnsi="Times New Roman" w:cs="Times New Roman"/>
          <w:sz w:val="16"/>
          <w:szCs w:val="16"/>
        </w:rPr>
      </w:pPr>
    </w:p>
    <w:p w:rsidR="007E64A2" w:rsidRDefault="00E26CA0" w:rsidP="00E26CA0">
      <w:pPr>
        <w:spacing w:after="0" w:line="240" w:lineRule="auto"/>
        <w:ind w:firstLine="708"/>
        <w:jc w:val="both"/>
        <w:rPr>
          <w:rFonts w:ascii="Times New Roman" w:hAnsi="Times New Roman" w:cs="Times New Roman"/>
          <w:sz w:val="28"/>
          <w:szCs w:val="28"/>
        </w:rPr>
      </w:pPr>
      <w:r w:rsidRPr="00FB0736">
        <w:rPr>
          <w:rFonts w:ascii="Times New Roman" w:hAnsi="Times New Roman" w:cs="Times New Roman"/>
          <w:sz w:val="28"/>
          <w:szCs w:val="28"/>
        </w:rPr>
        <w:t xml:space="preserve">Прийняття </w:t>
      </w:r>
      <w:r w:rsidR="00BD01A2">
        <w:rPr>
          <w:rFonts w:ascii="Times New Roman" w:hAnsi="Times New Roman" w:cs="Times New Roman"/>
          <w:sz w:val="28"/>
          <w:szCs w:val="28"/>
        </w:rPr>
        <w:t>П</w:t>
      </w:r>
      <w:r w:rsidRPr="00FB0736">
        <w:rPr>
          <w:rFonts w:ascii="Times New Roman" w:hAnsi="Times New Roman" w:cs="Times New Roman"/>
          <w:sz w:val="28"/>
          <w:szCs w:val="28"/>
        </w:rPr>
        <w:t xml:space="preserve">роєкту постанови дозволить </w:t>
      </w:r>
      <w:r w:rsidR="0054369C">
        <w:rPr>
          <w:rFonts w:ascii="Times New Roman" w:hAnsi="Times New Roman" w:cs="Times New Roman"/>
          <w:sz w:val="28"/>
          <w:szCs w:val="28"/>
        </w:rPr>
        <w:t>з</w:t>
      </w:r>
      <w:r w:rsidR="0054369C" w:rsidRPr="0054369C">
        <w:rPr>
          <w:rFonts w:ascii="Times New Roman" w:hAnsi="Times New Roman" w:cs="Times New Roman"/>
          <w:sz w:val="28"/>
          <w:szCs w:val="28"/>
        </w:rPr>
        <w:t>абезпеч</w:t>
      </w:r>
      <w:r w:rsidR="0054369C">
        <w:rPr>
          <w:rFonts w:ascii="Times New Roman" w:hAnsi="Times New Roman" w:cs="Times New Roman"/>
          <w:sz w:val="28"/>
          <w:szCs w:val="28"/>
        </w:rPr>
        <w:t>ити</w:t>
      </w:r>
      <w:r w:rsidR="0054369C" w:rsidRPr="0054369C">
        <w:rPr>
          <w:rFonts w:ascii="Times New Roman" w:hAnsi="Times New Roman" w:cs="Times New Roman"/>
          <w:sz w:val="28"/>
          <w:szCs w:val="28"/>
        </w:rPr>
        <w:t xml:space="preserve"> відповідність положень Порядку в частині розрахунку ціни, за якою здійснюється постачання електричної енергії споживачам ПОН, вимогам частини п’ятої статті 64 Закону</w:t>
      </w:r>
      <w:r w:rsidR="007E64A2">
        <w:rPr>
          <w:rFonts w:ascii="Times New Roman" w:hAnsi="Times New Roman" w:cs="Times New Roman"/>
          <w:sz w:val="28"/>
          <w:szCs w:val="28"/>
        </w:rPr>
        <w:t xml:space="preserve">, та </w:t>
      </w:r>
      <w:r w:rsidR="007E64A2" w:rsidRPr="007E64A2">
        <w:rPr>
          <w:rFonts w:ascii="Times New Roman" w:hAnsi="Times New Roman" w:cs="Times New Roman"/>
          <w:sz w:val="28"/>
          <w:szCs w:val="28"/>
        </w:rPr>
        <w:t xml:space="preserve">недопущення </w:t>
      </w:r>
      <w:r w:rsidR="007E64A2">
        <w:rPr>
          <w:rFonts w:ascii="Times New Roman" w:hAnsi="Times New Roman" w:cs="Times New Roman"/>
          <w:sz w:val="28"/>
          <w:szCs w:val="28"/>
        </w:rPr>
        <w:t>п</w:t>
      </w:r>
      <w:r w:rsidR="007E64A2" w:rsidRPr="007E64A2">
        <w:rPr>
          <w:rFonts w:ascii="Times New Roman" w:hAnsi="Times New Roman" w:cs="Times New Roman"/>
          <w:sz w:val="28"/>
          <w:szCs w:val="28"/>
        </w:rPr>
        <w:t>огіршення фінансового становища ПОН через невідповідність цін купівлі на ринку електричної енергії цінам, за якими ПОН постачає електроенергію власним споживачам</w:t>
      </w:r>
      <w:r w:rsidR="007E64A2">
        <w:rPr>
          <w:rFonts w:ascii="Times New Roman" w:hAnsi="Times New Roman" w:cs="Times New Roman"/>
          <w:sz w:val="28"/>
          <w:szCs w:val="28"/>
        </w:rPr>
        <w:t>.</w:t>
      </w:r>
    </w:p>
    <w:p w:rsidR="00E26CA0" w:rsidRPr="00FB0736" w:rsidRDefault="007E64A2" w:rsidP="00E26CA0">
      <w:pPr>
        <w:spacing w:after="0" w:line="240" w:lineRule="auto"/>
        <w:ind w:firstLine="708"/>
        <w:jc w:val="both"/>
        <w:rPr>
          <w:rFonts w:ascii="Times New Roman" w:hAnsi="Times New Roman" w:cs="Times New Roman"/>
          <w:sz w:val="28"/>
          <w:szCs w:val="28"/>
        </w:rPr>
      </w:pPr>
      <w:r w:rsidRPr="007E64A2">
        <w:rPr>
          <w:rFonts w:ascii="Times New Roman" w:hAnsi="Times New Roman" w:cs="Times New Roman"/>
          <w:sz w:val="28"/>
          <w:szCs w:val="28"/>
        </w:rPr>
        <w:t xml:space="preserve"> </w:t>
      </w:r>
      <w:r w:rsidR="00E26CA0" w:rsidRPr="00FB0736">
        <w:rPr>
          <w:rFonts w:ascii="Times New Roman" w:hAnsi="Times New Roman" w:cs="Times New Roman"/>
          <w:sz w:val="28"/>
          <w:szCs w:val="28"/>
        </w:rPr>
        <w:t>Впливу зовнішніх факторів, що можуть мати негативний вплив на виконання вимог регуляторного акта, не очікується.</w:t>
      </w:r>
    </w:p>
    <w:p w:rsidR="00E26CA0" w:rsidRPr="00FB0736" w:rsidRDefault="00E26CA0" w:rsidP="00E26CA0">
      <w:pPr>
        <w:spacing w:after="0" w:line="240" w:lineRule="auto"/>
        <w:ind w:firstLine="708"/>
        <w:jc w:val="both"/>
        <w:rPr>
          <w:rFonts w:ascii="Times New Roman" w:hAnsi="Times New Roman" w:cs="Times New Roman"/>
          <w:sz w:val="28"/>
          <w:szCs w:val="28"/>
        </w:rPr>
      </w:pPr>
      <w:r w:rsidRPr="00FB0736">
        <w:rPr>
          <w:rFonts w:ascii="Times New Roman" w:hAnsi="Times New Roman" w:cs="Times New Roman"/>
          <w:sz w:val="28"/>
          <w:szCs w:val="28"/>
        </w:rPr>
        <w:t>Характеристика механізму повної або часткової компенсації можливої шкоди у разі настання очікуваних наслідків дії акта не розроблялась, оскільки введення в дію положень регуляторного акта не призведе до настання будь-яких негативних наслідків.</w:t>
      </w:r>
    </w:p>
    <w:p w:rsidR="00E26CA0" w:rsidRPr="00FB0736" w:rsidRDefault="00E26CA0" w:rsidP="00E26CA0">
      <w:pPr>
        <w:spacing w:after="0" w:line="240" w:lineRule="auto"/>
        <w:ind w:firstLine="708"/>
        <w:jc w:val="both"/>
        <w:rPr>
          <w:rFonts w:ascii="Times New Roman" w:hAnsi="Times New Roman" w:cs="Times New Roman"/>
          <w:sz w:val="28"/>
          <w:szCs w:val="28"/>
        </w:rPr>
      </w:pPr>
      <w:r w:rsidRPr="00FB0736">
        <w:rPr>
          <w:rFonts w:ascii="Times New Roman" w:hAnsi="Times New Roman" w:cs="Times New Roman"/>
          <w:sz w:val="28"/>
          <w:szCs w:val="28"/>
        </w:rPr>
        <w:t>Функції в частині здійснення державного контролю та нагляду за додержанням вимог акта будуть здійснюватись державними органами, яким, відповідно до законодавства, надані такі повноваження.</w:t>
      </w:r>
      <w:bookmarkStart w:id="1" w:name="_GoBack"/>
      <w:bookmarkEnd w:id="1"/>
    </w:p>
    <w:p w:rsidR="00720F7E" w:rsidRPr="002414C4" w:rsidRDefault="00720F7E" w:rsidP="00822490">
      <w:pPr>
        <w:widowControl w:val="0"/>
        <w:spacing w:after="0" w:line="240" w:lineRule="auto"/>
        <w:ind w:firstLine="709"/>
        <w:rPr>
          <w:rFonts w:ascii="Times New Roman" w:hAnsi="Times New Roman" w:cs="Times New Roman"/>
          <w:b/>
          <w:bCs/>
          <w:sz w:val="16"/>
          <w:szCs w:val="16"/>
        </w:rPr>
      </w:pPr>
    </w:p>
    <w:p w:rsidR="00DC1500" w:rsidRPr="00F04312" w:rsidRDefault="00DC1500" w:rsidP="00822490">
      <w:pPr>
        <w:widowControl w:val="0"/>
        <w:spacing w:after="0" w:line="240" w:lineRule="auto"/>
        <w:ind w:firstLine="709"/>
        <w:rPr>
          <w:rFonts w:ascii="Times New Roman" w:hAnsi="Times New Roman" w:cs="Times New Roman"/>
          <w:b/>
          <w:bCs/>
          <w:sz w:val="28"/>
          <w:szCs w:val="28"/>
        </w:rPr>
      </w:pPr>
      <w:r w:rsidRPr="00F04312">
        <w:rPr>
          <w:rFonts w:ascii="Times New Roman" w:hAnsi="Times New Roman" w:cs="Times New Roman"/>
          <w:b/>
          <w:bCs/>
          <w:sz w:val="28"/>
          <w:szCs w:val="28"/>
        </w:rPr>
        <w:t>VI. Обґрунтування запропонованого строку дії регуляторного акта</w:t>
      </w:r>
    </w:p>
    <w:p w:rsidR="00DC1500" w:rsidRPr="00F04312" w:rsidRDefault="00DC1500" w:rsidP="00822490">
      <w:pPr>
        <w:widowControl w:val="0"/>
        <w:spacing w:after="0" w:line="240" w:lineRule="auto"/>
        <w:ind w:firstLine="709"/>
        <w:rPr>
          <w:rFonts w:ascii="Times New Roman" w:hAnsi="Times New Roman" w:cs="Times New Roman"/>
          <w:b/>
          <w:bCs/>
          <w:sz w:val="16"/>
          <w:szCs w:val="16"/>
        </w:rPr>
      </w:pPr>
    </w:p>
    <w:p w:rsidR="00DC1500" w:rsidRPr="00F04312" w:rsidRDefault="00DC1500" w:rsidP="00822490">
      <w:pPr>
        <w:pStyle w:val="ad"/>
        <w:widowControl w:val="0"/>
        <w:spacing w:before="0" w:beforeAutospacing="0" w:after="0" w:afterAutospacing="0"/>
        <w:ind w:firstLine="709"/>
        <w:jc w:val="both"/>
        <w:textAlignment w:val="baseline"/>
        <w:rPr>
          <w:rFonts w:ascii="Times New Roman" w:hAnsi="Times New Roman" w:cs="Times New Roman"/>
          <w:sz w:val="28"/>
          <w:szCs w:val="28"/>
          <w:lang w:val="uk-UA" w:eastAsia="en-US"/>
        </w:rPr>
      </w:pPr>
      <w:r w:rsidRPr="00F04312">
        <w:rPr>
          <w:rFonts w:ascii="Times New Roman" w:hAnsi="Times New Roman" w:cs="Times New Roman"/>
          <w:sz w:val="28"/>
          <w:szCs w:val="28"/>
          <w:lang w:val="uk-UA" w:eastAsia="en-US"/>
        </w:rPr>
        <w:t>Термін дії акта не обмежений та може бути змінений у разі внесення відповідних змін до законодавства.</w:t>
      </w:r>
    </w:p>
    <w:p w:rsidR="004A42CB" w:rsidRPr="00F04312" w:rsidRDefault="004A42CB" w:rsidP="00822490">
      <w:pPr>
        <w:tabs>
          <w:tab w:val="left" w:pos="709"/>
        </w:tabs>
        <w:spacing w:after="0" w:line="240" w:lineRule="auto"/>
        <w:ind w:firstLine="709"/>
        <w:rPr>
          <w:rFonts w:ascii="Times New Roman" w:hAnsi="Times New Roman" w:cs="Times New Roman"/>
          <w:b/>
          <w:bCs/>
          <w:sz w:val="28"/>
          <w:szCs w:val="28"/>
        </w:rPr>
      </w:pPr>
    </w:p>
    <w:p w:rsidR="00DC1500" w:rsidRPr="00F04312" w:rsidRDefault="00DC1500" w:rsidP="00822490">
      <w:pPr>
        <w:tabs>
          <w:tab w:val="left" w:pos="709"/>
        </w:tabs>
        <w:spacing w:after="0" w:line="240" w:lineRule="auto"/>
        <w:ind w:firstLine="709"/>
        <w:rPr>
          <w:rFonts w:ascii="Times New Roman" w:hAnsi="Times New Roman" w:cs="Times New Roman"/>
          <w:b/>
          <w:bCs/>
          <w:sz w:val="28"/>
          <w:szCs w:val="28"/>
        </w:rPr>
      </w:pPr>
      <w:r w:rsidRPr="00F04312">
        <w:rPr>
          <w:rFonts w:ascii="Times New Roman" w:hAnsi="Times New Roman" w:cs="Times New Roman"/>
          <w:b/>
          <w:bCs/>
          <w:sz w:val="28"/>
          <w:szCs w:val="28"/>
        </w:rPr>
        <w:t>VII. Визначення показників результативності дії регуляторного акта</w:t>
      </w:r>
    </w:p>
    <w:p w:rsidR="00DC1500" w:rsidRPr="00F04312" w:rsidRDefault="00DC1500" w:rsidP="00822490">
      <w:pPr>
        <w:tabs>
          <w:tab w:val="left" w:pos="709"/>
        </w:tabs>
        <w:spacing w:after="0" w:line="240" w:lineRule="auto"/>
        <w:ind w:firstLine="708"/>
        <w:jc w:val="center"/>
        <w:rPr>
          <w:rFonts w:ascii="Times New Roman" w:hAnsi="Times New Roman" w:cs="Times New Roman"/>
          <w:b/>
          <w:bCs/>
          <w:sz w:val="16"/>
          <w:szCs w:val="16"/>
        </w:rPr>
      </w:pPr>
    </w:p>
    <w:p w:rsidR="009F0A21" w:rsidRPr="00F04312" w:rsidRDefault="009F0A21" w:rsidP="004A42CB">
      <w:pPr>
        <w:widowControl w:val="0"/>
        <w:tabs>
          <w:tab w:val="left" w:pos="567"/>
          <w:tab w:val="left" w:pos="1134"/>
        </w:tabs>
        <w:spacing w:after="0" w:line="240" w:lineRule="auto"/>
        <w:ind w:firstLine="709"/>
        <w:jc w:val="both"/>
        <w:rPr>
          <w:rFonts w:ascii="Times New Roman" w:hAnsi="Times New Roman"/>
          <w:sz w:val="28"/>
          <w:szCs w:val="28"/>
        </w:rPr>
      </w:pPr>
      <w:r w:rsidRPr="00F04312">
        <w:rPr>
          <w:rFonts w:ascii="Times New Roman" w:hAnsi="Times New Roman"/>
          <w:sz w:val="28"/>
          <w:szCs w:val="28"/>
        </w:rPr>
        <w:t>Після набрання чинності постановою НКРЕКП «Про внесення змін до Порядку формування ціни, за якою здійснюється постачання електричної енергії споживачам постачальником «останньої надії» її результативність визначатиметься такими показниками:</w:t>
      </w:r>
    </w:p>
    <w:p w:rsidR="009F0A21" w:rsidRPr="00F04312" w:rsidRDefault="009F0A21" w:rsidP="004A42CB">
      <w:pPr>
        <w:widowControl w:val="0"/>
        <w:numPr>
          <w:ilvl w:val="0"/>
          <w:numId w:val="8"/>
        </w:numPr>
        <w:tabs>
          <w:tab w:val="left" w:pos="567"/>
          <w:tab w:val="left" w:pos="1134"/>
        </w:tabs>
        <w:spacing w:after="0" w:line="240" w:lineRule="auto"/>
        <w:ind w:left="0" w:firstLine="709"/>
        <w:jc w:val="both"/>
        <w:rPr>
          <w:rFonts w:ascii="Times New Roman" w:hAnsi="Times New Roman"/>
          <w:sz w:val="28"/>
          <w:szCs w:val="28"/>
        </w:rPr>
      </w:pPr>
      <w:r w:rsidRPr="00F04312">
        <w:rPr>
          <w:rFonts w:ascii="Times New Roman" w:hAnsi="Times New Roman"/>
          <w:sz w:val="28"/>
          <w:szCs w:val="28"/>
        </w:rPr>
        <w:t>дія акта не передбачає надходжень та/або видатків з/до державного та/або місцевих бюджетів і державних цільових фондів, пов’язаних із дією акта;</w:t>
      </w:r>
    </w:p>
    <w:p w:rsidR="004A42CB" w:rsidRPr="00F04312" w:rsidRDefault="009F0A21" w:rsidP="004A42CB">
      <w:pPr>
        <w:widowControl w:val="0"/>
        <w:numPr>
          <w:ilvl w:val="0"/>
          <w:numId w:val="8"/>
        </w:numPr>
        <w:tabs>
          <w:tab w:val="left" w:pos="567"/>
          <w:tab w:val="left" w:pos="1134"/>
        </w:tabs>
        <w:spacing w:after="0" w:line="240" w:lineRule="auto"/>
        <w:ind w:left="0" w:firstLine="709"/>
        <w:jc w:val="both"/>
        <w:rPr>
          <w:rFonts w:ascii="Times New Roman" w:hAnsi="Times New Roman"/>
          <w:sz w:val="28"/>
          <w:szCs w:val="28"/>
        </w:rPr>
      </w:pPr>
      <w:r w:rsidRPr="00F04312">
        <w:rPr>
          <w:rFonts w:ascii="Times New Roman" w:hAnsi="Times New Roman"/>
          <w:sz w:val="28"/>
          <w:szCs w:val="28"/>
        </w:rPr>
        <w:t>дія акта розповсюджується на постачальника «останньої надії», побутових споживачів (крім випадків застосування фіксованих цін на електричну енергію за рішенням Кабінету Міністрів України в рамках покладення спеціальних обов’язків) та непобутових споживачів у випадках, передбачених статтею 64 Закону та Правилами роздрібного ринку електричної енергії, затвердженими постановою НКРЕКП від 14.03.2018 № 312;</w:t>
      </w:r>
    </w:p>
    <w:p w:rsidR="00DC1500" w:rsidRPr="00F04312" w:rsidRDefault="00DC1500" w:rsidP="004A42CB">
      <w:pPr>
        <w:widowControl w:val="0"/>
        <w:numPr>
          <w:ilvl w:val="0"/>
          <w:numId w:val="8"/>
        </w:numPr>
        <w:tabs>
          <w:tab w:val="left" w:pos="567"/>
          <w:tab w:val="left" w:pos="1134"/>
        </w:tabs>
        <w:spacing w:after="0" w:line="240" w:lineRule="auto"/>
        <w:ind w:left="0" w:firstLine="709"/>
        <w:jc w:val="both"/>
        <w:rPr>
          <w:rFonts w:ascii="Times New Roman" w:hAnsi="Times New Roman"/>
          <w:sz w:val="28"/>
          <w:szCs w:val="28"/>
        </w:rPr>
      </w:pPr>
      <w:r w:rsidRPr="00F04312">
        <w:rPr>
          <w:rFonts w:ascii="Times New Roman" w:hAnsi="Times New Roman"/>
          <w:sz w:val="28"/>
          <w:szCs w:val="28"/>
        </w:rPr>
        <w:lastRenderedPageBreak/>
        <w:t xml:space="preserve">рівнем поінформованості суб’єктів господарювання та/або фізичних осіб з основних положень акта </w:t>
      </w:r>
      <w:r w:rsidR="00FB35CD" w:rsidRPr="00F04312">
        <w:rPr>
          <w:rFonts w:ascii="Times New Roman" w:hAnsi="Times New Roman"/>
          <w:sz w:val="28"/>
          <w:szCs w:val="28"/>
        </w:rPr>
        <w:t>–</w:t>
      </w:r>
      <w:r w:rsidRPr="00F04312">
        <w:rPr>
          <w:rFonts w:ascii="Times New Roman" w:hAnsi="Times New Roman"/>
          <w:sz w:val="28"/>
          <w:szCs w:val="28"/>
        </w:rPr>
        <w:t xml:space="preserve"> середній. </w:t>
      </w:r>
    </w:p>
    <w:p w:rsidR="00DC1500" w:rsidRPr="00F04312" w:rsidRDefault="00DC1500" w:rsidP="004A42CB">
      <w:pPr>
        <w:widowControl w:val="0"/>
        <w:tabs>
          <w:tab w:val="left" w:pos="567"/>
          <w:tab w:val="left" w:pos="1134"/>
        </w:tabs>
        <w:spacing w:after="0" w:line="240" w:lineRule="auto"/>
        <w:ind w:firstLine="709"/>
        <w:jc w:val="both"/>
        <w:rPr>
          <w:rFonts w:ascii="Times New Roman" w:hAnsi="Times New Roman" w:cs="Times New Roman"/>
          <w:sz w:val="28"/>
          <w:szCs w:val="28"/>
        </w:rPr>
      </w:pPr>
      <w:r w:rsidRPr="00F04312">
        <w:rPr>
          <w:rFonts w:ascii="Times New Roman" w:hAnsi="Times New Roman"/>
          <w:sz w:val="28"/>
          <w:szCs w:val="28"/>
        </w:rPr>
        <w:t xml:space="preserve">Відповідно до </w:t>
      </w:r>
      <w:r w:rsidR="007E5783" w:rsidRPr="00F04312">
        <w:rPr>
          <w:rFonts w:ascii="Times New Roman" w:hAnsi="Times New Roman"/>
          <w:sz w:val="28"/>
          <w:szCs w:val="28"/>
        </w:rPr>
        <w:t xml:space="preserve">вимог </w:t>
      </w:r>
      <w:r w:rsidRPr="00F04312">
        <w:rPr>
          <w:rFonts w:ascii="Times New Roman" w:hAnsi="Times New Roman"/>
          <w:sz w:val="28"/>
          <w:szCs w:val="28"/>
        </w:rPr>
        <w:t xml:space="preserve">статті 15 Закону України «Про Національну комісію, що здійснює державне регулювання у сферах енергетики та комунальних послуг» </w:t>
      </w:r>
      <w:r w:rsidR="00C53705">
        <w:rPr>
          <w:rFonts w:ascii="Times New Roman" w:hAnsi="Times New Roman"/>
          <w:sz w:val="28"/>
          <w:szCs w:val="28"/>
        </w:rPr>
        <w:t>П</w:t>
      </w:r>
      <w:r w:rsidRPr="00F04312">
        <w:rPr>
          <w:rFonts w:ascii="Times New Roman" w:hAnsi="Times New Roman"/>
          <w:sz w:val="28"/>
          <w:szCs w:val="28"/>
        </w:rPr>
        <w:t>ро</w:t>
      </w:r>
      <w:r w:rsidR="000F701B" w:rsidRPr="00F04312">
        <w:rPr>
          <w:rFonts w:ascii="Times New Roman" w:hAnsi="Times New Roman"/>
          <w:sz w:val="28"/>
          <w:szCs w:val="28"/>
        </w:rPr>
        <w:t>є</w:t>
      </w:r>
      <w:r w:rsidRPr="00F04312">
        <w:rPr>
          <w:rFonts w:ascii="Times New Roman" w:hAnsi="Times New Roman"/>
          <w:sz w:val="28"/>
          <w:szCs w:val="28"/>
        </w:rPr>
        <w:t xml:space="preserve">кт постанови, аналіз впливу </w:t>
      </w:r>
      <w:r w:rsidR="00C53705">
        <w:rPr>
          <w:rFonts w:ascii="Times New Roman" w:hAnsi="Times New Roman"/>
          <w:sz w:val="28"/>
          <w:szCs w:val="28"/>
        </w:rPr>
        <w:t>П</w:t>
      </w:r>
      <w:r w:rsidR="007E5783" w:rsidRPr="00F04312">
        <w:rPr>
          <w:rFonts w:ascii="Times New Roman" w:hAnsi="Times New Roman"/>
          <w:sz w:val="28"/>
          <w:szCs w:val="28"/>
        </w:rPr>
        <w:t>роєкту постанови</w:t>
      </w:r>
      <w:r w:rsidRPr="00F04312">
        <w:rPr>
          <w:rFonts w:ascii="Times New Roman" w:hAnsi="Times New Roman"/>
          <w:sz w:val="28"/>
          <w:szCs w:val="28"/>
        </w:rPr>
        <w:t>, що має ознаки регуляторного акта</w:t>
      </w:r>
      <w:r w:rsidR="000F701B" w:rsidRPr="00F04312">
        <w:rPr>
          <w:rFonts w:ascii="Times New Roman" w:hAnsi="Times New Roman"/>
          <w:sz w:val="28"/>
          <w:szCs w:val="28"/>
        </w:rPr>
        <w:t>,</w:t>
      </w:r>
      <w:r w:rsidRPr="00F04312">
        <w:rPr>
          <w:rFonts w:ascii="Times New Roman" w:hAnsi="Times New Roman"/>
          <w:sz w:val="28"/>
          <w:szCs w:val="28"/>
        </w:rPr>
        <w:t xml:space="preserve"> та повідомлення про оприлюднення розміщено на офіційному вебсайті Національної комісії, що здійснює державне регулювання у сферах енергетики та комунальних послуг, </w:t>
      </w:r>
      <w:r w:rsidR="00C53705">
        <w:rPr>
          <w:rFonts w:ascii="Times New Roman" w:hAnsi="Times New Roman"/>
          <w:sz w:val="28"/>
          <w:szCs w:val="28"/>
        </w:rPr>
        <w:t>у</w:t>
      </w:r>
      <w:r w:rsidRPr="00F04312">
        <w:rPr>
          <w:rFonts w:ascii="Times New Roman" w:hAnsi="Times New Roman"/>
          <w:sz w:val="28"/>
          <w:szCs w:val="28"/>
        </w:rPr>
        <w:t xml:space="preserve"> мережі Інтернет </w:t>
      </w:r>
      <w:hyperlink r:id="rId8" w:history="1">
        <w:r w:rsidR="004A42CB" w:rsidRPr="00F04312">
          <w:rPr>
            <w:rStyle w:val="af8"/>
            <w:rFonts w:ascii="Times New Roman" w:hAnsi="Times New Roman" w:cs="Times New Roman"/>
            <w:bCs/>
            <w:sz w:val="28"/>
            <w:szCs w:val="28"/>
          </w:rPr>
          <w:t>www.nerc.gov.ua</w:t>
        </w:r>
      </w:hyperlink>
      <w:r w:rsidRPr="00F04312">
        <w:rPr>
          <w:rFonts w:ascii="Times New Roman" w:hAnsi="Times New Roman" w:cs="Times New Roman"/>
          <w:sz w:val="28"/>
          <w:szCs w:val="28"/>
        </w:rPr>
        <w:t>.</w:t>
      </w:r>
    </w:p>
    <w:p w:rsidR="00DC1500" w:rsidRPr="00F04312" w:rsidRDefault="00DC1500" w:rsidP="004A42CB">
      <w:pPr>
        <w:widowControl w:val="0"/>
        <w:tabs>
          <w:tab w:val="left" w:pos="567"/>
          <w:tab w:val="left" w:pos="1134"/>
        </w:tabs>
        <w:spacing w:after="0" w:line="240" w:lineRule="auto"/>
        <w:ind w:firstLine="709"/>
        <w:jc w:val="both"/>
        <w:rPr>
          <w:rFonts w:ascii="Times New Roman" w:hAnsi="Times New Roman"/>
          <w:sz w:val="28"/>
          <w:szCs w:val="28"/>
        </w:rPr>
      </w:pPr>
      <w:r w:rsidRPr="00F04312">
        <w:rPr>
          <w:rFonts w:ascii="Times New Roman" w:hAnsi="Times New Roman"/>
          <w:sz w:val="28"/>
          <w:szCs w:val="28"/>
        </w:rPr>
        <w:t>НКРЕКП у межах компетенції надає необхідні роз’яснення щодо норм про</w:t>
      </w:r>
      <w:r w:rsidR="000F701B" w:rsidRPr="00F04312">
        <w:rPr>
          <w:rFonts w:ascii="Times New Roman" w:hAnsi="Times New Roman"/>
          <w:sz w:val="28"/>
          <w:szCs w:val="28"/>
        </w:rPr>
        <w:t>є</w:t>
      </w:r>
      <w:r w:rsidRPr="00F04312">
        <w:rPr>
          <w:rFonts w:ascii="Times New Roman" w:hAnsi="Times New Roman"/>
          <w:sz w:val="28"/>
          <w:szCs w:val="28"/>
        </w:rPr>
        <w:t>кту регуляторного акта і надаватиме роз’яснення щодо застосування акта після його прийняття.</w:t>
      </w:r>
    </w:p>
    <w:p w:rsidR="000E40B4" w:rsidRPr="00F04312" w:rsidRDefault="000E40B4" w:rsidP="005E706E">
      <w:pPr>
        <w:widowControl w:val="0"/>
        <w:spacing w:after="0"/>
        <w:ind w:firstLine="709"/>
        <w:jc w:val="both"/>
        <w:rPr>
          <w:rFonts w:ascii="Times New Roman" w:hAnsi="Times New Roman" w:cs="Times New Roman"/>
          <w:sz w:val="16"/>
          <w:szCs w:val="16"/>
        </w:rPr>
      </w:pPr>
    </w:p>
    <w:p w:rsidR="00DC1500" w:rsidRPr="00F04312" w:rsidRDefault="00DC1500" w:rsidP="00417143">
      <w:pPr>
        <w:spacing w:after="0" w:line="240" w:lineRule="auto"/>
        <w:ind w:firstLine="709"/>
        <w:jc w:val="both"/>
        <w:rPr>
          <w:rFonts w:ascii="Times New Roman" w:hAnsi="Times New Roman" w:cs="Times New Roman"/>
          <w:b/>
          <w:bCs/>
          <w:sz w:val="28"/>
          <w:szCs w:val="28"/>
        </w:rPr>
      </w:pPr>
      <w:r w:rsidRPr="00F04312">
        <w:rPr>
          <w:rFonts w:ascii="Times New Roman" w:hAnsi="Times New Roman" w:cs="Times New Roman"/>
          <w:b/>
          <w:bCs/>
          <w:sz w:val="28"/>
          <w:szCs w:val="28"/>
        </w:rPr>
        <w:t>VIII. Очікувані результати прийняття регуляторного акта</w:t>
      </w:r>
    </w:p>
    <w:p w:rsidR="00DC1500" w:rsidRPr="00F04312" w:rsidRDefault="00DC1500" w:rsidP="006A11D4">
      <w:pPr>
        <w:spacing w:after="0" w:line="240" w:lineRule="auto"/>
        <w:jc w:val="both"/>
        <w:rPr>
          <w:rFonts w:ascii="Times New Roman" w:hAnsi="Times New Roman" w:cs="Times New Roman"/>
          <w:sz w:val="16"/>
          <w:szCs w:val="16"/>
        </w:rPr>
      </w:pPr>
    </w:p>
    <w:p w:rsidR="000D246C" w:rsidRPr="00F04312" w:rsidRDefault="00E36CF3" w:rsidP="000D246C">
      <w:pPr>
        <w:spacing w:after="0" w:line="240" w:lineRule="auto"/>
        <w:ind w:firstLine="708"/>
        <w:jc w:val="both"/>
        <w:rPr>
          <w:rFonts w:ascii="Times New Roman" w:hAnsi="Times New Roman" w:cs="Times New Roman"/>
          <w:sz w:val="28"/>
          <w:szCs w:val="28"/>
        </w:rPr>
      </w:pPr>
      <w:r w:rsidRPr="00F04312">
        <w:rPr>
          <w:rFonts w:ascii="Times New Roman" w:hAnsi="Times New Roman"/>
          <w:sz w:val="28"/>
          <w:szCs w:val="28"/>
        </w:rPr>
        <w:t>Результатом п</w:t>
      </w:r>
      <w:r w:rsidR="00DC1500" w:rsidRPr="00F04312">
        <w:rPr>
          <w:rFonts w:ascii="Times New Roman" w:hAnsi="Times New Roman"/>
          <w:sz w:val="28"/>
          <w:szCs w:val="28"/>
        </w:rPr>
        <w:t xml:space="preserve">рийняття постанови НКРЕКП </w:t>
      </w:r>
      <w:r w:rsidR="00BB7D13" w:rsidRPr="00F04312">
        <w:rPr>
          <w:rFonts w:ascii="Times New Roman" w:hAnsi="Times New Roman"/>
          <w:sz w:val="28"/>
          <w:szCs w:val="28"/>
        </w:rPr>
        <w:t>«Про внесення змін до Порядку формування ціни, за якою здійснюється постачання електричної енергії споживачам постачальником «останньої надії»</w:t>
      </w:r>
      <w:r w:rsidRPr="00F04312">
        <w:rPr>
          <w:rFonts w:ascii="Times New Roman" w:hAnsi="Times New Roman"/>
          <w:sz w:val="28"/>
          <w:szCs w:val="28"/>
        </w:rPr>
        <w:t xml:space="preserve"> </w:t>
      </w:r>
      <w:r w:rsidR="00722A56" w:rsidRPr="00F04312">
        <w:rPr>
          <w:rFonts w:ascii="Times New Roman" w:hAnsi="Times New Roman"/>
          <w:sz w:val="28"/>
          <w:szCs w:val="28"/>
        </w:rPr>
        <w:t xml:space="preserve">має стати </w:t>
      </w:r>
      <w:r w:rsidR="00F70445" w:rsidRPr="00F04312">
        <w:rPr>
          <w:rFonts w:ascii="Times New Roman" w:hAnsi="Times New Roman" w:cs="Times New Roman"/>
          <w:sz w:val="28"/>
          <w:szCs w:val="28"/>
        </w:rPr>
        <w:t>забезпечення відповідності положень Порядку в частині розрахунку ціни, за якою здійснюється постачання електричної енергії споживачам ПОН, вимогам</w:t>
      </w:r>
      <w:r w:rsidR="00F70445" w:rsidRPr="00F04312">
        <w:t xml:space="preserve"> </w:t>
      </w:r>
      <w:r w:rsidR="00F70445" w:rsidRPr="00F04312">
        <w:rPr>
          <w:rFonts w:ascii="Times New Roman" w:hAnsi="Times New Roman" w:cs="Times New Roman"/>
          <w:sz w:val="28"/>
          <w:szCs w:val="28"/>
        </w:rPr>
        <w:t xml:space="preserve">частини п’ятої статті 64 Закону щодо, зокрема економічної обґрунтованості такої ціни, а також </w:t>
      </w:r>
      <w:bookmarkStart w:id="2" w:name="_Hlk175581353"/>
      <w:r w:rsidR="00F70445" w:rsidRPr="00F04312">
        <w:rPr>
          <w:rFonts w:ascii="Times New Roman" w:hAnsi="Times New Roman" w:cs="Times New Roman"/>
          <w:sz w:val="28"/>
          <w:szCs w:val="28"/>
        </w:rPr>
        <w:t>недопущення погіршення фінансового становища ПОН</w:t>
      </w:r>
      <w:bookmarkEnd w:id="2"/>
      <w:r w:rsidR="00F70445" w:rsidRPr="00F04312">
        <w:rPr>
          <w:rFonts w:ascii="Times New Roman" w:hAnsi="Times New Roman" w:cs="Times New Roman"/>
          <w:sz w:val="28"/>
          <w:szCs w:val="28"/>
        </w:rPr>
        <w:t xml:space="preserve"> як одного з критично важливих учасників ринку електричної енергії, на якого покладені спеціальні обов’язки для забезпечення загальносуспільних інтересів у процесі функціонування ринку електричної енергії.</w:t>
      </w:r>
    </w:p>
    <w:p w:rsidR="000D246C" w:rsidRPr="00F04312" w:rsidRDefault="000D246C" w:rsidP="00C232E5">
      <w:pPr>
        <w:spacing w:after="0" w:line="240" w:lineRule="auto"/>
        <w:jc w:val="both"/>
        <w:rPr>
          <w:rFonts w:ascii="Times New Roman" w:hAnsi="Times New Roman" w:cs="Times New Roman"/>
          <w:sz w:val="24"/>
          <w:szCs w:val="28"/>
        </w:rPr>
      </w:pPr>
    </w:p>
    <w:p w:rsidR="003273AC" w:rsidRPr="00F04312" w:rsidRDefault="003273AC" w:rsidP="00C232E5">
      <w:pPr>
        <w:spacing w:after="0" w:line="240" w:lineRule="auto"/>
        <w:jc w:val="both"/>
        <w:rPr>
          <w:rFonts w:ascii="Times New Roman" w:hAnsi="Times New Roman" w:cs="Times New Roman"/>
          <w:sz w:val="24"/>
          <w:szCs w:val="28"/>
        </w:rPr>
      </w:pPr>
    </w:p>
    <w:p w:rsidR="00D339F7" w:rsidRDefault="009A110B" w:rsidP="009A110B">
      <w:pPr>
        <w:widowControl w:val="0"/>
        <w:spacing w:before="100" w:beforeAutospacing="1" w:after="100" w:afterAutospacing="1" w:line="240" w:lineRule="auto"/>
        <w:ind w:right="-81"/>
        <w:jc w:val="both"/>
        <w:rPr>
          <w:rFonts w:ascii="Times New Roman" w:eastAsia="Times New Roman" w:hAnsi="Times New Roman" w:cs="Times New Roman"/>
          <w:sz w:val="28"/>
          <w:szCs w:val="28"/>
          <w:lang w:eastAsia="ru-RU"/>
        </w:rPr>
      </w:pPr>
      <w:r w:rsidRPr="00F04312">
        <w:rPr>
          <w:rFonts w:ascii="Times New Roman" w:eastAsia="Times New Roman" w:hAnsi="Times New Roman" w:cs="Times New Roman"/>
          <w:sz w:val="28"/>
          <w:szCs w:val="28"/>
          <w:lang w:eastAsia="ru-RU"/>
        </w:rPr>
        <w:t>Голова НКРЕКП</w:t>
      </w:r>
      <w:r w:rsidRPr="00F04312">
        <w:rPr>
          <w:rFonts w:ascii="Times New Roman" w:eastAsia="Times New Roman" w:hAnsi="Times New Roman" w:cs="Times New Roman"/>
          <w:sz w:val="28"/>
          <w:szCs w:val="28"/>
          <w:lang w:eastAsia="ru-RU"/>
        </w:rPr>
        <w:tab/>
      </w:r>
      <w:r w:rsidRPr="00F04312">
        <w:rPr>
          <w:rFonts w:ascii="Times New Roman" w:eastAsia="Times New Roman" w:hAnsi="Times New Roman" w:cs="Times New Roman"/>
          <w:sz w:val="28"/>
          <w:szCs w:val="28"/>
          <w:lang w:eastAsia="ru-RU"/>
        </w:rPr>
        <w:tab/>
      </w:r>
      <w:r w:rsidRPr="00F04312">
        <w:rPr>
          <w:rFonts w:ascii="Times New Roman" w:eastAsia="Times New Roman" w:hAnsi="Times New Roman" w:cs="Times New Roman"/>
          <w:sz w:val="28"/>
          <w:szCs w:val="28"/>
          <w:lang w:eastAsia="ru-RU"/>
        </w:rPr>
        <w:tab/>
      </w:r>
      <w:r w:rsidRPr="00F04312">
        <w:rPr>
          <w:rFonts w:ascii="Times New Roman" w:eastAsia="Times New Roman" w:hAnsi="Times New Roman" w:cs="Times New Roman"/>
          <w:sz w:val="28"/>
          <w:szCs w:val="28"/>
          <w:lang w:eastAsia="ru-RU"/>
        </w:rPr>
        <w:tab/>
      </w:r>
      <w:r w:rsidRPr="00F04312">
        <w:rPr>
          <w:rFonts w:ascii="Times New Roman" w:eastAsia="Times New Roman" w:hAnsi="Times New Roman" w:cs="Times New Roman"/>
          <w:sz w:val="28"/>
          <w:szCs w:val="28"/>
          <w:lang w:eastAsia="ru-RU"/>
        </w:rPr>
        <w:tab/>
      </w:r>
      <w:r w:rsidRPr="00F04312">
        <w:rPr>
          <w:rFonts w:ascii="Times New Roman" w:eastAsia="Times New Roman" w:hAnsi="Times New Roman" w:cs="Times New Roman"/>
          <w:sz w:val="28"/>
          <w:szCs w:val="28"/>
          <w:lang w:eastAsia="ru-RU"/>
        </w:rPr>
        <w:tab/>
      </w:r>
      <w:r w:rsidRPr="00F04312">
        <w:rPr>
          <w:rFonts w:ascii="Times New Roman" w:eastAsia="Times New Roman" w:hAnsi="Times New Roman" w:cs="Times New Roman"/>
          <w:sz w:val="28"/>
          <w:szCs w:val="28"/>
          <w:lang w:eastAsia="ru-RU"/>
        </w:rPr>
        <w:tab/>
      </w:r>
      <w:r w:rsidRPr="00F04312">
        <w:rPr>
          <w:rFonts w:ascii="Times New Roman" w:eastAsia="Times New Roman" w:hAnsi="Times New Roman" w:cs="Times New Roman"/>
          <w:sz w:val="28"/>
          <w:szCs w:val="28"/>
          <w:lang w:eastAsia="ru-RU"/>
        </w:rPr>
        <w:tab/>
        <w:t>Юрій ВЛАСЕНКО</w:t>
      </w:r>
    </w:p>
    <w:sectPr w:rsidR="00D339F7" w:rsidSect="00195DC2">
      <w:headerReference w:type="default" r:id="rId9"/>
      <w:footerReference w:type="default" r:id="rId10"/>
      <w:pgSz w:w="11906" w:h="16838"/>
      <w:pgMar w:top="1134" w:right="567" w:bottom="851"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615A" w:rsidRDefault="0077615A" w:rsidP="00B4485B">
      <w:pPr>
        <w:spacing w:after="0" w:line="240" w:lineRule="auto"/>
      </w:pPr>
      <w:r>
        <w:separator/>
      </w:r>
    </w:p>
  </w:endnote>
  <w:endnote w:type="continuationSeparator" w:id="0">
    <w:p w:rsidR="0077615A" w:rsidRDefault="0077615A"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1500" w:rsidRDefault="00DC1500">
    <w:pPr>
      <w:pStyle w:val="a6"/>
      <w:jc w:val="center"/>
    </w:pPr>
  </w:p>
  <w:p w:rsidR="00DC1500" w:rsidRDefault="00DC15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615A" w:rsidRDefault="0077615A" w:rsidP="00B4485B">
      <w:pPr>
        <w:spacing w:after="0" w:line="240" w:lineRule="auto"/>
      </w:pPr>
      <w:r>
        <w:separator/>
      </w:r>
    </w:p>
  </w:footnote>
  <w:footnote w:type="continuationSeparator" w:id="0">
    <w:p w:rsidR="0077615A" w:rsidRDefault="0077615A"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1500" w:rsidRPr="00726447" w:rsidRDefault="00DC1500" w:rsidP="00B760E6">
    <w:pPr>
      <w:pStyle w:val="a4"/>
      <w:jc w:val="center"/>
      <w:rPr>
        <w:rFonts w:ascii="Times New Roman" w:hAnsi="Times New Roman" w:cs="Times New Roman"/>
      </w:rPr>
    </w:pPr>
    <w:r w:rsidRPr="00726447">
      <w:rPr>
        <w:rFonts w:ascii="Times New Roman" w:hAnsi="Times New Roman" w:cs="Times New Roman"/>
      </w:rPr>
      <w:fldChar w:fldCharType="begin"/>
    </w:r>
    <w:r w:rsidRPr="00726447">
      <w:rPr>
        <w:rFonts w:ascii="Times New Roman" w:hAnsi="Times New Roman" w:cs="Times New Roman"/>
      </w:rPr>
      <w:instrText>PAGE   \* MERGEFORMAT</w:instrText>
    </w:r>
    <w:r w:rsidRPr="00726447">
      <w:rPr>
        <w:rFonts w:ascii="Times New Roman" w:hAnsi="Times New Roman" w:cs="Times New Roman"/>
      </w:rPr>
      <w:fldChar w:fldCharType="separate"/>
    </w:r>
    <w:r w:rsidR="00582376">
      <w:rPr>
        <w:rFonts w:ascii="Times New Roman" w:hAnsi="Times New Roman" w:cs="Times New Roman"/>
        <w:noProof/>
      </w:rPr>
      <w:t>4</w:t>
    </w:r>
    <w:r w:rsidRPr="00726447">
      <w:rPr>
        <w:rFonts w:ascii="Times New Roman" w:hAnsi="Times New Roman" w:cs="Times New Roman"/>
      </w:rPr>
      <w:fldChar w:fldCharType="end"/>
    </w:r>
  </w:p>
  <w:p w:rsidR="00DC1500" w:rsidRDefault="00DC1500" w:rsidP="001C6EAC">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15:restartNumberingAfterBreak="0">
    <w:nsid w:val="16C66A34"/>
    <w:multiLevelType w:val="hybridMultilevel"/>
    <w:tmpl w:val="4ABC984E"/>
    <w:lvl w:ilvl="0" w:tplc="144E4BCC">
      <w:start w:val="1"/>
      <w:numFmt w:val="decimal"/>
      <w:lvlText w:val="%1)"/>
      <w:lvlJc w:val="left"/>
      <w:pPr>
        <w:ind w:left="1004" w:hanging="360"/>
      </w:pPr>
      <w:rPr>
        <w:rFonts w:hint="default"/>
      </w:rPr>
    </w:lvl>
    <w:lvl w:ilvl="1" w:tplc="20000019" w:tentative="1">
      <w:start w:val="1"/>
      <w:numFmt w:val="lowerLetter"/>
      <w:lvlText w:val="%2."/>
      <w:lvlJc w:val="left"/>
      <w:pPr>
        <w:ind w:left="1724" w:hanging="360"/>
      </w:p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2"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D296EF5"/>
    <w:multiLevelType w:val="hybridMultilevel"/>
    <w:tmpl w:val="06C898CE"/>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0154DD"/>
    <w:multiLevelType w:val="hybridMultilevel"/>
    <w:tmpl w:val="F5A8D05E"/>
    <w:lvl w:ilvl="0" w:tplc="2000000F">
      <w:start w:val="1"/>
      <w:numFmt w:val="decimal"/>
      <w:lvlText w:val="%1."/>
      <w:lvlJc w:val="left"/>
      <w:pPr>
        <w:ind w:left="1364" w:hanging="360"/>
      </w:pPr>
    </w:lvl>
    <w:lvl w:ilvl="1" w:tplc="20000019" w:tentative="1">
      <w:start w:val="1"/>
      <w:numFmt w:val="lowerLetter"/>
      <w:lvlText w:val="%2."/>
      <w:lvlJc w:val="left"/>
      <w:pPr>
        <w:ind w:left="2084" w:hanging="360"/>
      </w:pPr>
    </w:lvl>
    <w:lvl w:ilvl="2" w:tplc="2000001B" w:tentative="1">
      <w:start w:val="1"/>
      <w:numFmt w:val="lowerRoman"/>
      <w:lvlText w:val="%3."/>
      <w:lvlJc w:val="right"/>
      <w:pPr>
        <w:ind w:left="2804" w:hanging="180"/>
      </w:pPr>
    </w:lvl>
    <w:lvl w:ilvl="3" w:tplc="2000000F" w:tentative="1">
      <w:start w:val="1"/>
      <w:numFmt w:val="decimal"/>
      <w:lvlText w:val="%4."/>
      <w:lvlJc w:val="left"/>
      <w:pPr>
        <w:ind w:left="3524" w:hanging="360"/>
      </w:pPr>
    </w:lvl>
    <w:lvl w:ilvl="4" w:tplc="20000019" w:tentative="1">
      <w:start w:val="1"/>
      <w:numFmt w:val="lowerLetter"/>
      <w:lvlText w:val="%5."/>
      <w:lvlJc w:val="left"/>
      <w:pPr>
        <w:ind w:left="4244" w:hanging="360"/>
      </w:pPr>
    </w:lvl>
    <w:lvl w:ilvl="5" w:tplc="2000001B" w:tentative="1">
      <w:start w:val="1"/>
      <w:numFmt w:val="lowerRoman"/>
      <w:lvlText w:val="%6."/>
      <w:lvlJc w:val="right"/>
      <w:pPr>
        <w:ind w:left="4964" w:hanging="180"/>
      </w:pPr>
    </w:lvl>
    <w:lvl w:ilvl="6" w:tplc="2000000F" w:tentative="1">
      <w:start w:val="1"/>
      <w:numFmt w:val="decimal"/>
      <w:lvlText w:val="%7."/>
      <w:lvlJc w:val="left"/>
      <w:pPr>
        <w:ind w:left="5684" w:hanging="360"/>
      </w:pPr>
    </w:lvl>
    <w:lvl w:ilvl="7" w:tplc="20000019" w:tentative="1">
      <w:start w:val="1"/>
      <w:numFmt w:val="lowerLetter"/>
      <w:lvlText w:val="%8."/>
      <w:lvlJc w:val="left"/>
      <w:pPr>
        <w:ind w:left="6404" w:hanging="360"/>
      </w:pPr>
    </w:lvl>
    <w:lvl w:ilvl="8" w:tplc="2000001B" w:tentative="1">
      <w:start w:val="1"/>
      <w:numFmt w:val="lowerRoman"/>
      <w:lvlText w:val="%9."/>
      <w:lvlJc w:val="right"/>
      <w:pPr>
        <w:ind w:left="7124" w:hanging="180"/>
      </w:pPr>
    </w:lvl>
  </w:abstractNum>
  <w:abstractNum w:abstractNumId="6" w15:restartNumberingAfterBreak="0">
    <w:nsid w:val="2EBA4204"/>
    <w:multiLevelType w:val="hybridMultilevel"/>
    <w:tmpl w:val="D2C0AA38"/>
    <w:lvl w:ilvl="0" w:tplc="FAF8C5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7"/>
  </w:num>
  <w:num w:numId="3">
    <w:abstractNumId w:val="6"/>
  </w:num>
  <w:num w:numId="4">
    <w:abstractNumId w:val="4"/>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F5AD4"/>
    <w:rsid w:val="00000906"/>
    <w:rsid w:val="00000F82"/>
    <w:rsid w:val="000011EF"/>
    <w:rsid w:val="00002C99"/>
    <w:rsid w:val="0001257D"/>
    <w:rsid w:val="00017848"/>
    <w:rsid w:val="00020178"/>
    <w:rsid w:val="000217A1"/>
    <w:rsid w:val="000302DC"/>
    <w:rsid w:val="000317F3"/>
    <w:rsid w:val="00036637"/>
    <w:rsid w:val="00037F49"/>
    <w:rsid w:val="000534F1"/>
    <w:rsid w:val="00057EC0"/>
    <w:rsid w:val="00063F4C"/>
    <w:rsid w:val="00067E13"/>
    <w:rsid w:val="00077764"/>
    <w:rsid w:val="000834CE"/>
    <w:rsid w:val="000858E6"/>
    <w:rsid w:val="00085927"/>
    <w:rsid w:val="00087085"/>
    <w:rsid w:val="000938AE"/>
    <w:rsid w:val="000A4FA6"/>
    <w:rsid w:val="000A502C"/>
    <w:rsid w:val="000A5556"/>
    <w:rsid w:val="000B0574"/>
    <w:rsid w:val="000B0808"/>
    <w:rsid w:val="000B100A"/>
    <w:rsid w:val="000B3619"/>
    <w:rsid w:val="000B6295"/>
    <w:rsid w:val="000C1767"/>
    <w:rsid w:val="000C77FE"/>
    <w:rsid w:val="000D246C"/>
    <w:rsid w:val="000D526A"/>
    <w:rsid w:val="000D5C76"/>
    <w:rsid w:val="000E1F7F"/>
    <w:rsid w:val="000E3DAA"/>
    <w:rsid w:val="000E40B4"/>
    <w:rsid w:val="000E5B56"/>
    <w:rsid w:val="000E6897"/>
    <w:rsid w:val="000F14E3"/>
    <w:rsid w:val="000F2305"/>
    <w:rsid w:val="000F5926"/>
    <w:rsid w:val="000F701B"/>
    <w:rsid w:val="000F72F6"/>
    <w:rsid w:val="000F7AA9"/>
    <w:rsid w:val="00101536"/>
    <w:rsid w:val="00102EE6"/>
    <w:rsid w:val="00103458"/>
    <w:rsid w:val="00115EAB"/>
    <w:rsid w:val="00120A54"/>
    <w:rsid w:val="00120A93"/>
    <w:rsid w:val="0012257B"/>
    <w:rsid w:val="001236C0"/>
    <w:rsid w:val="00126BE0"/>
    <w:rsid w:val="00132723"/>
    <w:rsid w:val="00133298"/>
    <w:rsid w:val="00135B84"/>
    <w:rsid w:val="001455DF"/>
    <w:rsid w:val="00151E1F"/>
    <w:rsid w:val="0015200C"/>
    <w:rsid w:val="00153A13"/>
    <w:rsid w:val="00160780"/>
    <w:rsid w:val="0016248E"/>
    <w:rsid w:val="00166C04"/>
    <w:rsid w:val="00172AC3"/>
    <w:rsid w:val="00173C82"/>
    <w:rsid w:val="00174909"/>
    <w:rsid w:val="00175E93"/>
    <w:rsid w:val="00177D27"/>
    <w:rsid w:val="0018088F"/>
    <w:rsid w:val="0018261F"/>
    <w:rsid w:val="00195DC2"/>
    <w:rsid w:val="001A23E3"/>
    <w:rsid w:val="001A26D8"/>
    <w:rsid w:val="001A3EF0"/>
    <w:rsid w:val="001B21CF"/>
    <w:rsid w:val="001B2A83"/>
    <w:rsid w:val="001B30DA"/>
    <w:rsid w:val="001B4AF1"/>
    <w:rsid w:val="001C3229"/>
    <w:rsid w:val="001C5354"/>
    <w:rsid w:val="001C614E"/>
    <w:rsid w:val="001C6EAC"/>
    <w:rsid w:val="001D2835"/>
    <w:rsid w:val="001D2837"/>
    <w:rsid w:val="001E159C"/>
    <w:rsid w:val="001F64D6"/>
    <w:rsid w:val="00211F05"/>
    <w:rsid w:val="00217C9C"/>
    <w:rsid w:val="00230098"/>
    <w:rsid w:val="002319A9"/>
    <w:rsid w:val="00234FAE"/>
    <w:rsid w:val="0023663B"/>
    <w:rsid w:val="002414C4"/>
    <w:rsid w:val="002418A4"/>
    <w:rsid w:val="00250EF6"/>
    <w:rsid w:val="00254B51"/>
    <w:rsid w:val="0025569A"/>
    <w:rsid w:val="00261D10"/>
    <w:rsid w:val="00262D37"/>
    <w:rsid w:val="00264427"/>
    <w:rsid w:val="00266989"/>
    <w:rsid w:val="00267A9C"/>
    <w:rsid w:val="00267E2F"/>
    <w:rsid w:val="00267F26"/>
    <w:rsid w:val="00285079"/>
    <w:rsid w:val="00291B29"/>
    <w:rsid w:val="002947D7"/>
    <w:rsid w:val="002A0E6F"/>
    <w:rsid w:val="002A5C41"/>
    <w:rsid w:val="002A5D1B"/>
    <w:rsid w:val="002A7E1C"/>
    <w:rsid w:val="002B1B98"/>
    <w:rsid w:val="002B53F1"/>
    <w:rsid w:val="002C2E27"/>
    <w:rsid w:val="002C457D"/>
    <w:rsid w:val="002C4681"/>
    <w:rsid w:val="002C7012"/>
    <w:rsid w:val="002D36B9"/>
    <w:rsid w:val="002E2AB9"/>
    <w:rsid w:val="002E416D"/>
    <w:rsid w:val="002E5440"/>
    <w:rsid w:val="002F06AB"/>
    <w:rsid w:val="003028DB"/>
    <w:rsid w:val="0031498D"/>
    <w:rsid w:val="00314F6A"/>
    <w:rsid w:val="00320D04"/>
    <w:rsid w:val="00322A23"/>
    <w:rsid w:val="003239F3"/>
    <w:rsid w:val="00324646"/>
    <w:rsid w:val="00326E0B"/>
    <w:rsid w:val="003273AC"/>
    <w:rsid w:val="00332A09"/>
    <w:rsid w:val="003342C9"/>
    <w:rsid w:val="00334726"/>
    <w:rsid w:val="003348E5"/>
    <w:rsid w:val="003359CD"/>
    <w:rsid w:val="003409E2"/>
    <w:rsid w:val="00345833"/>
    <w:rsid w:val="003474B3"/>
    <w:rsid w:val="003522C9"/>
    <w:rsid w:val="00353168"/>
    <w:rsid w:val="00360D00"/>
    <w:rsid w:val="00361381"/>
    <w:rsid w:val="003650BE"/>
    <w:rsid w:val="003664D1"/>
    <w:rsid w:val="00377979"/>
    <w:rsid w:val="003800B0"/>
    <w:rsid w:val="00380389"/>
    <w:rsid w:val="00381B8C"/>
    <w:rsid w:val="00385BF8"/>
    <w:rsid w:val="00386DAD"/>
    <w:rsid w:val="00394B81"/>
    <w:rsid w:val="003A142D"/>
    <w:rsid w:val="003A31DF"/>
    <w:rsid w:val="003A4CA7"/>
    <w:rsid w:val="003A5A9C"/>
    <w:rsid w:val="003B1240"/>
    <w:rsid w:val="003D5282"/>
    <w:rsid w:val="003D7395"/>
    <w:rsid w:val="003E095C"/>
    <w:rsid w:val="003E7DCD"/>
    <w:rsid w:val="004008AD"/>
    <w:rsid w:val="00404136"/>
    <w:rsid w:val="00404E54"/>
    <w:rsid w:val="00405F7B"/>
    <w:rsid w:val="00410BF9"/>
    <w:rsid w:val="00410F64"/>
    <w:rsid w:val="004136D7"/>
    <w:rsid w:val="00417143"/>
    <w:rsid w:val="00426751"/>
    <w:rsid w:val="00426E85"/>
    <w:rsid w:val="004326DB"/>
    <w:rsid w:val="00434F9B"/>
    <w:rsid w:val="00441CBF"/>
    <w:rsid w:val="00442260"/>
    <w:rsid w:val="00444E09"/>
    <w:rsid w:val="00445E50"/>
    <w:rsid w:val="004473EE"/>
    <w:rsid w:val="0044796E"/>
    <w:rsid w:val="0045238D"/>
    <w:rsid w:val="00452DE6"/>
    <w:rsid w:val="00456A69"/>
    <w:rsid w:val="00457587"/>
    <w:rsid w:val="0047038C"/>
    <w:rsid w:val="00470497"/>
    <w:rsid w:val="004714F0"/>
    <w:rsid w:val="00483555"/>
    <w:rsid w:val="00484365"/>
    <w:rsid w:val="00486E66"/>
    <w:rsid w:val="00491849"/>
    <w:rsid w:val="0049294D"/>
    <w:rsid w:val="00493E17"/>
    <w:rsid w:val="00493F28"/>
    <w:rsid w:val="00495612"/>
    <w:rsid w:val="004956F0"/>
    <w:rsid w:val="00495F36"/>
    <w:rsid w:val="004A2D7C"/>
    <w:rsid w:val="004A38ED"/>
    <w:rsid w:val="004A42CB"/>
    <w:rsid w:val="004A4623"/>
    <w:rsid w:val="004A7F3E"/>
    <w:rsid w:val="004B429B"/>
    <w:rsid w:val="004B5109"/>
    <w:rsid w:val="004B7026"/>
    <w:rsid w:val="004B7DDC"/>
    <w:rsid w:val="004B7FD5"/>
    <w:rsid w:val="004D15A4"/>
    <w:rsid w:val="004E06D1"/>
    <w:rsid w:val="004E64B9"/>
    <w:rsid w:val="004E7298"/>
    <w:rsid w:val="00501CDA"/>
    <w:rsid w:val="005050CE"/>
    <w:rsid w:val="00524579"/>
    <w:rsid w:val="00524F83"/>
    <w:rsid w:val="00526105"/>
    <w:rsid w:val="00531C01"/>
    <w:rsid w:val="00542EE9"/>
    <w:rsid w:val="0054369C"/>
    <w:rsid w:val="00550CD1"/>
    <w:rsid w:val="0055596E"/>
    <w:rsid w:val="0055705C"/>
    <w:rsid w:val="0056222A"/>
    <w:rsid w:val="00562A6B"/>
    <w:rsid w:val="0057175A"/>
    <w:rsid w:val="005735FC"/>
    <w:rsid w:val="005819C0"/>
    <w:rsid w:val="00581BA8"/>
    <w:rsid w:val="00582376"/>
    <w:rsid w:val="00583613"/>
    <w:rsid w:val="00584119"/>
    <w:rsid w:val="005A77E4"/>
    <w:rsid w:val="005B322E"/>
    <w:rsid w:val="005B78AF"/>
    <w:rsid w:val="005C1692"/>
    <w:rsid w:val="005C3ADD"/>
    <w:rsid w:val="005C59BB"/>
    <w:rsid w:val="005D2566"/>
    <w:rsid w:val="005D4AFC"/>
    <w:rsid w:val="005D4D24"/>
    <w:rsid w:val="005D7AFC"/>
    <w:rsid w:val="005E17E0"/>
    <w:rsid w:val="005E40E9"/>
    <w:rsid w:val="005E706E"/>
    <w:rsid w:val="005F0E84"/>
    <w:rsid w:val="005F5595"/>
    <w:rsid w:val="005F5AD4"/>
    <w:rsid w:val="0060642F"/>
    <w:rsid w:val="006072A5"/>
    <w:rsid w:val="00610EB1"/>
    <w:rsid w:val="006110F1"/>
    <w:rsid w:val="00617164"/>
    <w:rsid w:val="00621A84"/>
    <w:rsid w:val="00626224"/>
    <w:rsid w:val="0063136D"/>
    <w:rsid w:val="00633433"/>
    <w:rsid w:val="006361B6"/>
    <w:rsid w:val="006428F3"/>
    <w:rsid w:val="00650A25"/>
    <w:rsid w:val="00651D66"/>
    <w:rsid w:val="00653566"/>
    <w:rsid w:val="00654DC5"/>
    <w:rsid w:val="00657095"/>
    <w:rsid w:val="00665CB5"/>
    <w:rsid w:val="00667E06"/>
    <w:rsid w:val="00671172"/>
    <w:rsid w:val="006755E7"/>
    <w:rsid w:val="00692E34"/>
    <w:rsid w:val="00693DA7"/>
    <w:rsid w:val="0069411C"/>
    <w:rsid w:val="0069722E"/>
    <w:rsid w:val="006A0B68"/>
    <w:rsid w:val="006A11D4"/>
    <w:rsid w:val="006A2CB3"/>
    <w:rsid w:val="006A3018"/>
    <w:rsid w:val="006A5211"/>
    <w:rsid w:val="006A6E45"/>
    <w:rsid w:val="006B2454"/>
    <w:rsid w:val="006C3047"/>
    <w:rsid w:val="006C6F99"/>
    <w:rsid w:val="006D2E25"/>
    <w:rsid w:val="006E1745"/>
    <w:rsid w:val="0070151A"/>
    <w:rsid w:val="007048F0"/>
    <w:rsid w:val="00704F01"/>
    <w:rsid w:val="0071464F"/>
    <w:rsid w:val="00720F7E"/>
    <w:rsid w:val="007218AB"/>
    <w:rsid w:val="00722A56"/>
    <w:rsid w:val="00725546"/>
    <w:rsid w:val="00726447"/>
    <w:rsid w:val="007279EF"/>
    <w:rsid w:val="00735994"/>
    <w:rsid w:val="007367A4"/>
    <w:rsid w:val="00743C04"/>
    <w:rsid w:val="007466BB"/>
    <w:rsid w:val="00746BF0"/>
    <w:rsid w:val="00747418"/>
    <w:rsid w:val="00752DD3"/>
    <w:rsid w:val="00752E85"/>
    <w:rsid w:val="0075564E"/>
    <w:rsid w:val="00755F9A"/>
    <w:rsid w:val="00772241"/>
    <w:rsid w:val="00774C7B"/>
    <w:rsid w:val="0077615A"/>
    <w:rsid w:val="00787FB5"/>
    <w:rsid w:val="00790968"/>
    <w:rsid w:val="007A0C79"/>
    <w:rsid w:val="007A274A"/>
    <w:rsid w:val="007B07B3"/>
    <w:rsid w:val="007B1CB2"/>
    <w:rsid w:val="007B4F91"/>
    <w:rsid w:val="007C110F"/>
    <w:rsid w:val="007C1BCE"/>
    <w:rsid w:val="007C3B0E"/>
    <w:rsid w:val="007C78DC"/>
    <w:rsid w:val="007D0772"/>
    <w:rsid w:val="007D0C1D"/>
    <w:rsid w:val="007D2061"/>
    <w:rsid w:val="007D2972"/>
    <w:rsid w:val="007E249F"/>
    <w:rsid w:val="007E5783"/>
    <w:rsid w:val="007E639D"/>
    <w:rsid w:val="007E64A2"/>
    <w:rsid w:val="007E7663"/>
    <w:rsid w:val="007F128D"/>
    <w:rsid w:val="007F13EC"/>
    <w:rsid w:val="007F2C6A"/>
    <w:rsid w:val="00802EF7"/>
    <w:rsid w:val="008143D2"/>
    <w:rsid w:val="008163CB"/>
    <w:rsid w:val="00817BEB"/>
    <w:rsid w:val="00820D91"/>
    <w:rsid w:val="00822490"/>
    <w:rsid w:val="008271D2"/>
    <w:rsid w:val="00830C8C"/>
    <w:rsid w:val="00833DA0"/>
    <w:rsid w:val="008358EB"/>
    <w:rsid w:val="008409A6"/>
    <w:rsid w:val="00851833"/>
    <w:rsid w:val="00852845"/>
    <w:rsid w:val="00852A4C"/>
    <w:rsid w:val="00857628"/>
    <w:rsid w:val="008651AB"/>
    <w:rsid w:val="00867969"/>
    <w:rsid w:val="008726FF"/>
    <w:rsid w:val="00872DB8"/>
    <w:rsid w:val="0087366F"/>
    <w:rsid w:val="00877806"/>
    <w:rsid w:val="00881E32"/>
    <w:rsid w:val="00882408"/>
    <w:rsid w:val="00884B7C"/>
    <w:rsid w:val="00886B09"/>
    <w:rsid w:val="00893CB2"/>
    <w:rsid w:val="008A3DA4"/>
    <w:rsid w:val="008A56C3"/>
    <w:rsid w:val="008A6D35"/>
    <w:rsid w:val="008B222D"/>
    <w:rsid w:val="008B2A04"/>
    <w:rsid w:val="008B2B3A"/>
    <w:rsid w:val="008B343D"/>
    <w:rsid w:val="008B634E"/>
    <w:rsid w:val="008B6E83"/>
    <w:rsid w:val="008C62CA"/>
    <w:rsid w:val="008D2BBB"/>
    <w:rsid w:val="008E1C45"/>
    <w:rsid w:val="008E4216"/>
    <w:rsid w:val="008E497D"/>
    <w:rsid w:val="008E4C33"/>
    <w:rsid w:val="008E7528"/>
    <w:rsid w:val="008F0321"/>
    <w:rsid w:val="008F4D8E"/>
    <w:rsid w:val="0090639B"/>
    <w:rsid w:val="00911D9D"/>
    <w:rsid w:val="00913885"/>
    <w:rsid w:val="00916D13"/>
    <w:rsid w:val="00921606"/>
    <w:rsid w:val="009224A2"/>
    <w:rsid w:val="00926157"/>
    <w:rsid w:val="00944C00"/>
    <w:rsid w:val="009455D9"/>
    <w:rsid w:val="009457D8"/>
    <w:rsid w:val="00950C76"/>
    <w:rsid w:val="009513DC"/>
    <w:rsid w:val="00952CC7"/>
    <w:rsid w:val="00956C42"/>
    <w:rsid w:val="009609E9"/>
    <w:rsid w:val="009626AB"/>
    <w:rsid w:val="00964199"/>
    <w:rsid w:val="00965349"/>
    <w:rsid w:val="00970C37"/>
    <w:rsid w:val="009716F7"/>
    <w:rsid w:val="00971777"/>
    <w:rsid w:val="0097534C"/>
    <w:rsid w:val="009809E9"/>
    <w:rsid w:val="00984516"/>
    <w:rsid w:val="00985AD8"/>
    <w:rsid w:val="00992CE4"/>
    <w:rsid w:val="009969E1"/>
    <w:rsid w:val="009979CF"/>
    <w:rsid w:val="009A110B"/>
    <w:rsid w:val="009B3293"/>
    <w:rsid w:val="009B45AF"/>
    <w:rsid w:val="009B4F29"/>
    <w:rsid w:val="009B7C4D"/>
    <w:rsid w:val="009C1292"/>
    <w:rsid w:val="009C3096"/>
    <w:rsid w:val="009C4C04"/>
    <w:rsid w:val="009C5DC5"/>
    <w:rsid w:val="009C6BEA"/>
    <w:rsid w:val="009D55C8"/>
    <w:rsid w:val="009E49B9"/>
    <w:rsid w:val="009E62F5"/>
    <w:rsid w:val="009E68F3"/>
    <w:rsid w:val="009F0A21"/>
    <w:rsid w:val="009F38A7"/>
    <w:rsid w:val="00A06801"/>
    <w:rsid w:val="00A1030F"/>
    <w:rsid w:val="00A1073C"/>
    <w:rsid w:val="00A10F02"/>
    <w:rsid w:val="00A1354A"/>
    <w:rsid w:val="00A14381"/>
    <w:rsid w:val="00A20CB7"/>
    <w:rsid w:val="00A23607"/>
    <w:rsid w:val="00A276E5"/>
    <w:rsid w:val="00A30DDB"/>
    <w:rsid w:val="00A340E9"/>
    <w:rsid w:val="00A40F9E"/>
    <w:rsid w:val="00A46844"/>
    <w:rsid w:val="00A52A86"/>
    <w:rsid w:val="00A56E0D"/>
    <w:rsid w:val="00A602B6"/>
    <w:rsid w:val="00A63FC7"/>
    <w:rsid w:val="00A656C8"/>
    <w:rsid w:val="00A71788"/>
    <w:rsid w:val="00A735DF"/>
    <w:rsid w:val="00A81CB0"/>
    <w:rsid w:val="00A82585"/>
    <w:rsid w:val="00A844A8"/>
    <w:rsid w:val="00A84680"/>
    <w:rsid w:val="00A84A92"/>
    <w:rsid w:val="00A8511E"/>
    <w:rsid w:val="00A85A36"/>
    <w:rsid w:val="00A8778B"/>
    <w:rsid w:val="00A9160A"/>
    <w:rsid w:val="00A91957"/>
    <w:rsid w:val="00A92178"/>
    <w:rsid w:val="00AA2A7C"/>
    <w:rsid w:val="00AC020C"/>
    <w:rsid w:val="00AC430D"/>
    <w:rsid w:val="00AC5352"/>
    <w:rsid w:val="00AC5CAD"/>
    <w:rsid w:val="00AE0F01"/>
    <w:rsid w:val="00AE6A33"/>
    <w:rsid w:val="00AE6D50"/>
    <w:rsid w:val="00AF0AC8"/>
    <w:rsid w:val="00AF426A"/>
    <w:rsid w:val="00AF7567"/>
    <w:rsid w:val="00B01472"/>
    <w:rsid w:val="00B025D4"/>
    <w:rsid w:val="00B0733A"/>
    <w:rsid w:val="00B10115"/>
    <w:rsid w:val="00B10792"/>
    <w:rsid w:val="00B11C54"/>
    <w:rsid w:val="00B14BA9"/>
    <w:rsid w:val="00B16969"/>
    <w:rsid w:val="00B20CED"/>
    <w:rsid w:val="00B2548A"/>
    <w:rsid w:val="00B307F5"/>
    <w:rsid w:val="00B35800"/>
    <w:rsid w:val="00B37F08"/>
    <w:rsid w:val="00B40887"/>
    <w:rsid w:val="00B4485B"/>
    <w:rsid w:val="00B47CEF"/>
    <w:rsid w:val="00B53539"/>
    <w:rsid w:val="00B67068"/>
    <w:rsid w:val="00B67A0A"/>
    <w:rsid w:val="00B71219"/>
    <w:rsid w:val="00B722E6"/>
    <w:rsid w:val="00B727DF"/>
    <w:rsid w:val="00B74265"/>
    <w:rsid w:val="00B760E6"/>
    <w:rsid w:val="00B76890"/>
    <w:rsid w:val="00B82D0F"/>
    <w:rsid w:val="00B83ADA"/>
    <w:rsid w:val="00B8457A"/>
    <w:rsid w:val="00B85DD1"/>
    <w:rsid w:val="00B939E5"/>
    <w:rsid w:val="00B93CD7"/>
    <w:rsid w:val="00BB14E3"/>
    <w:rsid w:val="00BB1826"/>
    <w:rsid w:val="00BB20C2"/>
    <w:rsid w:val="00BB2473"/>
    <w:rsid w:val="00BB4051"/>
    <w:rsid w:val="00BB4ECF"/>
    <w:rsid w:val="00BB7D13"/>
    <w:rsid w:val="00BC3E8A"/>
    <w:rsid w:val="00BC58B5"/>
    <w:rsid w:val="00BD01A2"/>
    <w:rsid w:val="00BD211E"/>
    <w:rsid w:val="00BD3C08"/>
    <w:rsid w:val="00BD7CE8"/>
    <w:rsid w:val="00BE2FAA"/>
    <w:rsid w:val="00BE6833"/>
    <w:rsid w:val="00BE7D22"/>
    <w:rsid w:val="00BF4D80"/>
    <w:rsid w:val="00C07D5A"/>
    <w:rsid w:val="00C12511"/>
    <w:rsid w:val="00C13324"/>
    <w:rsid w:val="00C139E9"/>
    <w:rsid w:val="00C13E31"/>
    <w:rsid w:val="00C17D2C"/>
    <w:rsid w:val="00C20386"/>
    <w:rsid w:val="00C232E5"/>
    <w:rsid w:val="00C309C5"/>
    <w:rsid w:val="00C31E59"/>
    <w:rsid w:val="00C45D3C"/>
    <w:rsid w:val="00C52F3B"/>
    <w:rsid w:val="00C53705"/>
    <w:rsid w:val="00C61806"/>
    <w:rsid w:val="00C62B6B"/>
    <w:rsid w:val="00C70EED"/>
    <w:rsid w:val="00C71B7F"/>
    <w:rsid w:val="00C84F90"/>
    <w:rsid w:val="00C858DD"/>
    <w:rsid w:val="00C90169"/>
    <w:rsid w:val="00C93A2A"/>
    <w:rsid w:val="00C96271"/>
    <w:rsid w:val="00C96DFF"/>
    <w:rsid w:val="00CA00E6"/>
    <w:rsid w:val="00CC1151"/>
    <w:rsid w:val="00CC1E93"/>
    <w:rsid w:val="00CD066D"/>
    <w:rsid w:val="00CD21E6"/>
    <w:rsid w:val="00CD2EF7"/>
    <w:rsid w:val="00CE3D5C"/>
    <w:rsid w:val="00CF3127"/>
    <w:rsid w:val="00CF7BBB"/>
    <w:rsid w:val="00D0135B"/>
    <w:rsid w:val="00D02317"/>
    <w:rsid w:val="00D02BB8"/>
    <w:rsid w:val="00D0693F"/>
    <w:rsid w:val="00D06B22"/>
    <w:rsid w:val="00D107EB"/>
    <w:rsid w:val="00D10F87"/>
    <w:rsid w:val="00D12C2A"/>
    <w:rsid w:val="00D16E98"/>
    <w:rsid w:val="00D22D0A"/>
    <w:rsid w:val="00D241DB"/>
    <w:rsid w:val="00D25653"/>
    <w:rsid w:val="00D25837"/>
    <w:rsid w:val="00D279B2"/>
    <w:rsid w:val="00D30604"/>
    <w:rsid w:val="00D30704"/>
    <w:rsid w:val="00D339F7"/>
    <w:rsid w:val="00D46D40"/>
    <w:rsid w:val="00D50238"/>
    <w:rsid w:val="00D62366"/>
    <w:rsid w:val="00D76242"/>
    <w:rsid w:val="00D81F11"/>
    <w:rsid w:val="00D85FCD"/>
    <w:rsid w:val="00D923D2"/>
    <w:rsid w:val="00D934F1"/>
    <w:rsid w:val="00DA1839"/>
    <w:rsid w:val="00DA5B04"/>
    <w:rsid w:val="00DA6B59"/>
    <w:rsid w:val="00DA707D"/>
    <w:rsid w:val="00DA7626"/>
    <w:rsid w:val="00DA7FAB"/>
    <w:rsid w:val="00DB1967"/>
    <w:rsid w:val="00DC0ECD"/>
    <w:rsid w:val="00DC1500"/>
    <w:rsid w:val="00DC31BF"/>
    <w:rsid w:val="00DC74A6"/>
    <w:rsid w:val="00DD0497"/>
    <w:rsid w:val="00DD425A"/>
    <w:rsid w:val="00DD799D"/>
    <w:rsid w:val="00DE1BA3"/>
    <w:rsid w:val="00DE74D7"/>
    <w:rsid w:val="00DF2D5F"/>
    <w:rsid w:val="00DF323B"/>
    <w:rsid w:val="00DF568D"/>
    <w:rsid w:val="00DF581A"/>
    <w:rsid w:val="00E03813"/>
    <w:rsid w:val="00E04B25"/>
    <w:rsid w:val="00E063F3"/>
    <w:rsid w:val="00E106ED"/>
    <w:rsid w:val="00E11098"/>
    <w:rsid w:val="00E13ACC"/>
    <w:rsid w:val="00E14F8E"/>
    <w:rsid w:val="00E17948"/>
    <w:rsid w:val="00E20A6E"/>
    <w:rsid w:val="00E21790"/>
    <w:rsid w:val="00E23757"/>
    <w:rsid w:val="00E24421"/>
    <w:rsid w:val="00E25C3B"/>
    <w:rsid w:val="00E26CA0"/>
    <w:rsid w:val="00E32D1B"/>
    <w:rsid w:val="00E35C28"/>
    <w:rsid w:val="00E369D2"/>
    <w:rsid w:val="00E36C55"/>
    <w:rsid w:val="00E36CF3"/>
    <w:rsid w:val="00E37C20"/>
    <w:rsid w:val="00E40BCF"/>
    <w:rsid w:val="00E41075"/>
    <w:rsid w:val="00E417B8"/>
    <w:rsid w:val="00E4253E"/>
    <w:rsid w:val="00E47DAE"/>
    <w:rsid w:val="00E51783"/>
    <w:rsid w:val="00E55959"/>
    <w:rsid w:val="00E60645"/>
    <w:rsid w:val="00E64493"/>
    <w:rsid w:val="00E64ABE"/>
    <w:rsid w:val="00E86D3B"/>
    <w:rsid w:val="00E9145D"/>
    <w:rsid w:val="00E96385"/>
    <w:rsid w:val="00EA196D"/>
    <w:rsid w:val="00EA5239"/>
    <w:rsid w:val="00EA6EFE"/>
    <w:rsid w:val="00EA7449"/>
    <w:rsid w:val="00EB3365"/>
    <w:rsid w:val="00EB5AC6"/>
    <w:rsid w:val="00EC1DBC"/>
    <w:rsid w:val="00ED095D"/>
    <w:rsid w:val="00EE518D"/>
    <w:rsid w:val="00EE5A59"/>
    <w:rsid w:val="00EF538D"/>
    <w:rsid w:val="00F04312"/>
    <w:rsid w:val="00F114D9"/>
    <w:rsid w:val="00F23F54"/>
    <w:rsid w:val="00F41AA9"/>
    <w:rsid w:val="00F46AA1"/>
    <w:rsid w:val="00F47A65"/>
    <w:rsid w:val="00F5299B"/>
    <w:rsid w:val="00F52C8C"/>
    <w:rsid w:val="00F70445"/>
    <w:rsid w:val="00F76D5D"/>
    <w:rsid w:val="00F809DF"/>
    <w:rsid w:val="00F906E7"/>
    <w:rsid w:val="00F9406B"/>
    <w:rsid w:val="00F9537D"/>
    <w:rsid w:val="00F97878"/>
    <w:rsid w:val="00FA0091"/>
    <w:rsid w:val="00FA3687"/>
    <w:rsid w:val="00FA3AFE"/>
    <w:rsid w:val="00FA4320"/>
    <w:rsid w:val="00FA4A66"/>
    <w:rsid w:val="00FA6FC6"/>
    <w:rsid w:val="00FB0736"/>
    <w:rsid w:val="00FB1F07"/>
    <w:rsid w:val="00FB35CD"/>
    <w:rsid w:val="00FB4795"/>
    <w:rsid w:val="00FC5A80"/>
    <w:rsid w:val="00FC622E"/>
    <w:rsid w:val="00FE5E93"/>
    <w:rsid w:val="00FE5FE1"/>
    <w:rsid w:val="00FF5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3858AC"/>
  <w15:docId w15:val="{3DCC8E5C-85E5-4A03-A827-4673C4BFB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5AD4"/>
    <w:pPr>
      <w:spacing w:after="200" w:line="276" w:lineRule="auto"/>
    </w:pPr>
    <w:rPr>
      <w:rFonts w:cs="Calibri"/>
      <w:sz w:val="22"/>
      <w:szCs w:val="22"/>
      <w:lang w:eastAsia="en-US"/>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paragraph" w:styleId="3">
    <w:name w:val="heading 3"/>
    <w:basedOn w:val="a"/>
    <w:next w:val="a"/>
    <w:link w:val="30"/>
    <w:semiHidden/>
    <w:unhideWhenUsed/>
    <w:qFormat/>
    <w:locked/>
    <w:rsid w:val="005E706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D46D40"/>
    <w:rPr>
      <w:rFonts w:ascii="Tahoma" w:hAnsi="Tahoma" w:cs="Tahoma"/>
      <w:sz w:val="16"/>
      <w:szCs w:val="16"/>
    </w:rPr>
  </w:style>
  <w:style w:type="paragraph" w:styleId="aa">
    <w:name w:val="List Paragraph"/>
    <w:basedOn w:val="a"/>
    <w:uiPriority w:val="99"/>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basedOn w:val="a"/>
    <w:uiPriority w:val="99"/>
    <w:rsid w:val="00B760E6"/>
    <w:pPr>
      <w:spacing w:before="100" w:beforeAutospacing="1" w:after="100" w:afterAutospacing="1" w:line="240" w:lineRule="auto"/>
    </w:pPr>
    <w:rPr>
      <w:sz w:val="24"/>
      <w:szCs w:val="24"/>
      <w:lang w:val="ru-RU" w:eastAsia="ru-RU"/>
    </w:rPr>
  </w:style>
  <w:style w:type="paragraph" w:styleId="ae">
    <w:name w:val="Title"/>
    <w:basedOn w:val="a"/>
    <w:link w:val="af"/>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uiPriority w:val="99"/>
    <w:locked/>
    <w:rsid w:val="002C457D"/>
    <w:rPr>
      <w:rFonts w:ascii="Cambria" w:hAnsi="Cambria" w:cs="Cambria"/>
      <w:b/>
      <w:bCs/>
      <w:kern w:val="28"/>
      <w:sz w:val="32"/>
      <w:szCs w:val="32"/>
      <w:lang w:eastAsia="en-US"/>
    </w:rPr>
  </w:style>
  <w:style w:type="character" w:customStyle="1" w:styleId="af">
    <w:name w:val="Назва Знак"/>
    <w:link w:val="ae"/>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0">
    <w:name w:val="Strong"/>
    <w:uiPriority w:val="99"/>
    <w:qFormat/>
    <w:locked/>
    <w:rsid w:val="007B1CB2"/>
    <w:rPr>
      <w:rFonts w:cs="Times New Roman"/>
      <w:b/>
      <w:bCs/>
    </w:rPr>
  </w:style>
  <w:style w:type="paragraph" w:customStyle="1" w:styleId="af1">
    <w:name w:val="Знак"/>
    <w:basedOn w:val="a"/>
    <w:uiPriority w:val="99"/>
    <w:rsid w:val="00EE518D"/>
    <w:pPr>
      <w:spacing w:after="0" w:line="240" w:lineRule="auto"/>
    </w:pPr>
    <w:rPr>
      <w:rFonts w:ascii="Verdana" w:hAnsi="Verdana" w:cs="Verdana"/>
      <w:sz w:val="20"/>
      <w:szCs w:val="20"/>
      <w:lang w:val="en-US"/>
    </w:rPr>
  </w:style>
  <w:style w:type="character" w:styleId="af2">
    <w:name w:val="annotation reference"/>
    <w:uiPriority w:val="99"/>
    <w:semiHidden/>
    <w:unhideWhenUsed/>
    <w:rsid w:val="00FB35CD"/>
    <w:rPr>
      <w:sz w:val="16"/>
      <w:szCs w:val="16"/>
    </w:rPr>
  </w:style>
  <w:style w:type="paragraph" w:styleId="af3">
    <w:name w:val="annotation text"/>
    <w:basedOn w:val="a"/>
    <w:link w:val="af4"/>
    <w:uiPriority w:val="99"/>
    <w:semiHidden/>
    <w:unhideWhenUsed/>
    <w:rsid w:val="00FB35CD"/>
    <w:rPr>
      <w:sz w:val="20"/>
      <w:szCs w:val="20"/>
    </w:rPr>
  </w:style>
  <w:style w:type="character" w:customStyle="1" w:styleId="af4">
    <w:name w:val="Текст примітки Знак"/>
    <w:link w:val="af3"/>
    <w:uiPriority w:val="99"/>
    <w:semiHidden/>
    <w:rsid w:val="00FB35CD"/>
    <w:rPr>
      <w:rFonts w:cs="Calibri"/>
      <w:lang w:eastAsia="en-US"/>
    </w:rPr>
  </w:style>
  <w:style w:type="paragraph" w:styleId="af5">
    <w:name w:val="annotation subject"/>
    <w:basedOn w:val="af3"/>
    <w:next w:val="af3"/>
    <w:link w:val="af6"/>
    <w:uiPriority w:val="99"/>
    <w:semiHidden/>
    <w:unhideWhenUsed/>
    <w:rsid w:val="00FB35CD"/>
    <w:rPr>
      <w:b/>
      <w:bCs/>
    </w:rPr>
  </w:style>
  <w:style w:type="character" w:customStyle="1" w:styleId="af6">
    <w:name w:val="Тема примітки Знак"/>
    <w:link w:val="af5"/>
    <w:uiPriority w:val="99"/>
    <w:semiHidden/>
    <w:rsid w:val="00FB35CD"/>
    <w:rPr>
      <w:rFonts w:cs="Calibri"/>
      <w:b/>
      <w:bCs/>
      <w:lang w:eastAsia="en-US"/>
    </w:rPr>
  </w:style>
  <w:style w:type="paragraph" w:styleId="af7">
    <w:name w:val="Revision"/>
    <w:hidden/>
    <w:uiPriority w:val="99"/>
    <w:semiHidden/>
    <w:rsid w:val="00FB35CD"/>
    <w:rPr>
      <w:rFonts w:cs="Calibri"/>
      <w:sz w:val="22"/>
      <w:szCs w:val="22"/>
      <w:lang w:eastAsia="en-US"/>
    </w:rPr>
  </w:style>
  <w:style w:type="character" w:styleId="af8">
    <w:name w:val="Hyperlink"/>
    <w:uiPriority w:val="99"/>
    <w:unhideWhenUsed/>
    <w:rsid w:val="00FB35CD"/>
    <w:rPr>
      <w:color w:val="0000FF"/>
      <w:u w:val="single"/>
    </w:rPr>
  </w:style>
  <w:style w:type="character" w:customStyle="1" w:styleId="1">
    <w:name w:val="Незакрита згадка1"/>
    <w:uiPriority w:val="99"/>
    <w:semiHidden/>
    <w:unhideWhenUsed/>
    <w:rsid w:val="00FB35CD"/>
    <w:rPr>
      <w:color w:val="605E5C"/>
      <w:shd w:val="clear" w:color="auto" w:fill="E1DFDD"/>
    </w:rPr>
  </w:style>
  <w:style w:type="character" w:customStyle="1" w:styleId="30">
    <w:name w:val="Заголовок 3 Знак"/>
    <w:basedOn w:val="a0"/>
    <w:link w:val="3"/>
    <w:semiHidden/>
    <w:rsid w:val="005E706E"/>
    <w:rPr>
      <w:rFonts w:asciiTheme="majorHAnsi" w:eastAsiaTheme="majorEastAsia" w:hAnsiTheme="majorHAnsi" w:cstheme="majorBidi"/>
      <w:b/>
      <w:bCs/>
      <w:sz w:val="26"/>
      <w:szCs w:val="26"/>
      <w:lang w:eastAsia="en-US"/>
    </w:rPr>
  </w:style>
  <w:style w:type="paragraph" w:customStyle="1" w:styleId="tc">
    <w:name w:val="tc"/>
    <w:basedOn w:val="a"/>
    <w:rsid w:val="005E706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pelle">
    <w:name w:val="spelle"/>
    <w:basedOn w:val="a0"/>
    <w:rsid w:val="004A4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893090">
      <w:bodyDiv w:val="1"/>
      <w:marLeft w:val="0"/>
      <w:marRight w:val="0"/>
      <w:marTop w:val="0"/>
      <w:marBottom w:val="0"/>
      <w:divBdr>
        <w:top w:val="none" w:sz="0" w:space="0" w:color="auto"/>
        <w:left w:val="none" w:sz="0" w:space="0" w:color="auto"/>
        <w:bottom w:val="none" w:sz="0" w:space="0" w:color="auto"/>
        <w:right w:val="none" w:sz="0" w:space="0" w:color="auto"/>
      </w:divBdr>
      <w:divsChild>
        <w:div w:id="1295332290">
          <w:marLeft w:val="0"/>
          <w:marRight w:val="0"/>
          <w:marTop w:val="0"/>
          <w:marBottom w:val="0"/>
          <w:divBdr>
            <w:top w:val="none" w:sz="0" w:space="0" w:color="auto"/>
            <w:left w:val="none" w:sz="0" w:space="0" w:color="auto"/>
            <w:bottom w:val="none" w:sz="0" w:space="0" w:color="auto"/>
            <w:right w:val="none" w:sz="0" w:space="0" w:color="auto"/>
          </w:divBdr>
        </w:div>
        <w:div w:id="503783267">
          <w:marLeft w:val="0"/>
          <w:marRight w:val="0"/>
          <w:marTop w:val="0"/>
          <w:marBottom w:val="0"/>
          <w:divBdr>
            <w:top w:val="none" w:sz="0" w:space="0" w:color="auto"/>
            <w:left w:val="none" w:sz="0" w:space="0" w:color="auto"/>
            <w:bottom w:val="none" w:sz="0" w:space="0" w:color="auto"/>
            <w:right w:val="none" w:sz="0" w:space="0" w:color="auto"/>
          </w:divBdr>
        </w:div>
        <w:div w:id="901866744">
          <w:marLeft w:val="0"/>
          <w:marRight w:val="0"/>
          <w:marTop w:val="0"/>
          <w:marBottom w:val="0"/>
          <w:divBdr>
            <w:top w:val="none" w:sz="0" w:space="0" w:color="auto"/>
            <w:left w:val="none" w:sz="0" w:space="0" w:color="auto"/>
            <w:bottom w:val="none" w:sz="0" w:space="0" w:color="auto"/>
            <w:right w:val="none" w:sz="0" w:space="0" w:color="auto"/>
          </w:divBdr>
        </w:div>
        <w:div w:id="742919382">
          <w:marLeft w:val="0"/>
          <w:marRight w:val="0"/>
          <w:marTop w:val="0"/>
          <w:marBottom w:val="0"/>
          <w:divBdr>
            <w:top w:val="none" w:sz="0" w:space="0" w:color="auto"/>
            <w:left w:val="none" w:sz="0" w:space="0" w:color="auto"/>
            <w:bottom w:val="none" w:sz="0" w:space="0" w:color="auto"/>
            <w:right w:val="none" w:sz="0" w:space="0" w:color="auto"/>
          </w:divBdr>
        </w:div>
        <w:div w:id="146825150">
          <w:marLeft w:val="0"/>
          <w:marRight w:val="0"/>
          <w:marTop w:val="0"/>
          <w:marBottom w:val="0"/>
          <w:divBdr>
            <w:top w:val="none" w:sz="0" w:space="0" w:color="auto"/>
            <w:left w:val="none" w:sz="0" w:space="0" w:color="auto"/>
            <w:bottom w:val="none" w:sz="0" w:space="0" w:color="auto"/>
            <w:right w:val="none" w:sz="0" w:space="0" w:color="auto"/>
          </w:divBdr>
        </w:div>
      </w:divsChild>
    </w:div>
    <w:div w:id="883830899">
      <w:bodyDiv w:val="1"/>
      <w:marLeft w:val="0"/>
      <w:marRight w:val="0"/>
      <w:marTop w:val="0"/>
      <w:marBottom w:val="0"/>
      <w:divBdr>
        <w:top w:val="none" w:sz="0" w:space="0" w:color="auto"/>
        <w:left w:val="none" w:sz="0" w:space="0" w:color="auto"/>
        <w:bottom w:val="none" w:sz="0" w:space="0" w:color="auto"/>
        <w:right w:val="none" w:sz="0" w:space="0" w:color="auto"/>
      </w:divBdr>
    </w:div>
    <w:div w:id="1646230034">
      <w:bodyDiv w:val="1"/>
      <w:marLeft w:val="0"/>
      <w:marRight w:val="0"/>
      <w:marTop w:val="0"/>
      <w:marBottom w:val="0"/>
      <w:divBdr>
        <w:top w:val="none" w:sz="0" w:space="0" w:color="auto"/>
        <w:left w:val="none" w:sz="0" w:space="0" w:color="auto"/>
        <w:bottom w:val="none" w:sz="0" w:space="0" w:color="auto"/>
        <w:right w:val="none" w:sz="0" w:space="0" w:color="auto"/>
      </w:divBdr>
    </w:div>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share-old\uc\obmen\&#1053;&#1054;&#1042;&#1048;&#1049;%20&#1056;&#1048;&#1053;&#1054;&#1050;\&#1055;&#1086;&#1088;&#1103;&#1076;&#1086;&#1082;%20&#1092;&#1086;&#1088;&#1084;&#1091;&#1074;&#1072;&#1085;&#1085;&#1103;%20&#1094;&#1110;&#1085;&#1080;%20&#1055;&#1054;&#1053;_1179\&#1042;&#1085;&#1077;&#1089;&#1077;&#1085;&#1085;&#1103;%20&#1079;&#1084;&#1110;&#1085;%2009.09.2021\www.nerc.gov.ua%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D4DA1-0D86-4EF7-B4A3-AC5C3DF4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6427</TotalTime>
  <Pages>6</Pages>
  <Words>1698</Words>
  <Characters>9685</Characters>
  <Application>Microsoft Office Word</Application>
  <DocSecurity>0</DocSecurity>
  <Lines>80</Lines>
  <Paragraphs>22</Paragraphs>
  <ScaleCrop>false</ScaleCrop>
  <HeadingPairs>
    <vt:vector size="2" baseType="variant">
      <vt:variant>
        <vt:lpstr>Назва</vt:lpstr>
      </vt:variant>
      <vt:variant>
        <vt:i4>1</vt:i4>
      </vt:variant>
    </vt:vector>
  </HeadingPairs>
  <TitlesOfParts>
    <vt:vector size="1" baseType="lpstr">
      <vt:lpstr>                                                                                                                    </vt:lpstr>
    </vt:vector>
  </TitlesOfParts>
  <Company>NERC</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Вікторія Морозова</dc:creator>
  <cp:keywords/>
  <dc:description/>
  <cp:lastModifiedBy>Олександр Ящук</cp:lastModifiedBy>
  <cp:revision>218</cp:revision>
  <cp:lastPrinted>2021-10-12T16:18:00Z</cp:lastPrinted>
  <dcterms:created xsi:type="dcterms:W3CDTF">2018-09-26T11:46:00Z</dcterms:created>
  <dcterms:modified xsi:type="dcterms:W3CDTF">2024-08-27T09:59:00Z</dcterms:modified>
</cp:coreProperties>
</file>