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BBC9A" w14:textId="074A4434" w:rsidR="0004168B" w:rsidRDefault="0004168B"/>
    <w:tbl>
      <w:tblPr>
        <w:tblW w:w="10206" w:type="dxa"/>
        <w:tblLayout w:type="fixed"/>
        <w:tblLook w:val="00A0" w:firstRow="1" w:lastRow="0" w:firstColumn="1" w:lastColumn="0" w:noHBand="0" w:noVBand="0"/>
      </w:tblPr>
      <w:tblGrid>
        <w:gridCol w:w="6096"/>
        <w:gridCol w:w="4110"/>
      </w:tblGrid>
      <w:tr w:rsidR="00CC375C" w:rsidRPr="005E7F0A" w14:paraId="6727228C" w14:textId="77777777" w:rsidTr="00312419">
        <w:trPr>
          <w:trHeight w:val="1153"/>
        </w:trPr>
        <w:tc>
          <w:tcPr>
            <w:tcW w:w="6096" w:type="dxa"/>
          </w:tcPr>
          <w:p w14:paraId="44656199" w14:textId="4DD9D7EE" w:rsidR="0004168B" w:rsidRDefault="0004168B" w:rsidP="00395AD2">
            <w:pPr>
              <w:widowControl w:val="0"/>
              <w:autoSpaceDE w:val="0"/>
              <w:autoSpaceDN w:val="0"/>
              <w:spacing w:befor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ліцензійного контролю</w:t>
            </w:r>
          </w:p>
          <w:p w14:paraId="768E9303" w14:textId="4727293A" w:rsidR="00CC375C" w:rsidRPr="005E7F0A" w:rsidRDefault="00CC375C" w:rsidP="00395AD2">
            <w:pPr>
              <w:widowControl w:val="0"/>
              <w:autoSpaceDE w:val="0"/>
              <w:autoSpaceDN w:val="0"/>
              <w:spacing w:before="60"/>
              <w:rPr>
                <w:sz w:val="28"/>
                <w:szCs w:val="28"/>
              </w:rPr>
            </w:pPr>
            <w:r w:rsidRPr="005E7F0A">
              <w:rPr>
                <w:sz w:val="28"/>
                <w:szCs w:val="28"/>
              </w:rPr>
              <w:t xml:space="preserve">Департамент </w:t>
            </w:r>
            <w:bookmarkStart w:id="0" w:name="_Hlk173838306"/>
            <w:r w:rsidR="00395AD2">
              <w:rPr>
                <w:sz w:val="28"/>
                <w:szCs w:val="28"/>
              </w:rPr>
              <w:t>розслідувань зловживань</w:t>
            </w:r>
          </w:p>
          <w:p w14:paraId="56AAC576" w14:textId="6CE8B24A" w:rsidR="00CC375C" w:rsidRDefault="00395AD2" w:rsidP="00395AD2">
            <w:pPr>
              <w:widowControl w:val="0"/>
              <w:autoSpaceDE w:val="0"/>
              <w:autoSpaceDN w:val="0"/>
              <w:spacing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оптових енергетичних ринках та</w:t>
            </w:r>
          </w:p>
          <w:p w14:paraId="7F68EB62" w14:textId="5756A874" w:rsidR="00395AD2" w:rsidRPr="005E7F0A" w:rsidRDefault="00395AD2" w:rsidP="00395AD2">
            <w:pPr>
              <w:widowControl w:val="0"/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моніторингу звітності</w:t>
            </w:r>
            <w:bookmarkEnd w:id="0"/>
          </w:p>
          <w:p w14:paraId="706624F1" w14:textId="475BF03F" w:rsidR="00CC375C" w:rsidRPr="005E7F0A" w:rsidRDefault="00CC375C" w:rsidP="00395AD2">
            <w:pPr>
              <w:widowControl w:val="0"/>
              <w:autoSpaceDE w:val="0"/>
              <w:autoSpaceDN w:val="0"/>
              <w:spacing w:before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F3825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» </w:t>
            </w:r>
            <w:r w:rsidR="00DF3825">
              <w:rPr>
                <w:sz w:val="28"/>
                <w:szCs w:val="28"/>
              </w:rPr>
              <w:t>___________</w:t>
            </w:r>
            <w:r w:rsidRPr="005E7F0A">
              <w:rPr>
                <w:sz w:val="28"/>
                <w:szCs w:val="28"/>
              </w:rPr>
              <w:t>202</w:t>
            </w:r>
            <w:r w:rsidR="00395AD2">
              <w:rPr>
                <w:sz w:val="28"/>
                <w:szCs w:val="28"/>
              </w:rPr>
              <w:t>4</w:t>
            </w:r>
            <w:r w:rsidRPr="005E7F0A">
              <w:rPr>
                <w:sz w:val="28"/>
                <w:szCs w:val="28"/>
              </w:rPr>
              <w:t xml:space="preserve"> р</w:t>
            </w:r>
            <w:r w:rsidR="00395AD2">
              <w:rPr>
                <w:sz w:val="28"/>
                <w:szCs w:val="28"/>
              </w:rPr>
              <w:t>оку</w:t>
            </w:r>
          </w:p>
        </w:tc>
        <w:tc>
          <w:tcPr>
            <w:tcW w:w="4110" w:type="dxa"/>
          </w:tcPr>
          <w:p w14:paraId="19A43308" w14:textId="17A85FE4" w:rsidR="00CC375C" w:rsidRPr="005E7F0A" w:rsidRDefault="00395AD2" w:rsidP="00312419">
            <w:pPr>
              <w:widowControl w:val="0"/>
              <w:autoSpaceDE w:val="0"/>
              <w:autoSpaceDN w:val="0"/>
              <w:spacing w:before="6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C375C" w:rsidRPr="005E7F0A">
              <w:rPr>
                <w:sz w:val="28"/>
                <w:szCs w:val="28"/>
              </w:rPr>
              <w:t>Голові НКРЕКП</w:t>
            </w:r>
          </w:p>
          <w:p w14:paraId="4B466896" w14:textId="565D60C7" w:rsidR="00CC375C" w:rsidRPr="005E7F0A" w:rsidRDefault="00395AD2" w:rsidP="00312419">
            <w:pPr>
              <w:widowControl w:val="0"/>
              <w:autoSpaceDE w:val="0"/>
              <w:autoSpaceDN w:val="0"/>
              <w:ind w:firstLine="567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C375C" w:rsidRPr="005E7F0A">
              <w:rPr>
                <w:sz w:val="28"/>
                <w:szCs w:val="28"/>
              </w:rPr>
              <w:t>Членам НКРЕКП</w:t>
            </w:r>
          </w:p>
        </w:tc>
      </w:tr>
    </w:tbl>
    <w:p w14:paraId="63654FD1" w14:textId="77777777" w:rsidR="00CC375C" w:rsidRPr="005E7F0A" w:rsidRDefault="00CC375C" w:rsidP="00CC375C">
      <w:pPr>
        <w:widowControl w:val="0"/>
        <w:ind w:firstLine="567"/>
        <w:rPr>
          <w:b/>
          <w:sz w:val="28"/>
          <w:szCs w:val="28"/>
        </w:rPr>
      </w:pPr>
    </w:p>
    <w:p w14:paraId="6029D10F" w14:textId="2BF4B325" w:rsidR="00395AD2" w:rsidRDefault="00395AD2" w:rsidP="00395AD2">
      <w:pPr>
        <w:ind w:firstLine="567"/>
        <w:jc w:val="center"/>
        <w:rPr>
          <w:rStyle w:val="fontstyle01"/>
        </w:rPr>
      </w:pPr>
      <w:r>
        <w:rPr>
          <w:rStyle w:val="fontstyle01"/>
        </w:rPr>
        <w:t>Обґрунтування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щодо схвалення проєкту рішення, що має ознаки регуляторного акта, –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постанови Національної комісії, що здійснює державне регулювання у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сферах енергетики та комунальних послуг «</w:t>
      </w:r>
      <w:bookmarkStart w:id="1" w:name="_Hlk174520226"/>
      <w:r>
        <w:rPr>
          <w:rStyle w:val="fontstyle01"/>
        </w:rPr>
        <w:t>Про внесення змін до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Порядку (методики) визначення розміру штрафів, які накладаються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Національною комісією, що здійснює державне регулювання у сферах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енергетики та комунальних послуг</w:t>
      </w:r>
      <w:bookmarkEnd w:id="1"/>
      <w:r>
        <w:rPr>
          <w:rStyle w:val="fontstyle01"/>
        </w:rPr>
        <w:t>»</w:t>
      </w:r>
    </w:p>
    <w:p w14:paraId="04E8EA5E" w14:textId="77777777" w:rsidR="00395AD2" w:rsidRDefault="00395AD2" w:rsidP="00395AD2">
      <w:pPr>
        <w:ind w:firstLine="567"/>
        <w:jc w:val="both"/>
        <w:rPr>
          <w:rStyle w:val="fontstyle21"/>
        </w:rPr>
      </w:pPr>
    </w:p>
    <w:p w14:paraId="73BC40CB" w14:textId="03640288" w:rsidR="0004168B" w:rsidRPr="0004168B" w:rsidRDefault="0004168B" w:rsidP="002D0D0E">
      <w:pPr>
        <w:ind w:firstLine="709"/>
        <w:jc w:val="both"/>
        <w:rPr>
          <w:rStyle w:val="fontstyle21"/>
        </w:rPr>
      </w:pPr>
      <w:r w:rsidRPr="0004168B">
        <w:rPr>
          <w:rStyle w:val="fontstyle21"/>
        </w:rPr>
        <w:t>Відповідно до пункту 3 частини першої статті 17 Закону України «Про Національну комісію, що здійснює державне регулювання у сферах енергетики та</w:t>
      </w:r>
      <w:r>
        <w:rPr>
          <w:rStyle w:val="fontstyle21"/>
        </w:rPr>
        <w:t xml:space="preserve"> </w:t>
      </w:r>
      <w:r w:rsidRPr="0004168B">
        <w:rPr>
          <w:rStyle w:val="fontstyle21"/>
        </w:rPr>
        <w:t>комунальних послуг» (далі – Закон), для ефективного виконання завдань державного регулювання у сферах енергетики та комунальних послуг Національна комісія, що здійснює державне регулювання у сферах енергетики та комунальних послуг (далі – НКРЕКП, Регулятор), розробляє та затверджує нормативно-правові акти, зокрема порядок (методику) визначення розміру штрафів, які накладаються Регулятором. Такий порядок має враховувати, що при визначенні розміру штрафу беруться до уваги характер, тривалість та серйозність порушення, розмір заподіяної</w:t>
      </w:r>
      <w:r w:rsidR="00396DA5">
        <w:rPr>
          <w:rStyle w:val="fontstyle21"/>
        </w:rPr>
        <w:t xml:space="preserve"> </w:t>
      </w:r>
      <w:r w:rsidRPr="0004168B">
        <w:rPr>
          <w:rStyle w:val="fontstyle21"/>
        </w:rPr>
        <w:t>шкоди та розмір потенційного доходу, який міг бути отриманий внаслідок порушення.</w:t>
      </w:r>
    </w:p>
    <w:p w14:paraId="5C7DE206" w14:textId="0F858258" w:rsidR="00396DA5" w:rsidRDefault="0004168B" w:rsidP="002D0D0E">
      <w:pPr>
        <w:ind w:firstLine="709"/>
        <w:jc w:val="both"/>
        <w:rPr>
          <w:rStyle w:val="fontstyle21"/>
        </w:rPr>
      </w:pPr>
      <w:r w:rsidRPr="0004168B">
        <w:rPr>
          <w:rStyle w:val="fontstyle21"/>
        </w:rPr>
        <w:t xml:space="preserve">Порядок (методика) визначення розміру штрафів, які накладаються Національною комісією, що здійснює державне регулювання у сферах енергетики та комунальних послуг затверджений постановою НКРЕКП </w:t>
      </w:r>
      <w:r w:rsidR="002D0D0E">
        <w:rPr>
          <w:rStyle w:val="fontstyle21"/>
        </w:rPr>
        <w:br/>
      </w:r>
      <w:r w:rsidRPr="0004168B">
        <w:rPr>
          <w:rStyle w:val="fontstyle21"/>
        </w:rPr>
        <w:t xml:space="preserve">від 29.09.2023 № 1800 (далі – Порядок). </w:t>
      </w:r>
    </w:p>
    <w:p w14:paraId="180E91CD" w14:textId="0FE616EE" w:rsidR="0004168B" w:rsidRPr="0004168B" w:rsidRDefault="0004168B" w:rsidP="002D0D0E">
      <w:pPr>
        <w:ind w:firstLine="709"/>
        <w:jc w:val="both"/>
        <w:rPr>
          <w:rStyle w:val="fontstyle21"/>
        </w:rPr>
      </w:pPr>
      <w:r w:rsidRPr="0004168B">
        <w:rPr>
          <w:rStyle w:val="fontstyle21"/>
        </w:rPr>
        <w:t xml:space="preserve">Для врегулювання процесу застосування санкцій у випадках, коли розрахований згідно з Порядком розмір штрафу за зловживання на оптовому енергетичному ринку є меншим, ніж мінімальний розмір штрафу, передбачений законодавством (зокрема за здійснення операцій з оптовими енергетичними продуктами без реєстрації як учасника оптового енергетичного ринку), а також приведення у відповідність до Порядку розслідування зловживань на оптовому енергетичному ринку, затвердженого постановою НКРЕКП від 26.09.2023 </w:t>
      </w:r>
      <w:r w:rsidR="002D0D0E">
        <w:rPr>
          <w:rStyle w:val="fontstyle21"/>
        </w:rPr>
        <w:br/>
      </w:r>
      <w:r w:rsidRPr="0004168B">
        <w:rPr>
          <w:rStyle w:val="fontstyle21"/>
        </w:rPr>
        <w:t>№ 1756, переліку пом’якшуючих обставин, Департаментом ліцензійного контролю та Департаментом розслідувань зловживань на оптових енергетичних ринках та моніторингу звітності підготовлено проєкт змін до Порядку.</w:t>
      </w:r>
    </w:p>
    <w:p w14:paraId="01FC283D" w14:textId="77777777" w:rsidR="0004168B" w:rsidRPr="0004168B" w:rsidRDefault="0004168B" w:rsidP="002D0D0E">
      <w:pPr>
        <w:ind w:firstLine="709"/>
        <w:jc w:val="both"/>
        <w:rPr>
          <w:rStyle w:val="fontstyle21"/>
        </w:rPr>
      </w:pPr>
      <w:r w:rsidRPr="0004168B">
        <w:rPr>
          <w:rStyle w:val="fontstyle21"/>
        </w:rPr>
        <w:lastRenderedPageBreak/>
        <w:t>З огляду на викладене, Департамент ліцензійного контролю та Департамент розслідувань зловживань на оптових енергетичних ринках та моніторингу звітності пропонують:</w:t>
      </w:r>
    </w:p>
    <w:p w14:paraId="50749C27" w14:textId="3F98EC5D" w:rsidR="00395AD2" w:rsidRDefault="0004168B" w:rsidP="002D0D0E">
      <w:pPr>
        <w:ind w:firstLine="709"/>
        <w:jc w:val="both"/>
        <w:rPr>
          <w:rStyle w:val="fontstyle21"/>
        </w:rPr>
      </w:pPr>
      <w:r w:rsidRPr="0004168B">
        <w:rPr>
          <w:rStyle w:val="fontstyle21"/>
        </w:rPr>
        <w:t>схвалити проєкт рішення, що має ознаки регуляторного акта, – постанови HKPEKП «Про внесення змін до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 та розмістити його на офіційному вебсайті HKPEKП www.nerc.gov.ua з метою одержання зауважень i пропозицій від інших органів державної влади, фізичних та юридичних осіб, їх об’єднань та інших заінтересованих осіб</w:t>
      </w:r>
      <w:r w:rsidR="00395AD2">
        <w:rPr>
          <w:rStyle w:val="fontstyle21"/>
        </w:rPr>
        <w:t xml:space="preserve">. </w:t>
      </w:r>
    </w:p>
    <w:p w14:paraId="24A4E4F1" w14:textId="77777777" w:rsidR="00395AD2" w:rsidRDefault="00395AD2" w:rsidP="00395AD2">
      <w:pPr>
        <w:jc w:val="both"/>
        <w:rPr>
          <w:rStyle w:val="fontstyle01"/>
        </w:rPr>
      </w:pPr>
    </w:p>
    <w:tbl>
      <w:tblPr>
        <w:tblW w:w="97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9"/>
        <w:gridCol w:w="4800"/>
      </w:tblGrid>
      <w:tr w:rsidR="002D0D0E" w14:paraId="1E72C413" w14:textId="2BC4554F" w:rsidTr="002D0D0E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14:paraId="0CFCD0B4" w14:textId="77777777" w:rsidR="002D0D0E" w:rsidRDefault="002D0D0E" w:rsidP="00395AD2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Заступник директора </w:t>
            </w:r>
          </w:p>
          <w:p w14:paraId="7BCD35C4" w14:textId="77777777" w:rsidR="002D0D0E" w:rsidRDefault="002D0D0E" w:rsidP="002D0D0E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Style w:val="fontstyle01"/>
              </w:rPr>
              <w:t>Департаменту</w:t>
            </w:r>
            <w: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ліцензійного контролю</w:t>
            </w:r>
          </w:p>
          <w:p w14:paraId="0319C4B0" w14:textId="77777777" w:rsidR="002D0D0E" w:rsidRDefault="002D0D0E" w:rsidP="002D0D0E">
            <w:pPr>
              <w:rPr>
                <w:rStyle w:val="fontstyle01"/>
              </w:rPr>
            </w:pPr>
          </w:p>
          <w:p w14:paraId="74F2EBFB" w14:textId="77777777" w:rsidR="002D0D0E" w:rsidRDefault="002D0D0E" w:rsidP="002D0D0E">
            <w:pPr>
              <w:rPr>
                <w:rStyle w:val="fontstyle01"/>
              </w:rPr>
            </w:pPr>
          </w:p>
          <w:p w14:paraId="71031613" w14:textId="01206EE9" w:rsidR="002D0D0E" w:rsidRDefault="002D0D0E" w:rsidP="002D0D0E">
            <w:pPr>
              <w:rPr>
                <w:rStyle w:val="fontstyle01"/>
              </w:rPr>
            </w:pPr>
            <w: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/>
              </w:rPr>
              <w:t xml:space="preserve">           </w:t>
            </w:r>
            <w: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Володимир Смикалов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14:paraId="23A5BB2E" w14:textId="77777777" w:rsidR="002D0D0E" w:rsidRDefault="002D0D0E" w:rsidP="002D0D0E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 w:rsidRPr="00395AD2">
              <w:rPr>
                <w:rStyle w:val="fontstyle01"/>
              </w:rPr>
              <w:t>Директор</w:t>
            </w:r>
            <w:r>
              <w:rPr>
                <w:rStyle w:val="fontstyle01"/>
              </w:rPr>
              <w:t xml:space="preserve"> </w:t>
            </w:r>
            <w:r w:rsidRPr="00395AD2">
              <w:rPr>
                <w:rStyle w:val="fontstyle01"/>
              </w:rPr>
              <w:t>Департаменту</w:t>
            </w:r>
            <w:r>
              <w:rPr>
                <w:rStyle w:val="fontstyle01"/>
              </w:rPr>
              <w:t xml:space="preserve"> </w:t>
            </w:r>
            <w:r w:rsidRPr="00395AD2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розслідувань</w:t>
            </w:r>
            <w:r>
              <w:rPr>
                <w:rFonts w:ascii="TimesNewRomanPSMT" w:hAnsi="TimesNewRomanPSMT" w:hint="eastAsia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hint="eastAsia"/>
                <w:b/>
                <w:color w:val="000000"/>
                <w:sz w:val="28"/>
                <w:szCs w:val="28"/>
              </w:rPr>
              <w:t>з</w:t>
            </w:r>
            <w:r w:rsidRPr="00395AD2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ловживань</w:t>
            </w:r>
            <w: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 xml:space="preserve"> </w:t>
            </w:r>
            <w:r w:rsidRPr="00395AD2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на оптових енергетичних</w:t>
            </w:r>
            <w:r w:rsidRPr="00395AD2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 xml:space="preserve"> </w:t>
            </w:r>
            <w:r w:rsidRPr="00395AD2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ринках та</w:t>
            </w:r>
            <w: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 xml:space="preserve"> </w:t>
            </w:r>
            <w:r w:rsidRPr="00395AD2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моніторингу звітності</w:t>
            </w:r>
          </w:p>
          <w:p w14:paraId="087BE7A7" w14:textId="77777777" w:rsidR="002D0D0E" w:rsidRDefault="002D0D0E" w:rsidP="00395AD2">
            <w:pPr>
              <w:jc w:val="both"/>
              <w:rPr>
                <w:rStyle w:val="fontstyle01"/>
              </w:rPr>
            </w:pPr>
          </w:p>
          <w:p w14:paraId="260980AE" w14:textId="75D7F36A" w:rsidR="002D0D0E" w:rsidRDefault="002D0D0E" w:rsidP="00395AD2">
            <w:pPr>
              <w:jc w:val="both"/>
              <w:rPr>
                <w:rStyle w:val="fontstyle01"/>
              </w:rPr>
            </w:pPr>
            <w: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/>
              </w:rPr>
              <w:t xml:space="preserve">                     </w:t>
            </w:r>
            <w:bookmarkStart w:id="2" w:name="_GoBack"/>
            <w:bookmarkEnd w:id="2"/>
            <w: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Тетяна МІЩЕНЕНКО</w:t>
            </w:r>
          </w:p>
        </w:tc>
      </w:tr>
    </w:tbl>
    <w:p w14:paraId="37531283" w14:textId="77777777" w:rsidR="00F148AC" w:rsidRPr="00CC375C" w:rsidRDefault="00F148AC" w:rsidP="00CC375C"/>
    <w:sectPr w:rsidR="00F148AC" w:rsidRPr="00CC375C" w:rsidSect="002D0D0E">
      <w:headerReference w:type="default" r:id="rId6"/>
      <w:pgSz w:w="11906" w:h="16838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C7438" w14:textId="77777777" w:rsidR="009C7223" w:rsidRDefault="009C7223">
      <w:r>
        <w:separator/>
      </w:r>
    </w:p>
  </w:endnote>
  <w:endnote w:type="continuationSeparator" w:id="0">
    <w:p w14:paraId="211FB3F6" w14:textId="77777777" w:rsidR="009C7223" w:rsidRDefault="009C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94384" w14:textId="77777777" w:rsidR="009C7223" w:rsidRDefault="009C7223">
      <w:r>
        <w:separator/>
      </w:r>
    </w:p>
  </w:footnote>
  <w:footnote w:type="continuationSeparator" w:id="0">
    <w:p w14:paraId="4833C46C" w14:textId="77777777" w:rsidR="009C7223" w:rsidRDefault="009C7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5072A" w14:textId="27AECC98" w:rsidR="00323395" w:rsidRDefault="00BC4FA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94D84">
      <w:rPr>
        <w:noProof/>
      </w:rPr>
      <w:t>2</w:t>
    </w:r>
    <w:r>
      <w:fldChar w:fldCharType="end"/>
    </w:r>
  </w:p>
  <w:p w14:paraId="62F097D1" w14:textId="77777777" w:rsidR="00323395" w:rsidRDefault="009C72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9EA"/>
    <w:rsid w:val="0004168B"/>
    <w:rsid w:val="00124B36"/>
    <w:rsid w:val="001C3AC4"/>
    <w:rsid w:val="00280893"/>
    <w:rsid w:val="002C694B"/>
    <w:rsid w:val="002D0D0E"/>
    <w:rsid w:val="00311FD1"/>
    <w:rsid w:val="003322A0"/>
    <w:rsid w:val="00364B14"/>
    <w:rsid w:val="00387E32"/>
    <w:rsid w:val="00395AD2"/>
    <w:rsid w:val="00396DA5"/>
    <w:rsid w:val="003C128B"/>
    <w:rsid w:val="003F08E6"/>
    <w:rsid w:val="0040619B"/>
    <w:rsid w:val="00424079"/>
    <w:rsid w:val="00465358"/>
    <w:rsid w:val="004A37D7"/>
    <w:rsid w:val="004C0BE6"/>
    <w:rsid w:val="004F298C"/>
    <w:rsid w:val="005E7F0A"/>
    <w:rsid w:val="0064569C"/>
    <w:rsid w:val="006B438F"/>
    <w:rsid w:val="007532C4"/>
    <w:rsid w:val="007E4394"/>
    <w:rsid w:val="008218B1"/>
    <w:rsid w:val="00865812"/>
    <w:rsid w:val="008970F0"/>
    <w:rsid w:val="008C34A6"/>
    <w:rsid w:val="00940761"/>
    <w:rsid w:val="0094291F"/>
    <w:rsid w:val="00996576"/>
    <w:rsid w:val="0099657E"/>
    <w:rsid w:val="009B2274"/>
    <w:rsid w:val="009C7223"/>
    <w:rsid w:val="00A35D2A"/>
    <w:rsid w:val="00A5206D"/>
    <w:rsid w:val="00A922D9"/>
    <w:rsid w:val="00A94D84"/>
    <w:rsid w:val="00AE14B2"/>
    <w:rsid w:val="00AF6703"/>
    <w:rsid w:val="00B214C5"/>
    <w:rsid w:val="00B95617"/>
    <w:rsid w:val="00BC4FAE"/>
    <w:rsid w:val="00C535A0"/>
    <w:rsid w:val="00C67B35"/>
    <w:rsid w:val="00C94181"/>
    <w:rsid w:val="00CC181B"/>
    <w:rsid w:val="00CC375C"/>
    <w:rsid w:val="00DF3825"/>
    <w:rsid w:val="00DF71C4"/>
    <w:rsid w:val="00E228C2"/>
    <w:rsid w:val="00E31EDB"/>
    <w:rsid w:val="00E9270E"/>
    <w:rsid w:val="00EC23AA"/>
    <w:rsid w:val="00F04B10"/>
    <w:rsid w:val="00F148AC"/>
    <w:rsid w:val="00F32D9F"/>
    <w:rsid w:val="00F520B6"/>
    <w:rsid w:val="00F979EA"/>
    <w:rsid w:val="00FC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66C6"/>
  <w15:chartTrackingRefBased/>
  <w15:docId w15:val="{40215C6D-F8E2-4FA1-A149-B21B2149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1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18B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218B1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uiPriority w:val="99"/>
    <w:unhideWhenUsed/>
    <w:rsid w:val="008218B1"/>
    <w:rPr>
      <w:color w:val="0000FF"/>
      <w:u w:val="single"/>
    </w:rPr>
  </w:style>
  <w:style w:type="character" w:styleId="a6">
    <w:name w:val="Strong"/>
    <w:uiPriority w:val="99"/>
    <w:qFormat/>
    <w:rsid w:val="008218B1"/>
    <w:rPr>
      <w:b/>
      <w:bCs/>
    </w:rPr>
  </w:style>
  <w:style w:type="character" w:customStyle="1" w:styleId="5">
    <w:name w:val="Основной текст (5)_"/>
    <w:link w:val="50"/>
    <w:locked/>
    <w:rsid w:val="008970F0"/>
    <w:rPr>
      <w:b/>
      <w:bCs/>
      <w:spacing w:val="-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970F0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eastAsia="en-US"/>
    </w:rPr>
  </w:style>
  <w:style w:type="character" w:customStyle="1" w:styleId="fontstyle01">
    <w:name w:val="fontstyle01"/>
    <w:basedOn w:val="a0"/>
    <w:rsid w:val="00395AD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95AD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2022</Words>
  <Characters>1153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АКБ</cp:lastModifiedBy>
  <cp:revision>11</cp:revision>
  <cp:lastPrinted>2024-08-06T09:42:00Z</cp:lastPrinted>
  <dcterms:created xsi:type="dcterms:W3CDTF">2024-08-06T09:10:00Z</dcterms:created>
  <dcterms:modified xsi:type="dcterms:W3CDTF">2024-08-15T05:36:00Z</dcterms:modified>
</cp:coreProperties>
</file>